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D9514F" w14:textId="20B613F1" w:rsidR="005507D7" w:rsidRDefault="009C6F1A" w:rsidP="00AD7256">
      <w:pPr>
        <w:spacing w:after="240" w:line="480" w:lineRule="auto"/>
        <w:jc w:val="center"/>
        <w:rPr>
          <w:rFonts w:eastAsia="Times New Roman" w:cs="Times New Roman"/>
          <w:b/>
          <w:bCs/>
          <w:color w:val="000000"/>
          <w:sz w:val="36"/>
          <w:szCs w:val="36"/>
        </w:rPr>
      </w:pPr>
      <w:r>
        <w:rPr>
          <w:rFonts w:eastAsia="Times New Roman" w:cs="Times New Roman"/>
          <w:b/>
          <w:bCs/>
          <w:color w:val="000000"/>
          <w:sz w:val="36"/>
          <w:szCs w:val="36"/>
        </w:rPr>
        <w:t>Pipeline for the Zebrafish Model as a Predictor of Specific Teratogenic Effects</w:t>
      </w:r>
    </w:p>
    <w:p w14:paraId="02E5950E" w14:textId="77777777" w:rsidR="009C6F1A" w:rsidRPr="005435D8" w:rsidRDefault="009C6F1A" w:rsidP="009C6F1A">
      <w:pPr>
        <w:spacing w:after="240" w:line="240" w:lineRule="auto"/>
        <w:jc w:val="center"/>
        <w:rPr>
          <w:rFonts w:eastAsia="Times New Roman" w:cs="Times New Roman"/>
          <w:szCs w:val="24"/>
        </w:rPr>
      </w:pPr>
      <w:r w:rsidRPr="005435D8">
        <w:rPr>
          <w:rFonts w:eastAsia="Times New Roman" w:cs="Times New Roman"/>
          <w:color w:val="000000"/>
          <w:sz w:val="28"/>
          <w:szCs w:val="28"/>
        </w:rPr>
        <w:t>-----------------------------------------------------------------------</w:t>
      </w:r>
    </w:p>
    <w:p w14:paraId="3C93EE63" w14:textId="77777777" w:rsidR="009C6F1A" w:rsidRPr="009C6F1A" w:rsidRDefault="009C6F1A" w:rsidP="009C6F1A">
      <w:pPr>
        <w:spacing w:line="240" w:lineRule="auto"/>
        <w:jc w:val="center"/>
        <w:rPr>
          <w:rFonts w:eastAsia="Times New Roman" w:cs="Times New Roman"/>
          <w:sz w:val="28"/>
          <w:szCs w:val="28"/>
        </w:rPr>
      </w:pPr>
      <w:r w:rsidRPr="009C6F1A">
        <w:rPr>
          <w:rFonts w:eastAsia="Times New Roman" w:cs="Times New Roman"/>
          <w:color w:val="000000"/>
          <w:sz w:val="28"/>
          <w:szCs w:val="28"/>
        </w:rPr>
        <w:t>By</w:t>
      </w:r>
    </w:p>
    <w:p w14:paraId="122D1D91" w14:textId="77777777" w:rsidR="009C6F1A" w:rsidRPr="009C6F1A" w:rsidRDefault="009C6F1A" w:rsidP="009C6F1A">
      <w:pPr>
        <w:spacing w:line="240" w:lineRule="auto"/>
        <w:jc w:val="center"/>
        <w:rPr>
          <w:rFonts w:eastAsia="Times New Roman" w:cs="Times New Roman"/>
          <w:sz w:val="28"/>
          <w:szCs w:val="28"/>
        </w:rPr>
      </w:pPr>
      <w:r w:rsidRPr="009C6F1A">
        <w:rPr>
          <w:rFonts w:eastAsia="Times New Roman" w:cs="Times New Roman"/>
          <w:color w:val="000000"/>
          <w:sz w:val="28"/>
          <w:szCs w:val="28"/>
        </w:rPr>
        <w:t>Rachna Mirchandani</w:t>
      </w:r>
    </w:p>
    <w:p w14:paraId="440DD61C" w14:textId="77777777" w:rsidR="005507D7" w:rsidRPr="005435D8" w:rsidRDefault="005507D7" w:rsidP="00AD7256">
      <w:pPr>
        <w:spacing w:after="240" w:line="240" w:lineRule="auto"/>
        <w:jc w:val="center"/>
        <w:rPr>
          <w:rFonts w:eastAsia="Times New Roman" w:cs="Times New Roman"/>
          <w:szCs w:val="24"/>
        </w:rPr>
      </w:pPr>
      <w:r w:rsidRPr="005435D8">
        <w:rPr>
          <w:rFonts w:eastAsia="Times New Roman" w:cs="Times New Roman"/>
          <w:color w:val="000000"/>
          <w:sz w:val="28"/>
          <w:szCs w:val="28"/>
        </w:rPr>
        <w:t>-----------------------------------------------------------------------</w:t>
      </w:r>
    </w:p>
    <w:p w14:paraId="2F895DF5" w14:textId="5C238391" w:rsidR="009C6F1A" w:rsidRPr="009C6F1A" w:rsidRDefault="005507D7" w:rsidP="009C6F1A">
      <w:pPr>
        <w:spacing w:line="240" w:lineRule="auto"/>
        <w:jc w:val="center"/>
        <w:rPr>
          <w:rFonts w:eastAsia="Times New Roman" w:cs="Times New Roman"/>
          <w:color w:val="000000"/>
          <w:sz w:val="28"/>
          <w:szCs w:val="28"/>
        </w:rPr>
      </w:pPr>
      <w:r w:rsidRPr="009C6F1A">
        <w:rPr>
          <w:rFonts w:eastAsia="Times New Roman" w:cs="Times New Roman"/>
          <w:color w:val="000000"/>
          <w:sz w:val="28"/>
          <w:szCs w:val="28"/>
        </w:rPr>
        <w:t xml:space="preserve">A </w:t>
      </w:r>
      <w:r w:rsidR="009C6F1A" w:rsidRPr="009C6F1A">
        <w:rPr>
          <w:rFonts w:eastAsia="Times New Roman" w:cs="Times New Roman"/>
          <w:color w:val="000000"/>
          <w:sz w:val="28"/>
          <w:szCs w:val="28"/>
        </w:rPr>
        <w:t>d</w:t>
      </w:r>
      <w:r w:rsidRPr="009C6F1A">
        <w:rPr>
          <w:rFonts w:eastAsia="Times New Roman" w:cs="Times New Roman"/>
          <w:color w:val="000000"/>
          <w:sz w:val="28"/>
          <w:szCs w:val="28"/>
        </w:rPr>
        <w:t xml:space="preserve">issertation </w:t>
      </w:r>
      <w:r w:rsidR="009C6F1A" w:rsidRPr="009C6F1A">
        <w:rPr>
          <w:rFonts w:eastAsia="Times New Roman" w:cs="Times New Roman"/>
          <w:color w:val="000000"/>
          <w:sz w:val="28"/>
          <w:szCs w:val="28"/>
        </w:rPr>
        <w:t>submitted</w:t>
      </w:r>
      <w:r w:rsidRPr="009C6F1A">
        <w:rPr>
          <w:rFonts w:eastAsia="Times New Roman" w:cs="Times New Roman"/>
          <w:color w:val="000000"/>
          <w:sz w:val="28"/>
          <w:szCs w:val="28"/>
        </w:rPr>
        <w:t xml:space="preserve"> to</w:t>
      </w:r>
      <w:r w:rsidR="009C6F1A" w:rsidRPr="009C6F1A">
        <w:rPr>
          <w:rFonts w:eastAsia="Times New Roman" w:cs="Times New Roman"/>
          <w:sz w:val="28"/>
          <w:szCs w:val="28"/>
        </w:rPr>
        <w:t xml:space="preserve"> t</w:t>
      </w:r>
      <w:r w:rsidRPr="009C6F1A">
        <w:rPr>
          <w:rFonts w:eastAsia="Times New Roman" w:cs="Times New Roman"/>
          <w:color w:val="000000"/>
          <w:sz w:val="28"/>
          <w:szCs w:val="28"/>
        </w:rPr>
        <w:t>he</w:t>
      </w:r>
      <w:r w:rsidR="009C6F1A" w:rsidRPr="009C6F1A">
        <w:rPr>
          <w:rFonts w:eastAsia="Times New Roman" w:cs="Times New Roman"/>
          <w:color w:val="000000"/>
          <w:sz w:val="28"/>
          <w:szCs w:val="28"/>
        </w:rPr>
        <w:t xml:space="preserve"> </w:t>
      </w:r>
      <w:r w:rsidRPr="009C6F1A">
        <w:rPr>
          <w:rFonts w:eastAsia="Times New Roman" w:cs="Times New Roman"/>
          <w:color w:val="000000"/>
          <w:sz w:val="28"/>
          <w:szCs w:val="28"/>
        </w:rPr>
        <w:t>Department of Biology and Biochemistry</w:t>
      </w:r>
      <w:r w:rsidR="009C6F1A" w:rsidRPr="009C6F1A">
        <w:rPr>
          <w:rFonts w:eastAsia="Times New Roman" w:cs="Times New Roman"/>
          <w:color w:val="000000"/>
          <w:sz w:val="28"/>
          <w:szCs w:val="28"/>
        </w:rPr>
        <w:t xml:space="preserve">, </w:t>
      </w:r>
    </w:p>
    <w:p w14:paraId="472F6EC8" w14:textId="29FED04A" w:rsidR="005507D7" w:rsidRPr="009C6F1A" w:rsidRDefault="009C6F1A" w:rsidP="009C6F1A">
      <w:pPr>
        <w:spacing w:line="240" w:lineRule="auto"/>
        <w:jc w:val="center"/>
        <w:rPr>
          <w:rFonts w:eastAsia="Times New Roman" w:cs="Times New Roman"/>
          <w:sz w:val="28"/>
          <w:szCs w:val="28"/>
        </w:rPr>
      </w:pPr>
      <w:r w:rsidRPr="009C6F1A">
        <w:rPr>
          <w:rFonts w:eastAsia="Times New Roman" w:cs="Times New Roman"/>
          <w:color w:val="000000"/>
          <w:sz w:val="28"/>
          <w:szCs w:val="28"/>
        </w:rPr>
        <w:t>College of Natural Sciences and Mathematics</w:t>
      </w:r>
    </w:p>
    <w:p w14:paraId="66761095" w14:textId="14B0C287" w:rsidR="005507D7" w:rsidRPr="009C6F1A" w:rsidRDefault="009C6F1A" w:rsidP="009C6F1A">
      <w:pPr>
        <w:spacing w:line="240" w:lineRule="auto"/>
        <w:jc w:val="center"/>
        <w:rPr>
          <w:rFonts w:eastAsia="Times New Roman" w:cs="Times New Roman"/>
          <w:sz w:val="28"/>
          <w:szCs w:val="28"/>
        </w:rPr>
      </w:pPr>
      <w:r w:rsidRPr="009C6F1A">
        <w:rPr>
          <w:rFonts w:eastAsia="Times New Roman" w:cs="Times New Roman"/>
          <w:color w:val="000000"/>
          <w:sz w:val="28"/>
          <w:szCs w:val="28"/>
        </w:rPr>
        <w:t>i</w:t>
      </w:r>
      <w:r w:rsidR="005507D7" w:rsidRPr="009C6F1A">
        <w:rPr>
          <w:rFonts w:eastAsia="Times New Roman" w:cs="Times New Roman"/>
          <w:color w:val="000000"/>
          <w:sz w:val="28"/>
          <w:szCs w:val="28"/>
        </w:rPr>
        <w:t xml:space="preserve">n </w:t>
      </w:r>
      <w:r w:rsidRPr="009C6F1A">
        <w:rPr>
          <w:rFonts w:eastAsia="Times New Roman" w:cs="Times New Roman"/>
          <w:color w:val="000000"/>
          <w:sz w:val="28"/>
          <w:szCs w:val="28"/>
        </w:rPr>
        <w:t>p</w:t>
      </w:r>
      <w:r w:rsidR="005507D7" w:rsidRPr="009C6F1A">
        <w:rPr>
          <w:rFonts w:eastAsia="Times New Roman" w:cs="Times New Roman"/>
          <w:color w:val="000000"/>
          <w:sz w:val="28"/>
          <w:szCs w:val="28"/>
        </w:rPr>
        <w:t xml:space="preserve">artial </w:t>
      </w:r>
      <w:r w:rsidRPr="009C6F1A">
        <w:rPr>
          <w:rFonts w:eastAsia="Times New Roman" w:cs="Times New Roman"/>
          <w:color w:val="000000"/>
          <w:sz w:val="28"/>
          <w:szCs w:val="28"/>
        </w:rPr>
        <w:t>f</w:t>
      </w:r>
      <w:r w:rsidR="005507D7" w:rsidRPr="009C6F1A">
        <w:rPr>
          <w:rFonts w:eastAsia="Times New Roman" w:cs="Times New Roman"/>
          <w:color w:val="000000"/>
          <w:sz w:val="28"/>
          <w:szCs w:val="28"/>
        </w:rPr>
        <w:t>ulfillment</w:t>
      </w:r>
      <w:r w:rsidRPr="009C6F1A">
        <w:rPr>
          <w:rFonts w:eastAsia="Times New Roman" w:cs="Times New Roman"/>
          <w:sz w:val="28"/>
          <w:szCs w:val="28"/>
        </w:rPr>
        <w:t xml:space="preserve"> </w:t>
      </w:r>
      <w:r w:rsidR="005507D7" w:rsidRPr="009C6F1A">
        <w:rPr>
          <w:rFonts w:eastAsia="Times New Roman" w:cs="Times New Roman"/>
          <w:color w:val="000000"/>
          <w:sz w:val="28"/>
          <w:szCs w:val="28"/>
        </w:rPr>
        <w:t xml:space="preserve">of the </w:t>
      </w:r>
      <w:r w:rsidRPr="009C6F1A">
        <w:rPr>
          <w:rFonts w:eastAsia="Times New Roman" w:cs="Times New Roman"/>
          <w:color w:val="000000"/>
          <w:sz w:val="28"/>
          <w:szCs w:val="28"/>
        </w:rPr>
        <w:t>r</w:t>
      </w:r>
      <w:r w:rsidR="005507D7" w:rsidRPr="009C6F1A">
        <w:rPr>
          <w:rFonts w:eastAsia="Times New Roman" w:cs="Times New Roman"/>
          <w:color w:val="000000"/>
          <w:sz w:val="28"/>
          <w:szCs w:val="28"/>
        </w:rPr>
        <w:t xml:space="preserve">equirements for the </w:t>
      </w:r>
      <w:r w:rsidRPr="009C6F1A">
        <w:rPr>
          <w:rFonts w:eastAsia="Times New Roman" w:cs="Times New Roman"/>
          <w:color w:val="000000"/>
          <w:sz w:val="28"/>
          <w:szCs w:val="28"/>
        </w:rPr>
        <w:t>d</w:t>
      </w:r>
      <w:r w:rsidR="005507D7" w:rsidRPr="009C6F1A">
        <w:rPr>
          <w:rFonts w:eastAsia="Times New Roman" w:cs="Times New Roman"/>
          <w:color w:val="000000"/>
          <w:sz w:val="28"/>
          <w:szCs w:val="28"/>
        </w:rPr>
        <w:t>egree</w:t>
      </w:r>
      <w:r w:rsidRPr="009C6F1A">
        <w:rPr>
          <w:rFonts w:eastAsia="Times New Roman" w:cs="Times New Roman"/>
          <w:color w:val="000000"/>
          <w:sz w:val="28"/>
          <w:szCs w:val="28"/>
        </w:rPr>
        <w:t xml:space="preserve"> of </w:t>
      </w:r>
    </w:p>
    <w:p w14:paraId="5A672142" w14:textId="675220D4" w:rsidR="005507D7" w:rsidRPr="009C6F1A" w:rsidRDefault="005507D7" w:rsidP="00AD7256">
      <w:pPr>
        <w:spacing w:line="240" w:lineRule="auto"/>
        <w:jc w:val="center"/>
        <w:rPr>
          <w:rFonts w:eastAsia="Times New Roman" w:cs="Times New Roman"/>
          <w:color w:val="000000"/>
          <w:sz w:val="28"/>
          <w:szCs w:val="28"/>
        </w:rPr>
      </w:pPr>
      <w:r w:rsidRPr="009C6F1A">
        <w:rPr>
          <w:rFonts w:eastAsia="Times New Roman" w:cs="Times New Roman"/>
          <w:color w:val="000000"/>
          <w:sz w:val="28"/>
          <w:szCs w:val="28"/>
        </w:rPr>
        <w:t>Doctor of Philosophy</w:t>
      </w:r>
      <w:r w:rsidR="009C6F1A" w:rsidRPr="009C6F1A">
        <w:rPr>
          <w:rFonts w:eastAsia="Times New Roman" w:cs="Times New Roman"/>
          <w:color w:val="000000"/>
          <w:sz w:val="28"/>
          <w:szCs w:val="28"/>
        </w:rPr>
        <w:t xml:space="preserve"> in Biochemistry</w:t>
      </w:r>
    </w:p>
    <w:p w14:paraId="3C39DA7D" w14:textId="77777777" w:rsidR="009C6F1A" w:rsidRPr="005435D8" w:rsidRDefault="009C6F1A" w:rsidP="009C6F1A">
      <w:pPr>
        <w:spacing w:after="240" w:line="240" w:lineRule="auto"/>
        <w:jc w:val="center"/>
        <w:rPr>
          <w:rFonts w:eastAsia="Times New Roman" w:cs="Times New Roman"/>
          <w:szCs w:val="24"/>
        </w:rPr>
      </w:pPr>
      <w:r w:rsidRPr="005435D8">
        <w:rPr>
          <w:rFonts w:eastAsia="Times New Roman" w:cs="Times New Roman"/>
          <w:color w:val="000000"/>
          <w:sz w:val="28"/>
          <w:szCs w:val="28"/>
        </w:rPr>
        <w:t>-----------------------------------------------------------------------</w:t>
      </w:r>
    </w:p>
    <w:p w14:paraId="0FA4D6AF" w14:textId="274E13AC" w:rsidR="009C6F1A" w:rsidRPr="009C6F1A" w:rsidRDefault="009C6F1A" w:rsidP="009C6F1A">
      <w:pPr>
        <w:pStyle w:val="TitlePage"/>
        <w:rPr>
          <w:sz w:val="28"/>
          <w:szCs w:val="28"/>
        </w:rPr>
      </w:pPr>
      <w:r w:rsidRPr="009C6F1A">
        <w:rPr>
          <w:sz w:val="28"/>
          <w:szCs w:val="28"/>
        </w:rPr>
        <w:t>Chair of Committee: Dr. Jan-Ake Gustafsson</w:t>
      </w:r>
    </w:p>
    <w:p w14:paraId="41CCAD86" w14:textId="5AFB2520" w:rsidR="009C6F1A" w:rsidRPr="009C6F1A" w:rsidRDefault="009C6F1A" w:rsidP="009C6F1A">
      <w:pPr>
        <w:pStyle w:val="BodyText"/>
        <w:spacing w:after="0" w:line="240" w:lineRule="auto"/>
        <w:ind w:firstLine="0"/>
        <w:jc w:val="center"/>
        <w:rPr>
          <w:color w:val="3333FF"/>
          <w:sz w:val="28"/>
          <w:szCs w:val="28"/>
        </w:rPr>
      </w:pPr>
      <w:r w:rsidRPr="009C6F1A">
        <w:rPr>
          <w:sz w:val="28"/>
          <w:szCs w:val="28"/>
        </w:rPr>
        <w:t xml:space="preserve">             </w:t>
      </w:r>
    </w:p>
    <w:p w14:paraId="6429BF20" w14:textId="02EE3E83" w:rsidR="009C6F1A" w:rsidRPr="009C6F1A" w:rsidRDefault="009C6F1A" w:rsidP="009C6F1A">
      <w:pPr>
        <w:pStyle w:val="TitlePage"/>
        <w:rPr>
          <w:sz w:val="28"/>
          <w:szCs w:val="28"/>
        </w:rPr>
      </w:pPr>
      <w:r w:rsidRPr="009C6F1A">
        <w:rPr>
          <w:sz w:val="28"/>
          <w:szCs w:val="28"/>
        </w:rPr>
        <w:t>Committee Member: Dr. Maria Bondesson</w:t>
      </w:r>
    </w:p>
    <w:p w14:paraId="30961979" w14:textId="77777777" w:rsidR="009C6F1A" w:rsidRPr="009C6F1A" w:rsidRDefault="009C6F1A" w:rsidP="009C6F1A">
      <w:pPr>
        <w:pStyle w:val="TitlePage"/>
        <w:rPr>
          <w:sz w:val="28"/>
          <w:szCs w:val="28"/>
        </w:rPr>
      </w:pPr>
    </w:p>
    <w:p w14:paraId="095C118D" w14:textId="0DBEBF62" w:rsidR="009C6F1A" w:rsidRPr="009C6F1A" w:rsidRDefault="009C6F1A" w:rsidP="009C6F1A">
      <w:pPr>
        <w:pStyle w:val="TitlePage"/>
        <w:rPr>
          <w:sz w:val="28"/>
          <w:szCs w:val="28"/>
        </w:rPr>
      </w:pPr>
      <w:r w:rsidRPr="009C6F1A">
        <w:rPr>
          <w:sz w:val="28"/>
          <w:szCs w:val="28"/>
        </w:rPr>
        <w:t>Committee Member: Dr. Robert Schwartz</w:t>
      </w:r>
    </w:p>
    <w:p w14:paraId="2C19F27D" w14:textId="77777777" w:rsidR="009C6F1A" w:rsidRPr="009C6F1A" w:rsidRDefault="009C6F1A" w:rsidP="009C6F1A">
      <w:pPr>
        <w:pStyle w:val="TitlePage"/>
        <w:rPr>
          <w:sz w:val="28"/>
          <w:szCs w:val="28"/>
        </w:rPr>
      </w:pPr>
    </w:p>
    <w:p w14:paraId="7A787BF3" w14:textId="50E6D2D7" w:rsidR="009C6F1A" w:rsidRPr="009C6F1A" w:rsidRDefault="009C6F1A" w:rsidP="009C6F1A">
      <w:pPr>
        <w:pStyle w:val="TitlePage"/>
        <w:rPr>
          <w:sz w:val="28"/>
          <w:szCs w:val="28"/>
        </w:rPr>
      </w:pPr>
      <w:r w:rsidRPr="009C6F1A">
        <w:rPr>
          <w:sz w:val="28"/>
          <w:szCs w:val="28"/>
        </w:rPr>
        <w:t>Committee Member: Dr. Tasneem Bawa-Khalfe</w:t>
      </w:r>
    </w:p>
    <w:p w14:paraId="7B38119C" w14:textId="77777777" w:rsidR="009C6F1A" w:rsidRPr="009C6F1A" w:rsidRDefault="009C6F1A" w:rsidP="009C6F1A">
      <w:pPr>
        <w:pStyle w:val="TitlePage"/>
        <w:rPr>
          <w:sz w:val="28"/>
          <w:szCs w:val="28"/>
        </w:rPr>
      </w:pPr>
    </w:p>
    <w:p w14:paraId="31088316" w14:textId="78D013AC" w:rsidR="009C6F1A" w:rsidRPr="009C6F1A" w:rsidRDefault="009C6F1A" w:rsidP="009C6F1A">
      <w:pPr>
        <w:pStyle w:val="TitlePage"/>
        <w:rPr>
          <w:sz w:val="28"/>
          <w:szCs w:val="28"/>
        </w:rPr>
      </w:pPr>
      <w:r w:rsidRPr="009C6F1A">
        <w:rPr>
          <w:sz w:val="28"/>
          <w:szCs w:val="28"/>
        </w:rPr>
        <w:t>Committee Member: Dr. George T. Eisenhoffer</w:t>
      </w:r>
    </w:p>
    <w:p w14:paraId="2E99AEBF" w14:textId="77777777" w:rsidR="009C6F1A" w:rsidRDefault="009C6F1A" w:rsidP="009C6F1A">
      <w:pPr>
        <w:pStyle w:val="TitlePage"/>
      </w:pPr>
    </w:p>
    <w:p w14:paraId="71B503FF" w14:textId="77777777" w:rsidR="009C6F1A" w:rsidRPr="005435D8" w:rsidRDefault="009C6F1A" w:rsidP="009C6F1A">
      <w:pPr>
        <w:spacing w:before="0" w:after="240" w:line="240" w:lineRule="auto"/>
        <w:jc w:val="center"/>
        <w:rPr>
          <w:rFonts w:eastAsia="Times New Roman" w:cs="Times New Roman"/>
          <w:szCs w:val="24"/>
        </w:rPr>
      </w:pPr>
      <w:r w:rsidRPr="005435D8">
        <w:rPr>
          <w:rFonts w:eastAsia="Times New Roman" w:cs="Times New Roman"/>
          <w:color w:val="000000"/>
          <w:sz w:val="28"/>
          <w:szCs w:val="28"/>
        </w:rPr>
        <w:t>-----------------------------------------------------------------------</w:t>
      </w:r>
    </w:p>
    <w:p w14:paraId="7D284DAA" w14:textId="77777777" w:rsidR="009C6F1A" w:rsidRPr="009C6F1A" w:rsidRDefault="009C6F1A" w:rsidP="009C6F1A">
      <w:pPr>
        <w:pStyle w:val="TitlePage"/>
        <w:rPr>
          <w:sz w:val="28"/>
          <w:szCs w:val="28"/>
        </w:rPr>
      </w:pPr>
      <w:r w:rsidRPr="009C6F1A">
        <w:rPr>
          <w:sz w:val="28"/>
          <w:szCs w:val="28"/>
        </w:rPr>
        <w:t>University of Houston</w:t>
      </w:r>
    </w:p>
    <w:p w14:paraId="0E386DA5" w14:textId="52FA8C95" w:rsidR="009C6F1A" w:rsidRDefault="009C6F1A" w:rsidP="009C6F1A">
      <w:pPr>
        <w:pStyle w:val="TitlePage"/>
      </w:pPr>
      <w:r w:rsidRPr="009C6F1A">
        <w:rPr>
          <w:sz w:val="28"/>
          <w:szCs w:val="28"/>
        </w:rPr>
        <w:t>April 2020</w:t>
      </w:r>
      <w:r>
        <w:br w:type="page"/>
      </w:r>
    </w:p>
    <w:p w14:paraId="1A107D0E" w14:textId="79CAF988" w:rsidR="006923C6" w:rsidRPr="00215A58" w:rsidRDefault="00215A58" w:rsidP="00003E36">
      <w:pPr>
        <w:pStyle w:val="Heading1"/>
        <w:rPr>
          <w:sz w:val="28"/>
        </w:rPr>
      </w:pPr>
      <w:bookmarkStart w:id="0" w:name="_Toc39502019"/>
      <w:r w:rsidRPr="00215A58">
        <w:lastRenderedPageBreak/>
        <w:t>ACKNOWLEDGEMENTS</w:t>
      </w:r>
      <w:bookmarkEnd w:id="0"/>
    </w:p>
    <w:p w14:paraId="059A43E0" w14:textId="77777777" w:rsidR="006923C6" w:rsidRDefault="006923C6" w:rsidP="00A5237A">
      <w:pPr>
        <w:spacing w:before="0" w:after="0" w:line="240" w:lineRule="auto"/>
        <w:jc w:val="both"/>
        <w:rPr>
          <w:rFonts w:eastAsia="Times New Roman" w:cs="Times New Roman"/>
          <w:b/>
          <w:color w:val="000000"/>
          <w:szCs w:val="24"/>
        </w:rPr>
      </w:pPr>
    </w:p>
    <w:p w14:paraId="3D200D08" w14:textId="200F53CB" w:rsidR="00D062C9" w:rsidRPr="004003F7" w:rsidRDefault="00D062C9" w:rsidP="00D062C9">
      <w:pPr>
        <w:spacing w:line="480" w:lineRule="auto"/>
        <w:jc w:val="both"/>
        <w:rPr>
          <w:rFonts w:eastAsia="Times New Roman" w:cs="Times New Roman"/>
          <w:bCs/>
          <w:color w:val="000000"/>
          <w:szCs w:val="24"/>
        </w:rPr>
      </w:pPr>
      <w:r w:rsidRPr="004003F7">
        <w:rPr>
          <w:rFonts w:eastAsia="Times New Roman" w:cs="Times New Roman"/>
          <w:bCs/>
          <w:color w:val="000000"/>
          <w:szCs w:val="24"/>
        </w:rPr>
        <w:t xml:space="preserve">First, I would like to thank Dr. Maria Bondesson for her unwavering support and trust in me even during times of my self-doubt. She has been there for advice, </w:t>
      </w:r>
      <w:r w:rsidR="00EC053B">
        <w:rPr>
          <w:rFonts w:eastAsia="Times New Roman" w:cs="Times New Roman"/>
          <w:bCs/>
          <w:color w:val="000000"/>
          <w:szCs w:val="24"/>
        </w:rPr>
        <w:t xml:space="preserve">as an </w:t>
      </w:r>
      <w:r w:rsidRPr="004003F7">
        <w:rPr>
          <w:rFonts w:eastAsia="Times New Roman" w:cs="Times New Roman"/>
          <w:bCs/>
          <w:color w:val="000000"/>
          <w:szCs w:val="24"/>
        </w:rPr>
        <w:t>ear to listen,</w:t>
      </w:r>
      <w:r w:rsidR="00EC053B">
        <w:rPr>
          <w:rFonts w:eastAsia="Times New Roman" w:cs="Times New Roman"/>
          <w:bCs/>
          <w:color w:val="000000"/>
          <w:szCs w:val="24"/>
        </w:rPr>
        <w:t xml:space="preserve"> a</w:t>
      </w:r>
      <w:r w:rsidRPr="004003F7">
        <w:rPr>
          <w:rFonts w:eastAsia="Times New Roman" w:cs="Times New Roman"/>
          <w:bCs/>
          <w:color w:val="000000"/>
          <w:szCs w:val="24"/>
        </w:rPr>
        <w:t xml:space="preserve"> shoulder to cry on and </w:t>
      </w:r>
      <w:r w:rsidR="00EC053B">
        <w:rPr>
          <w:rFonts w:eastAsia="Times New Roman" w:cs="Times New Roman"/>
          <w:bCs/>
          <w:color w:val="000000"/>
          <w:szCs w:val="24"/>
        </w:rPr>
        <w:t>a</w:t>
      </w:r>
      <w:r w:rsidRPr="004003F7">
        <w:rPr>
          <w:rFonts w:eastAsia="Times New Roman" w:cs="Times New Roman"/>
          <w:bCs/>
          <w:color w:val="000000"/>
          <w:szCs w:val="24"/>
        </w:rPr>
        <w:t xml:space="preserve"> voice of reason whenever I felt stuck. She has allowed me to think, grow, and experiment while at the same time always been there like a safety net. She has pushed me when I am uncertain and gently corrected me when she sees something wrong. She has been one of my biggest cheerleaders through this whole grueling process. She has truly been an excellent mentor, friend and teacher. Even today there is so much I would still like to learn from her, most of all her level headedness and patience.</w:t>
      </w:r>
    </w:p>
    <w:p w14:paraId="11A0BE68" w14:textId="7FB3E260" w:rsidR="00D062C9" w:rsidRPr="004003F7" w:rsidRDefault="00D062C9" w:rsidP="00D062C9">
      <w:pPr>
        <w:spacing w:line="480" w:lineRule="auto"/>
        <w:jc w:val="both"/>
        <w:rPr>
          <w:rFonts w:eastAsia="Times New Roman" w:cs="Times New Roman"/>
          <w:bCs/>
          <w:color w:val="000000"/>
          <w:szCs w:val="24"/>
        </w:rPr>
      </w:pPr>
      <w:r w:rsidRPr="004003F7">
        <w:rPr>
          <w:rFonts w:eastAsia="Times New Roman" w:cs="Times New Roman"/>
          <w:bCs/>
          <w:color w:val="000000"/>
          <w:szCs w:val="24"/>
        </w:rPr>
        <w:t>I would also like to thank my committee members. Dr. Jan-Ake Gustafsson and Dr. Robert Schwartz who are senior professors and achieved so much themselves</w:t>
      </w:r>
      <w:r w:rsidR="00EC053B">
        <w:rPr>
          <w:rFonts w:eastAsia="Times New Roman" w:cs="Times New Roman"/>
          <w:bCs/>
          <w:color w:val="000000"/>
          <w:szCs w:val="24"/>
        </w:rPr>
        <w:t xml:space="preserve">, </w:t>
      </w:r>
      <w:r w:rsidRPr="004003F7">
        <w:rPr>
          <w:rFonts w:eastAsia="Times New Roman" w:cs="Times New Roman"/>
          <w:bCs/>
          <w:color w:val="000000"/>
          <w:szCs w:val="24"/>
        </w:rPr>
        <w:t>have always been supportive, encouraging</w:t>
      </w:r>
      <w:r w:rsidR="0096504D">
        <w:rPr>
          <w:rFonts w:eastAsia="Times New Roman" w:cs="Times New Roman"/>
          <w:bCs/>
          <w:color w:val="000000"/>
          <w:szCs w:val="24"/>
        </w:rPr>
        <w:t>,</w:t>
      </w:r>
      <w:r w:rsidRPr="004003F7">
        <w:rPr>
          <w:rFonts w:eastAsia="Times New Roman" w:cs="Times New Roman"/>
          <w:bCs/>
          <w:color w:val="000000"/>
          <w:szCs w:val="24"/>
        </w:rPr>
        <w:t xml:space="preserve"> and enthusiastic about my work. Giving sound advice and asking pertinent questions as I talk about my work. </w:t>
      </w:r>
      <w:r>
        <w:rPr>
          <w:rFonts w:eastAsia="Times New Roman" w:cs="Times New Roman"/>
          <w:bCs/>
          <w:color w:val="000000"/>
          <w:szCs w:val="24"/>
        </w:rPr>
        <w:t xml:space="preserve">I am especially grateful to Dr. Gustafsson for allowing me to join the CNRCS team and providing financial support. </w:t>
      </w:r>
      <w:r w:rsidRPr="004003F7">
        <w:rPr>
          <w:rFonts w:eastAsia="Times New Roman" w:cs="Times New Roman"/>
          <w:bCs/>
          <w:color w:val="000000"/>
          <w:szCs w:val="24"/>
        </w:rPr>
        <w:t>Dr. Tasneem Bawa-Khalfe and Dr. George T. Eisenhoffer always ask thought-provoking, practical questions that helped me look at my project through new perspectives. They would encourage me to look at the new aspects of my work without fear due to their enthusiasm to share their knowledge with me.</w:t>
      </w:r>
    </w:p>
    <w:p w14:paraId="5EB54EBB" w14:textId="77777777" w:rsidR="00D062C9" w:rsidRPr="004003F7" w:rsidRDefault="00D062C9" w:rsidP="00D062C9">
      <w:pPr>
        <w:spacing w:line="480" w:lineRule="auto"/>
        <w:jc w:val="both"/>
        <w:rPr>
          <w:rFonts w:eastAsia="Times New Roman" w:cs="Times New Roman"/>
          <w:bCs/>
          <w:color w:val="000000"/>
          <w:szCs w:val="24"/>
        </w:rPr>
      </w:pPr>
      <w:r w:rsidRPr="004003F7">
        <w:rPr>
          <w:rFonts w:eastAsia="Times New Roman" w:cs="Times New Roman"/>
          <w:bCs/>
          <w:color w:val="000000"/>
          <w:szCs w:val="24"/>
        </w:rPr>
        <w:t xml:space="preserve"> Dr. Steven Bark and Dr. Wilna Moree have also been a great source of inspiration and encouragement especially during my first few months of uncertainty when I first started my degree. They made it safe for me to say that I am uncertain about my path, reassured me it is normal, and </w:t>
      </w:r>
      <w:r w:rsidRPr="004003F7">
        <w:rPr>
          <w:rFonts w:eastAsia="Times New Roman" w:cs="Times New Roman"/>
          <w:bCs/>
          <w:color w:val="000000"/>
          <w:szCs w:val="24"/>
        </w:rPr>
        <w:lastRenderedPageBreak/>
        <w:t>then gently encouraged me to explore what I enjoy. I will never forget their faith in my ability to achieve whatever I wished to do.</w:t>
      </w:r>
    </w:p>
    <w:p w14:paraId="6C9A498D" w14:textId="77777777" w:rsidR="00D062C9" w:rsidRPr="004003F7" w:rsidRDefault="00D062C9" w:rsidP="00D062C9">
      <w:pPr>
        <w:spacing w:line="480" w:lineRule="auto"/>
        <w:jc w:val="both"/>
        <w:rPr>
          <w:rFonts w:eastAsia="Times New Roman" w:cs="Times New Roman"/>
          <w:bCs/>
          <w:color w:val="000000"/>
          <w:szCs w:val="24"/>
        </w:rPr>
      </w:pPr>
      <w:r w:rsidRPr="004003F7">
        <w:rPr>
          <w:rFonts w:eastAsia="Times New Roman" w:cs="Times New Roman"/>
          <w:bCs/>
          <w:color w:val="000000"/>
          <w:szCs w:val="24"/>
        </w:rPr>
        <w:t xml:space="preserve">I </w:t>
      </w:r>
      <w:r>
        <w:rPr>
          <w:rFonts w:eastAsia="Times New Roman" w:cs="Times New Roman"/>
          <w:bCs/>
          <w:color w:val="000000"/>
          <w:szCs w:val="24"/>
        </w:rPr>
        <w:t>am grateful to have had a chance to work with</w:t>
      </w:r>
      <w:r w:rsidRPr="004003F7">
        <w:rPr>
          <w:rFonts w:eastAsia="Times New Roman" w:cs="Times New Roman"/>
          <w:bCs/>
          <w:color w:val="000000"/>
          <w:szCs w:val="24"/>
        </w:rPr>
        <w:t xml:space="preserve"> Dr. Chad Wayne. I truly feel like my time at UH would have been incomplete if I hadn’t had the pleasure to work with him. He advised me on so many things, usually more related to real life than to work. From, how to be a more effective teacher? To, how to deal with difficult people in life? Conversations with him were always fun and eye-opening. </w:t>
      </w:r>
    </w:p>
    <w:p w14:paraId="76049C75" w14:textId="77777777" w:rsidR="00D062C9" w:rsidRPr="004003F7" w:rsidRDefault="00D062C9" w:rsidP="00D062C9">
      <w:pPr>
        <w:spacing w:line="480" w:lineRule="auto"/>
        <w:jc w:val="both"/>
        <w:rPr>
          <w:rFonts w:eastAsia="Times New Roman" w:cs="Times New Roman"/>
          <w:bCs/>
          <w:color w:val="000000"/>
          <w:szCs w:val="24"/>
        </w:rPr>
      </w:pPr>
      <w:r w:rsidRPr="004003F7">
        <w:rPr>
          <w:rFonts w:eastAsia="Times New Roman" w:cs="Times New Roman"/>
          <w:bCs/>
          <w:color w:val="000000"/>
          <w:szCs w:val="24"/>
        </w:rPr>
        <w:t>I would also like to express my gratitude towards Dr. Sharanya Kalasekar for sharing her knowledge of everything zebrafish, from husbandry to experiment planning. I would also like to thank Nestor</w:t>
      </w:r>
      <w:r>
        <w:rPr>
          <w:rFonts w:eastAsia="Times New Roman" w:cs="Times New Roman"/>
          <w:bCs/>
          <w:color w:val="000000"/>
          <w:szCs w:val="24"/>
        </w:rPr>
        <w:t xml:space="preserve"> Narvaez</w:t>
      </w:r>
      <w:r w:rsidRPr="004003F7">
        <w:rPr>
          <w:rFonts w:eastAsia="Times New Roman" w:cs="Times New Roman"/>
          <w:bCs/>
          <w:color w:val="000000"/>
          <w:szCs w:val="24"/>
        </w:rPr>
        <w:t xml:space="preserve">, Juan </w:t>
      </w:r>
      <w:r>
        <w:rPr>
          <w:rFonts w:eastAsia="Times New Roman" w:cs="Times New Roman"/>
          <w:bCs/>
          <w:color w:val="000000"/>
          <w:szCs w:val="24"/>
        </w:rPr>
        <w:t xml:space="preserve">Narvaez </w:t>
      </w:r>
      <w:r w:rsidRPr="004003F7">
        <w:rPr>
          <w:rFonts w:eastAsia="Times New Roman" w:cs="Times New Roman"/>
          <w:bCs/>
          <w:color w:val="000000"/>
          <w:szCs w:val="24"/>
        </w:rPr>
        <w:t>and Muzamil</w:t>
      </w:r>
      <w:r>
        <w:rPr>
          <w:rFonts w:eastAsia="Times New Roman" w:cs="Times New Roman"/>
          <w:bCs/>
          <w:color w:val="000000"/>
          <w:szCs w:val="24"/>
        </w:rPr>
        <w:t xml:space="preserve"> Haq</w:t>
      </w:r>
      <w:r w:rsidRPr="004003F7">
        <w:rPr>
          <w:rFonts w:eastAsia="Times New Roman" w:cs="Times New Roman"/>
          <w:bCs/>
          <w:color w:val="000000"/>
          <w:szCs w:val="24"/>
        </w:rPr>
        <w:t>, without whom our fishes wouldn’t be the happy little creatures they were. They also saved me from a lot of heavy lifting in the lab. The two undergraduates, Divya Chilukuri and Sara Flores have also been such an important part of achieving the work I have during my PhD. I absolutely enjoyed their company and working alongside them a</w:t>
      </w:r>
      <w:r>
        <w:rPr>
          <w:rFonts w:eastAsia="Times New Roman" w:cs="Times New Roman"/>
          <w:bCs/>
          <w:color w:val="000000"/>
          <w:szCs w:val="24"/>
        </w:rPr>
        <w:t>ll</w:t>
      </w:r>
      <w:r w:rsidRPr="004003F7">
        <w:rPr>
          <w:rFonts w:eastAsia="Times New Roman" w:cs="Times New Roman"/>
          <w:bCs/>
          <w:color w:val="000000"/>
          <w:szCs w:val="24"/>
        </w:rPr>
        <w:t>. It made coming into the lab so much fun.</w:t>
      </w:r>
    </w:p>
    <w:p w14:paraId="29F3269F" w14:textId="77777777" w:rsidR="00D062C9" w:rsidRDefault="00D062C9" w:rsidP="00D062C9">
      <w:pPr>
        <w:spacing w:line="480" w:lineRule="auto"/>
        <w:jc w:val="both"/>
        <w:rPr>
          <w:rFonts w:eastAsia="Times New Roman" w:cs="Times New Roman"/>
          <w:bCs/>
          <w:color w:val="000000"/>
          <w:szCs w:val="24"/>
        </w:rPr>
      </w:pPr>
      <w:r w:rsidRPr="004003F7">
        <w:rPr>
          <w:rFonts w:eastAsia="Times New Roman" w:cs="Times New Roman"/>
          <w:bCs/>
          <w:color w:val="000000"/>
          <w:szCs w:val="24"/>
        </w:rPr>
        <w:t xml:space="preserve">I would like to thank Dr. Igor Bado, Dr. Fahmi Mesmar and Dr. Jeff Spencer for being such a great source of knowledge and encouragement in the lab. They were always around to bounce ideas off of or to give advice or to calm my nerves as I waited for the results of all the major exams. </w:t>
      </w:r>
    </w:p>
    <w:p w14:paraId="701D6DD0" w14:textId="77777777" w:rsidR="00D062C9" w:rsidRDefault="00D062C9" w:rsidP="00D062C9">
      <w:pPr>
        <w:spacing w:line="480" w:lineRule="auto"/>
        <w:jc w:val="both"/>
        <w:rPr>
          <w:rFonts w:eastAsia="Times New Roman" w:cs="Times New Roman"/>
          <w:bCs/>
          <w:color w:val="000000"/>
          <w:szCs w:val="24"/>
        </w:rPr>
      </w:pPr>
      <w:r>
        <w:rPr>
          <w:rFonts w:eastAsia="Times New Roman" w:cs="Times New Roman"/>
          <w:bCs/>
          <w:color w:val="000000"/>
          <w:szCs w:val="24"/>
        </w:rPr>
        <w:t xml:space="preserve">Our team at IU consisting of Dr. Sherry Clendenon, Dr. Jason Coral, Beas Bhattacharya, Maram Muhsen, and Silvia Karim made me feel welcome and shared with me not just their lab space but also their friendship. They made me feel at home and were part of the reason for me falling in love </w:t>
      </w:r>
      <w:r>
        <w:rPr>
          <w:rFonts w:eastAsia="Times New Roman" w:cs="Times New Roman"/>
          <w:bCs/>
          <w:color w:val="000000"/>
          <w:szCs w:val="24"/>
        </w:rPr>
        <w:lastRenderedPageBreak/>
        <w:t>with Bloomington. Their support played a big role in me being as productive as I was during my time there.</w:t>
      </w:r>
    </w:p>
    <w:p w14:paraId="340AAC6A" w14:textId="77777777" w:rsidR="00D062C9" w:rsidRDefault="00D062C9" w:rsidP="00D062C9">
      <w:pPr>
        <w:spacing w:line="480" w:lineRule="auto"/>
        <w:jc w:val="both"/>
        <w:rPr>
          <w:rFonts w:eastAsia="Times New Roman" w:cs="Times New Roman"/>
          <w:bCs/>
          <w:color w:val="000000"/>
          <w:szCs w:val="24"/>
        </w:rPr>
      </w:pPr>
      <w:r>
        <w:rPr>
          <w:rFonts w:eastAsia="Times New Roman" w:cs="Times New Roman"/>
          <w:bCs/>
          <w:color w:val="000000"/>
          <w:szCs w:val="24"/>
        </w:rPr>
        <w:t>I would like to take this opportunity to also thank Dr. Savini Thrikawala, my closest friend, a wonderful colleague, and one of the most encouraging influences in my life. She would continue believing in me even when I wouldn’t, and she always brought out the best in me. My talks and discussions with her always left me feeling positive and uplifted. She was the only person who could make sense of all the garbled stuff I would say when stressed and I will be forever thankful for her friendship. I am also very grateful for Dr. Priyanka Srivastava’s friendship through all the years of my doctoral degree. She was always there to be the level-headed, practical and responsible person. With a maternal streak, she was one of the people responsible for me being on track with everything work related. Always positive while being an eternal worrier, she made me feel safe and cared for.</w:t>
      </w:r>
    </w:p>
    <w:p w14:paraId="18852F0F" w14:textId="33006CE5" w:rsidR="00D062C9" w:rsidRDefault="00D062C9" w:rsidP="00D062C9">
      <w:pPr>
        <w:spacing w:line="480" w:lineRule="auto"/>
        <w:jc w:val="both"/>
        <w:rPr>
          <w:rFonts w:eastAsia="Times New Roman" w:cs="Times New Roman"/>
          <w:bCs/>
          <w:color w:val="000000"/>
          <w:szCs w:val="24"/>
        </w:rPr>
      </w:pPr>
      <w:r>
        <w:rPr>
          <w:rFonts w:eastAsia="Times New Roman" w:cs="Times New Roman"/>
          <w:bCs/>
          <w:color w:val="000000"/>
          <w:szCs w:val="24"/>
        </w:rPr>
        <w:t>I am grateful also for the friendship of Rochelle Savage,</w:t>
      </w:r>
      <w:r w:rsidR="00465302">
        <w:rPr>
          <w:rFonts w:eastAsia="Times New Roman" w:cs="Times New Roman"/>
          <w:bCs/>
          <w:color w:val="000000"/>
          <w:szCs w:val="24"/>
        </w:rPr>
        <w:t xml:space="preserve"> Dr.</w:t>
      </w:r>
      <w:r>
        <w:rPr>
          <w:rFonts w:eastAsia="Times New Roman" w:cs="Times New Roman"/>
          <w:bCs/>
          <w:color w:val="000000"/>
          <w:szCs w:val="24"/>
        </w:rPr>
        <w:t xml:space="preserve"> Jason Atkins, TaQuida Boclair, Mitch Lombard</w:t>
      </w:r>
      <w:r w:rsidR="0096504D">
        <w:rPr>
          <w:rFonts w:eastAsia="Times New Roman" w:cs="Times New Roman"/>
          <w:bCs/>
          <w:color w:val="000000"/>
          <w:szCs w:val="24"/>
        </w:rPr>
        <w:t>,</w:t>
      </w:r>
      <w:r>
        <w:rPr>
          <w:rFonts w:eastAsia="Times New Roman" w:cs="Times New Roman"/>
          <w:bCs/>
          <w:color w:val="000000"/>
          <w:szCs w:val="24"/>
        </w:rPr>
        <w:t xml:space="preserve"> and Jocelyn Lombard. They were my mid-night calls, my cheerleaders and my support system that helped me keep it all together. They have been there for all my ups and downs and stood by me through it all.</w:t>
      </w:r>
    </w:p>
    <w:p w14:paraId="486B100A" w14:textId="77777777" w:rsidR="00D062C9" w:rsidRPr="004003F7" w:rsidRDefault="00D062C9" w:rsidP="00D062C9">
      <w:pPr>
        <w:spacing w:line="480" w:lineRule="auto"/>
        <w:jc w:val="both"/>
        <w:rPr>
          <w:rFonts w:eastAsia="Times New Roman" w:cs="Times New Roman"/>
          <w:bCs/>
          <w:color w:val="000000"/>
          <w:szCs w:val="24"/>
        </w:rPr>
      </w:pPr>
      <w:r>
        <w:rPr>
          <w:rFonts w:eastAsia="Times New Roman" w:cs="Times New Roman"/>
          <w:bCs/>
          <w:color w:val="000000"/>
          <w:szCs w:val="24"/>
        </w:rPr>
        <w:t xml:space="preserve">Finally, and most importantly I would like to thank my parents, brother and sister-in-law. Without them I wouldn’t be where I am today. They are my safety net, my advisors and the people who have enabled me to go after my dreams with everything I have got. Most of all I am grateful for my son, Kiaan who is the sunshine of my life, the force that drives me and the person who makes it feel like everything will be just fine. </w:t>
      </w:r>
    </w:p>
    <w:p w14:paraId="567DE91B" w14:textId="270B6B83" w:rsidR="00215A58" w:rsidRPr="0099784D" w:rsidRDefault="00215A58" w:rsidP="00003E36">
      <w:pPr>
        <w:pStyle w:val="Heading1"/>
      </w:pPr>
      <w:bookmarkStart w:id="1" w:name="_Toc39502020"/>
      <w:r w:rsidRPr="0099784D">
        <w:lastRenderedPageBreak/>
        <w:t>ABSTRACT</w:t>
      </w:r>
      <w:bookmarkEnd w:id="1"/>
    </w:p>
    <w:p w14:paraId="2E486246" w14:textId="77777777" w:rsidR="00215A58" w:rsidRDefault="00215A58" w:rsidP="00A5237A">
      <w:pPr>
        <w:spacing w:before="0" w:after="0" w:line="240" w:lineRule="auto"/>
        <w:jc w:val="both"/>
        <w:rPr>
          <w:rFonts w:eastAsia="Times New Roman" w:cs="Times New Roman"/>
          <w:b/>
          <w:color w:val="000000"/>
          <w:szCs w:val="24"/>
        </w:rPr>
      </w:pPr>
    </w:p>
    <w:p w14:paraId="4C75C5F9" w14:textId="1EF22DA6" w:rsidR="00FB7C01" w:rsidRDefault="00FB7C01" w:rsidP="00662B58">
      <w:pPr>
        <w:pStyle w:val="Default"/>
        <w:spacing w:line="480" w:lineRule="auto"/>
        <w:jc w:val="both"/>
      </w:pPr>
      <w:r>
        <w:rPr>
          <w:rFonts w:eastAsia="Times New Roman"/>
        </w:rPr>
        <w:t xml:space="preserve">Over 80,000 </w:t>
      </w:r>
      <w:r>
        <w:rPr>
          <w:rFonts w:eastAsia="Times New Roman"/>
          <w:iCs/>
        </w:rPr>
        <w:t xml:space="preserve">synthetic chemicals </w:t>
      </w:r>
      <w:r w:rsidR="0042111F">
        <w:rPr>
          <w:rFonts w:eastAsia="Times New Roman"/>
          <w:iCs/>
        </w:rPr>
        <w:t>are currently in commercial use</w:t>
      </w:r>
      <w:r w:rsidR="0042111F">
        <w:rPr>
          <w:rFonts w:eastAsia="Times New Roman"/>
        </w:rPr>
        <w:t xml:space="preserve"> </w:t>
      </w:r>
      <w:r>
        <w:rPr>
          <w:rFonts w:eastAsia="Times New Roman"/>
        </w:rPr>
        <w:t>without a full assessment of their adverse effects</w:t>
      </w:r>
      <w:r w:rsidR="003B3606">
        <w:rPr>
          <w:rFonts w:eastAsia="Times New Roman"/>
        </w:rPr>
        <w:t>,</w:t>
      </w:r>
      <w:r>
        <w:rPr>
          <w:rFonts w:eastAsia="Times New Roman"/>
        </w:rPr>
        <w:t xml:space="preserve"> especially </w:t>
      </w:r>
      <w:r w:rsidR="003B3606">
        <w:rPr>
          <w:rFonts w:eastAsia="Times New Roman"/>
        </w:rPr>
        <w:t>on</w:t>
      </w:r>
      <w:r>
        <w:rPr>
          <w:rFonts w:eastAsia="Times New Roman"/>
        </w:rPr>
        <w:t xml:space="preserve"> developmental stages</w:t>
      </w:r>
      <w:r w:rsidR="003B3606">
        <w:rPr>
          <w:rFonts w:eastAsia="Times New Roman"/>
        </w:rPr>
        <w:t xml:space="preserve"> of life</w:t>
      </w:r>
      <w:r>
        <w:rPr>
          <w:rFonts w:eastAsia="Times New Roman"/>
        </w:rPr>
        <w:t xml:space="preserve">. Exposure to some of these </w:t>
      </w:r>
      <w:r>
        <w:rPr>
          <w:rFonts w:eastAsia="Times New Roman"/>
          <w:iCs/>
        </w:rPr>
        <w:t>chemicals</w:t>
      </w:r>
      <w:r>
        <w:rPr>
          <w:rFonts w:eastAsia="Times New Roman"/>
          <w:i/>
        </w:rPr>
        <w:t xml:space="preserve"> </w:t>
      </w:r>
      <w:r>
        <w:rPr>
          <w:rFonts w:eastAsia="Times New Roman"/>
        </w:rPr>
        <w:t>has been linked to birth defects, chronic disease</w:t>
      </w:r>
      <w:r w:rsidR="0096504D">
        <w:rPr>
          <w:rFonts w:eastAsia="Times New Roman"/>
        </w:rPr>
        <w:t>,</w:t>
      </w:r>
      <w:r>
        <w:rPr>
          <w:rFonts w:eastAsia="Times New Roman"/>
        </w:rPr>
        <w:t xml:space="preserve"> and cancer. </w:t>
      </w:r>
      <w:r w:rsidR="003B3606">
        <w:t>Synthetic</w:t>
      </w:r>
      <w:r>
        <w:t xml:space="preserve"> chemicals are also present in everyday items, such as food, household cleaners</w:t>
      </w:r>
      <w:r w:rsidR="0096504D">
        <w:t>,</w:t>
      </w:r>
      <w:r>
        <w:t xml:space="preserve"> and lawn care products. </w:t>
      </w:r>
      <w:r>
        <w:rPr>
          <w:rFonts w:eastAsia="Times New Roman"/>
        </w:rPr>
        <w:t>Zebrafish (</w:t>
      </w:r>
      <w:r>
        <w:rPr>
          <w:rFonts w:eastAsia="Times New Roman"/>
          <w:i/>
          <w:iCs/>
        </w:rPr>
        <w:t>Danio rerio</w:t>
      </w:r>
      <w:r>
        <w:rPr>
          <w:rFonts w:eastAsia="Times New Roman"/>
        </w:rPr>
        <w:t xml:space="preserve">) are an effective alternative </w:t>
      </w:r>
      <w:r>
        <w:rPr>
          <w:rFonts w:eastAsia="Times New Roman"/>
          <w:i/>
          <w:iCs/>
        </w:rPr>
        <w:t>in vivo</w:t>
      </w:r>
      <w:r>
        <w:rPr>
          <w:rFonts w:eastAsia="Times New Roman"/>
        </w:rPr>
        <w:t xml:space="preserve"> model to standard mammalian models for teratogenic studies owing to their rapid development, low cost, and genetic homology to humans. The availability of transgenic fish that express fluorescence in specific tissues or organs allows for detection of tissue-specific structural malformations in live fish. </w:t>
      </w:r>
      <w:r w:rsidR="00FB10B8">
        <w:rPr>
          <w:rFonts w:eastAsia="Times New Roman"/>
          <w:iCs/>
        </w:rPr>
        <w:t>We have used the zebrafish model to</w:t>
      </w:r>
      <w:r>
        <w:rPr>
          <w:rFonts w:eastAsia="Times New Roman"/>
          <w:iCs/>
        </w:rPr>
        <w:t xml:space="preserve"> understand the adverse effects </w:t>
      </w:r>
      <w:r w:rsidR="00984063">
        <w:rPr>
          <w:rFonts w:eastAsia="Times New Roman"/>
          <w:iCs/>
        </w:rPr>
        <w:t xml:space="preserve">that </w:t>
      </w:r>
      <w:r>
        <w:rPr>
          <w:rFonts w:eastAsia="Times New Roman"/>
          <w:iCs/>
        </w:rPr>
        <w:t>potential teratogens have on living systems</w:t>
      </w:r>
      <w:r w:rsidR="00984063">
        <w:rPr>
          <w:rFonts w:eastAsia="Times New Roman"/>
          <w:iCs/>
        </w:rPr>
        <w:t>,</w:t>
      </w:r>
      <w:r>
        <w:rPr>
          <w:rFonts w:eastAsia="Times New Roman"/>
          <w:iCs/>
        </w:rPr>
        <w:t xml:space="preserve"> and to establish a rapid </w:t>
      </w:r>
      <w:r w:rsidR="00984063">
        <w:rPr>
          <w:rFonts w:eastAsia="Times New Roman"/>
          <w:iCs/>
        </w:rPr>
        <w:t xml:space="preserve">and </w:t>
      </w:r>
      <w:r>
        <w:rPr>
          <w:rFonts w:eastAsia="Times New Roman"/>
          <w:iCs/>
        </w:rPr>
        <w:t xml:space="preserve">reliable screening method </w:t>
      </w:r>
      <w:r>
        <w:rPr>
          <w:rFonts w:eastAsia="Times New Roman"/>
          <w:i/>
        </w:rPr>
        <w:t>in vivo</w:t>
      </w:r>
      <w:r w:rsidR="00984063">
        <w:rPr>
          <w:rFonts w:eastAsia="Times New Roman"/>
          <w:iCs/>
        </w:rPr>
        <w:t>. Transgenic fish were used</w:t>
      </w:r>
      <w:r>
        <w:rPr>
          <w:rFonts w:eastAsia="Times New Roman"/>
          <w:iCs/>
        </w:rPr>
        <w:t xml:space="preserve"> to </w:t>
      </w:r>
      <w:r w:rsidR="0015449A">
        <w:rPr>
          <w:rFonts w:eastAsia="Times New Roman"/>
          <w:iCs/>
        </w:rPr>
        <w:t>screen for</w:t>
      </w:r>
      <w:r>
        <w:rPr>
          <w:rFonts w:eastAsia="Times New Roman"/>
          <w:iCs/>
        </w:rPr>
        <w:t xml:space="preserve"> chemicals that perturb angiogenesis and posterior lateral line (PLL) development</w:t>
      </w:r>
      <w:r w:rsidR="00FB10B8">
        <w:rPr>
          <w:rFonts w:eastAsia="Times New Roman"/>
          <w:iCs/>
        </w:rPr>
        <w:t>,</w:t>
      </w:r>
      <w:r>
        <w:rPr>
          <w:rFonts w:eastAsia="Times New Roman"/>
          <w:iCs/>
        </w:rPr>
        <w:t xml:space="preserve"> and </w:t>
      </w:r>
      <w:r w:rsidR="0015449A">
        <w:rPr>
          <w:rFonts w:eastAsia="Times New Roman"/>
          <w:iCs/>
        </w:rPr>
        <w:t>the screening results subjected to</w:t>
      </w:r>
      <w:r w:rsidR="00FB10B8">
        <w:rPr>
          <w:rFonts w:eastAsia="Times New Roman"/>
          <w:iCs/>
        </w:rPr>
        <w:t xml:space="preserve"> </w:t>
      </w:r>
      <w:r>
        <w:rPr>
          <w:rFonts w:eastAsia="Times New Roman"/>
          <w:iCs/>
        </w:rPr>
        <w:t xml:space="preserve">computational toxicology </w:t>
      </w:r>
      <w:r w:rsidR="0015449A">
        <w:rPr>
          <w:rFonts w:eastAsia="Times New Roman"/>
          <w:iCs/>
        </w:rPr>
        <w:t xml:space="preserve">to </w:t>
      </w:r>
      <w:r>
        <w:rPr>
          <w:rFonts w:eastAsia="Times New Roman"/>
          <w:iCs/>
        </w:rPr>
        <w:t xml:space="preserve">elucidate the molecular pathways </w:t>
      </w:r>
      <w:r w:rsidR="00FB10B8">
        <w:rPr>
          <w:rFonts w:eastAsia="Times New Roman"/>
          <w:iCs/>
        </w:rPr>
        <w:t>by</w:t>
      </w:r>
      <w:r>
        <w:rPr>
          <w:rFonts w:eastAsia="Times New Roman"/>
          <w:iCs/>
        </w:rPr>
        <w:t xml:space="preserve"> which </w:t>
      </w:r>
      <w:r w:rsidR="00FB10B8">
        <w:rPr>
          <w:rFonts w:eastAsia="Times New Roman"/>
          <w:iCs/>
        </w:rPr>
        <w:t>teratogens</w:t>
      </w:r>
      <w:r>
        <w:rPr>
          <w:rFonts w:eastAsia="Times New Roman"/>
          <w:iCs/>
        </w:rPr>
        <w:t xml:space="preserve"> cause these specific phenotypic effects. </w:t>
      </w:r>
      <w:r>
        <w:t xml:space="preserve">We screened 175 ToxCast Phase I chemicals in zebrafish for vascular teratogenicity (vascular disrupting chemicals; VDCs) and identified </w:t>
      </w:r>
      <w:r w:rsidR="00F814BB">
        <w:t>ten</w:t>
      </w:r>
      <w:r>
        <w:t xml:space="preserve"> chemicals that interfered with intersegmental vessel (ISV) development. For PLL teratogenicity (PLL disruptors, PLLDs), we tested all 292 chemicals from the ToxCast Phase I library and identified 22 chemicals that reduced the number of deposited neuromasts. The chemical hit lists for each of the developmental perturbations observed were then compared to the ToxCast </w:t>
      </w:r>
      <w:r>
        <w:rPr>
          <w:i/>
          <w:iCs/>
        </w:rPr>
        <w:t>in vitro</w:t>
      </w:r>
      <w:r>
        <w:t xml:space="preserve"> assays to produce a phenotype-specific assay profile of genes or molecular pathways through which these chemicals may be acting. The assay profiles were used to predict other chemicals from the ToxCast Phase II library that </w:t>
      </w:r>
      <w:r w:rsidR="00DB50E8">
        <w:t>could be</w:t>
      </w:r>
      <w:r>
        <w:t xml:space="preserve"> potential VDCs or PLLDs. </w:t>
      </w:r>
      <w:r>
        <w:rPr>
          <w:rFonts w:eastAsia="Times New Roman"/>
        </w:rPr>
        <w:t xml:space="preserve">In summary, we have established a rapid </w:t>
      </w:r>
      <w:r>
        <w:rPr>
          <w:rFonts w:eastAsia="Times New Roman"/>
        </w:rPr>
        <w:lastRenderedPageBreak/>
        <w:t xml:space="preserve">screening method for phenotypic outcomes in zebrafish and combined it with computational analysis of ToxCast </w:t>
      </w:r>
      <w:r>
        <w:rPr>
          <w:rFonts w:eastAsia="Times New Roman"/>
          <w:i/>
          <w:iCs/>
        </w:rPr>
        <w:t>in vitro</w:t>
      </w:r>
      <w:r>
        <w:rPr>
          <w:rFonts w:eastAsia="Times New Roman"/>
        </w:rPr>
        <w:t xml:space="preserve"> data to obtain phenotype-specific assay profiles that</w:t>
      </w:r>
      <w:r>
        <w:t xml:space="preserve"> can further be used to rank toxicants tested in the Tox21 project to speed up prioritization of chemicals for further testing </w:t>
      </w:r>
      <w:r>
        <w:rPr>
          <w:i/>
        </w:rPr>
        <w:t>in vivo</w:t>
      </w:r>
      <w:r>
        <w:t>, and in the long run result in an improved risk assessment for human and environmental health.</w:t>
      </w:r>
    </w:p>
    <w:p w14:paraId="4E0270DC" w14:textId="4EB09338" w:rsidR="001B2C60" w:rsidRDefault="001B2C60" w:rsidP="00A5237A">
      <w:pPr>
        <w:pStyle w:val="Default"/>
        <w:spacing w:line="480" w:lineRule="auto"/>
        <w:jc w:val="both"/>
      </w:pPr>
    </w:p>
    <w:p w14:paraId="670CA960" w14:textId="6BCAC680" w:rsidR="001B2C60" w:rsidRDefault="001B2C60" w:rsidP="00A5237A">
      <w:pPr>
        <w:pStyle w:val="Default"/>
        <w:spacing w:line="480" w:lineRule="auto"/>
        <w:jc w:val="both"/>
      </w:pPr>
    </w:p>
    <w:p w14:paraId="5D2E1BA7" w14:textId="4CE7B8F3" w:rsidR="001B2C60" w:rsidRDefault="001B2C60" w:rsidP="00A5237A">
      <w:pPr>
        <w:pStyle w:val="Default"/>
        <w:spacing w:line="480" w:lineRule="auto"/>
        <w:jc w:val="both"/>
      </w:pPr>
    </w:p>
    <w:p w14:paraId="70AF0F9A" w14:textId="06F6722C" w:rsidR="001B2C60" w:rsidRDefault="001B2C60" w:rsidP="00A5237A">
      <w:pPr>
        <w:pStyle w:val="Default"/>
        <w:spacing w:line="480" w:lineRule="auto"/>
        <w:jc w:val="both"/>
      </w:pPr>
    </w:p>
    <w:p w14:paraId="3786B2C3" w14:textId="4584C632" w:rsidR="001B2C60" w:rsidRDefault="001B2C60" w:rsidP="00A5237A">
      <w:pPr>
        <w:pStyle w:val="Default"/>
        <w:spacing w:line="480" w:lineRule="auto"/>
        <w:jc w:val="both"/>
      </w:pPr>
    </w:p>
    <w:p w14:paraId="11B44076" w14:textId="4B19AF9B" w:rsidR="001B2C60" w:rsidRDefault="001B2C60" w:rsidP="00A5237A">
      <w:pPr>
        <w:pStyle w:val="Default"/>
        <w:spacing w:line="480" w:lineRule="auto"/>
        <w:jc w:val="both"/>
      </w:pPr>
    </w:p>
    <w:p w14:paraId="3372A4C0" w14:textId="5027329D" w:rsidR="001B2C60" w:rsidRDefault="001B2C60" w:rsidP="00A5237A">
      <w:pPr>
        <w:pStyle w:val="Default"/>
        <w:spacing w:line="480" w:lineRule="auto"/>
        <w:jc w:val="both"/>
      </w:pPr>
    </w:p>
    <w:p w14:paraId="0ACD9B36" w14:textId="0CC828DB" w:rsidR="001B2C60" w:rsidRDefault="001B2C60" w:rsidP="00A5237A">
      <w:pPr>
        <w:pStyle w:val="Default"/>
        <w:spacing w:line="480" w:lineRule="auto"/>
        <w:jc w:val="both"/>
      </w:pPr>
    </w:p>
    <w:p w14:paraId="75D422E9" w14:textId="664C3E2D" w:rsidR="001B2C60" w:rsidRDefault="001B2C60" w:rsidP="00A5237A">
      <w:pPr>
        <w:pStyle w:val="Default"/>
        <w:spacing w:line="480" w:lineRule="auto"/>
        <w:jc w:val="both"/>
      </w:pPr>
    </w:p>
    <w:p w14:paraId="15FA362B" w14:textId="3AFCBFBA" w:rsidR="001B2C60" w:rsidRDefault="001B2C60" w:rsidP="00A5237A">
      <w:pPr>
        <w:pStyle w:val="Default"/>
        <w:spacing w:line="480" w:lineRule="auto"/>
        <w:jc w:val="both"/>
      </w:pPr>
    </w:p>
    <w:p w14:paraId="0D540D94" w14:textId="6C99936C" w:rsidR="001B2C60" w:rsidRDefault="001B2C60" w:rsidP="00A5237A">
      <w:pPr>
        <w:pStyle w:val="Default"/>
        <w:spacing w:line="480" w:lineRule="auto"/>
        <w:jc w:val="both"/>
      </w:pPr>
    </w:p>
    <w:p w14:paraId="11CB729D" w14:textId="44F8AA81" w:rsidR="001B2C60" w:rsidRDefault="001B2C60" w:rsidP="00A5237A">
      <w:pPr>
        <w:pStyle w:val="Default"/>
        <w:spacing w:line="480" w:lineRule="auto"/>
        <w:jc w:val="both"/>
      </w:pPr>
    </w:p>
    <w:p w14:paraId="12B1FCEB" w14:textId="77777777" w:rsidR="001B2C60" w:rsidRDefault="001B2C60" w:rsidP="00A5237A">
      <w:pPr>
        <w:pStyle w:val="Default"/>
        <w:spacing w:line="480" w:lineRule="auto"/>
        <w:jc w:val="both"/>
      </w:pPr>
    </w:p>
    <w:p w14:paraId="5666A44F" w14:textId="77777777" w:rsidR="00D47BAC" w:rsidRDefault="00D47BAC" w:rsidP="00A5237A">
      <w:pPr>
        <w:spacing w:before="0" w:after="0" w:line="480" w:lineRule="auto"/>
        <w:jc w:val="both"/>
        <w:rPr>
          <w:rFonts w:eastAsia="Times New Roman" w:cs="Times New Roman"/>
          <w:color w:val="000000"/>
          <w:szCs w:val="24"/>
        </w:rPr>
      </w:pPr>
    </w:p>
    <w:sdt>
      <w:sdtPr>
        <w:rPr>
          <w:rFonts w:ascii="Times New Roman" w:eastAsiaTheme="minorEastAsia" w:hAnsi="Times New Roman" w:cstheme="minorBidi"/>
          <w:color w:val="000000" w:themeColor="text1"/>
          <w:sz w:val="24"/>
          <w:szCs w:val="20"/>
        </w:rPr>
        <w:id w:val="297811118"/>
        <w:docPartObj>
          <w:docPartGallery w:val="Table of Contents"/>
          <w:docPartUnique/>
        </w:docPartObj>
      </w:sdtPr>
      <w:sdtEndPr>
        <w:rPr>
          <w:b/>
          <w:bCs/>
          <w:noProof/>
        </w:rPr>
      </w:sdtEndPr>
      <w:sdtContent>
        <w:p w14:paraId="7C45279E" w14:textId="77777777" w:rsidR="00251F26" w:rsidRDefault="00251F26" w:rsidP="00003E36">
          <w:pPr>
            <w:pStyle w:val="TOCHeading"/>
            <w:rPr>
              <w:rFonts w:eastAsiaTheme="minorEastAsia"/>
            </w:rPr>
          </w:pPr>
        </w:p>
        <w:p w14:paraId="240BAFC6" w14:textId="77777777" w:rsidR="00251F26" w:rsidRDefault="00251F26">
          <w:pPr>
            <w:spacing w:before="0" w:after="160" w:line="259" w:lineRule="auto"/>
          </w:pPr>
          <w:r>
            <w:br w:type="page"/>
          </w:r>
        </w:p>
        <w:p w14:paraId="7E204823" w14:textId="1ECF9B4A" w:rsidR="001B2C60" w:rsidRPr="0099784D" w:rsidRDefault="00171BBB" w:rsidP="00003E36">
          <w:pPr>
            <w:pStyle w:val="Heading1"/>
          </w:pPr>
          <w:bookmarkStart w:id="2" w:name="_Toc39502021"/>
          <w:r w:rsidRPr="0099784D">
            <w:lastRenderedPageBreak/>
            <w:t>TABLE OF CONTENTS</w:t>
          </w:r>
          <w:bookmarkEnd w:id="2"/>
        </w:p>
        <w:p w14:paraId="7C990AEE" w14:textId="7CED7FAC" w:rsidR="0026268D" w:rsidRDefault="001B2C60">
          <w:pPr>
            <w:pStyle w:val="TOC1"/>
            <w:rPr>
              <w:rFonts w:asciiTheme="minorHAnsi" w:hAnsiTheme="minorHAnsi"/>
              <w:b w:val="0"/>
              <w:bCs w:val="0"/>
              <w:color w:val="auto"/>
              <w:sz w:val="22"/>
              <w:szCs w:val="22"/>
            </w:rPr>
          </w:pPr>
          <w:r>
            <w:rPr>
              <w:noProof w:val="0"/>
            </w:rPr>
            <w:fldChar w:fldCharType="begin"/>
          </w:r>
          <w:r>
            <w:instrText xml:space="preserve"> TOC \o "1-3" \h \z \u </w:instrText>
          </w:r>
          <w:r>
            <w:rPr>
              <w:noProof w:val="0"/>
            </w:rPr>
            <w:fldChar w:fldCharType="separate"/>
          </w:r>
          <w:hyperlink w:anchor="_Toc39502019" w:history="1">
            <w:r w:rsidR="0026268D" w:rsidRPr="00A32F21">
              <w:rPr>
                <w:rStyle w:val="Hyperlink"/>
              </w:rPr>
              <w:t>ACKNOWLEDGEMENTS</w:t>
            </w:r>
            <w:r w:rsidR="0026268D">
              <w:rPr>
                <w:webHidden/>
              </w:rPr>
              <w:tab/>
            </w:r>
            <w:r w:rsidR="0026268D">
              <w:rPr>
                <w:webHidden/>
              </w:rPr>
              <w:fldChar w:fldCharType="begin"/>
            </w:r>
            <w:r w:rsidR="0026268D">
              <w:rPr>
                <w:webHidden/>
              </w:rPr>
              <w:instrText xml:space="preserve"> PAGEREF _Toc39502019 \h </w:instrText>
            </w:r>
            <w:r w:rsidR="0026268D">
              <w:rPr>
                <w:webHidden/>
              </w:rPr>
            </w:r>
            <w:r w:rsidR="0026268D">
              <w:rPr>
                <w:webHidden/>
              </w:rPr>
              <w:fldChar w:fldCharType="separate"/>
            </w:r>
            <w:r w:rsidR="0014527A">
              <w:rPr>
                <w:webHidden/>
              </w:rPr>
              <w:t>ii</w:t>
            </w:r>
            <w:r w:rsidR="0026268D">
              <w:rPr>
                <w:webHidden/>
              </w:rPr>
              <w:fldChar w:fldCharType="end"/>
            </w:r>
          </w:hyperlink>
        </w:p>
        <w:p w14:paraId="16453CDB" w14:textId="43B4164E" w:rsidR="0026268D" w:rsidRDefault="004660BB">
          <w:pPr>
            <w:pStyle w:val="TOC1"/>
            <w:rPr>
              <w:rFonts w:asciiTheme="minorHAnsi" w:hAnsiTheme="minorHAnsi"/>
              <w:b w:val="0"/>
              <w:bCs w:val="0"/>
              <w:color w:val="auto"/>
              <w:sz w:val="22"/>
              <w:szCs w:val="22"/>
            </w:rPr>
          </w:pPr>
          <w:hyperlink w:anchor="_Toc39502020" w:history="1">
            <w:r w:rsidR="0026268D" w:rsidRPr="00A32F21">
              <w:rPr>
                <w:rStyle w:val="Hyperlink"/>
              </w:rPr>
              <w:t>ABSTRACT</w:t>
            </w:r>
            <w:r w:rsidR="0026268D">
              <w:rPr>
                <w:webHidden/>
              </w:rPr>
              <w:tab/>
            </w:r>
            <w:r w:rsidR="0026268D">
              <w:rPr>
                <w:webHidden/>
              </w:rPr>
              <w:fldChar w:fldCharType="begin"/>
            </w:r>
            <w:r w:rsidR="0026268D">
              <w:rPr>
                <w:webHidden/>
              </w:rPr>
              <w:instrText xml:space="preserve"> PAGEREF _Toc39502020 \h </w:instrText>
            </w:r>
            <w:r w:rsidR="0026268D">
              <w:rPr>
                <w:webHidden/>
              </w:rPr>
            </w:r>
            <w:r w:rsidR="0026268D">
              <w:rPr>
                <w:webHidden/>
              </w:rPr>
              <w:fldChar w:fldCharType="separate"/>
            </w:r>
            <w:r w:rsidR="0014527A">
              <w:rPr>
                <w:webHidden/>
              </w:rPr>
              <w:t>v</w:t>
            </w:r>
            <w:r w:rsidR="0026268D">
              <w:rPr>
                <w:webHidden/>
              </w:rPr>
              <w:fldChar w:fldCharType="end"/>
            </w:r>
          </w:hyperlink>
        </w:p>
        <w:p w14:paraId="793C62B7" w14:textId="1B513839" w:rsidR="0026268D" w:rsidRDefault="004660BB">
          <w:pPr>
            <w:pStyle w:val="TOC1"/>
            <w:rPr>
              <w:rFonts w:asciiTheme="minorHAnsi" w:hAnsiTheme="minorHAnsi"/>
              <w:b w:val="0"/>
              <w:bCs w:val="0"/>
              <w:color w:val="auto"/>
              <w:sz w:val="22"/>
              <w:szCs w:val="22"/>
            </w:rPr>
          </w:pPr>
          <w:hyperlink w:anchor="_Toc39502021" w:history="1">
            <w:r w:rsidR="0026268D" w:rsidRPr="00A32F21">
              <w:rPr>
                <w:rStyle w:val="Hyperlink"/>
              </w:rPr>
              <w:t>TABLE OF CONTENTS</w:t>
            </w:r>
            <w:r w:rsidR="0026268D">
              <w:rPr>
                <w:webHidden/>
              </w:rPr>
              <w:tab/>
            </w:r>
            <w:r w:rsidR="0026268D">
              <w:rPr>
                <w:webHidden/>
              </w:rPr>
              <w:fldChar w:fldCharType="begin"/>
            </w:r>
            <w:r w:rsidR="0026268D">
              <w:rPr>
                <w:webHidden/>
              </w:rPr>
              <w:instrText xml:space="preserve"> PAGEREF _Toc39502021 \h </w:instrText>
            </w:r>
            <w:r w:rsidR="0026268D">
              <w:rPr>
                <w:webHidden/>
              </w:rPr>
            </w:r>
            <w:r w:rsidR="0026268D">
              <w:rPr>
                <w:webHidden/>
              </w:rPr>
              <w:fldChar w:fldCharType="separate"/>
            </w:r>
            <w:r w:rsidR="0014527A">
              <w:rPr>
                <w:webHidden/>
              </w:rPr>
              <w:t>vii</w:t>
            </w:r>
            <w:r w:rsidR="0026268D">
              <w:rPr>
                <w:webHidden/>
              </w:rPr>
              <w:fldChar w:fldCharType="end"/>
            </w:r>
          </w:hyperlink>
        </w:p>
        <w:p w14:paraId="1CA3F96C" w14:textId="4E5AE9DC" w:rsidR="0026268D" w:rsidRDefault="004660BB">
          <w:pPr>
            <w:pStyle w:val="TOC1"/>
            <w:rPr>
              <w:rFonts w:asciiTheme="minorHAnsi" w:hAnsiTheme="minorHAnsi"/>
              <w:b w:val="0"/>
              <w:bCs w:val="0"/>
              <w:color w:val="auto"/>
              <w:sz w:val="22"/>
              <w:szCs w:val="22"/>
            </w:rPr>
          </w:pPr>
          <w:hyperlink w:anchor="_Toc39502022" w:history="1">
            <w:r w:rsidR="0026268D" w:rsidRPr="00A32F21">
              <w:rPr>
                <w:rStyle w:val="Hyperlink"/>
              </w:rPr>
              <w:t>LIST OF TABLES</w:t>
            </w:r>
            <w:r w:rsidR="0026268D">
              <w:rPr>
                <w:webHidden/>
              </w:rPr>
              <w:tab/>
            </w:r>
            <w:r w:rsidR="0026268D">
              <w:rPr>
                <w:webHidden/>
              </w:rPr>
              <w:fldChar w:fldCharType="begin"/>
            </w:r>
            <w:r w:rsidR="0026268D">
              <w:rPr>
                <w:webHidden/>
              </w:rPr>
              <w:instrText xml:space="preserve"> PAGEREF _Toc39502022 \h </w:instrText>
            </w:r>
            <w:r w:rsidR="0026268D">
              <w:rPr>
                <w:webHidden/>
              </w:rPr>
            </w:r>
            <w:r w:rsidR="0026268D">
              <w:rPr>
                <w:webHidden/>
              </w:rPr>
              <w:fldChar w:fldCharType="separate"/>
            </w:r>
            <w:r w:rsidR="0014527A">
              <w:rPr>
                <w:webHidden/>
              </w:rPr>
              <w:t>x</w:t>
            </w:r>
            <w:r w:rsidR="0026268D">
              <w:rPr>
                <w:webHidden/>
              </w:rPr>
              <w:fldChar w:fldCharType="end"/>
            </w:r>
          </w:hyperlink>
        </w:p>
        <w:p w14:paraId="59A47049" w14:textId="446E4F2A" w:rsidR="0026268D" w:rsidRDefault="004660BB">
          <w:pPr>
            <w:pStyle w:val="TOC1"/>
            <w:rPr>
              <w:rFonts w:asciiTheme="minorHAnsi" w:hAnsiTheme="minorHAnsi"/>
              <w:b w:val="0"/>
              <w:bCs w:val="0"/>
              <w:color w:val="auto"/>
              <w:sz w:val="22"/>
              <w:szCs w:val="22"/>
            </w:rPr>
          </w:pPr>
          <w:hyperlink w:anchor="_Toc39502023" w:history="1">
            <w:r w:rsidR="0026268D" w:rsidRPr="00A32F21">
              <w:rPr>
                <w:rStyle w:val="Hyperlink"/>
              </w:rPr>
              <w:t>LIST OF FIGURES</w:t>
            </w:r>
            <w:r w:rsidR="0026268D">
              <w:rPr>
                <w:webHidden/>
              </w:rPr>
              <w:tab/>
            </w:r>
            <w:r w:rsidR="0026268D">
              <w:rPr>
                <w:webHidden/>
              </w:rPr>
              <w:fldChar w:fldCharType="begin"/>
            </w:r>
            <w:r w:rsidR="0026268D">
              <w:rPr>
                <w:webHidden/>
              </w:rPr>
              <w:instrText xml:space="preserve"> PAGEREF _Toc39502023 \h </w:instrText>
            </w:r>
            <w:r w:rsidR="0026268D">
              <w:rPr>
                <w:webHidden/>
              </w:rPr>
            </w:r>
            <w:r w:rsidR="0026268D">
              <w:rPr>
                <w:webHidden/>
              </w:rPr>
              <w:fldChar w:fldCharType="separate"/>
            </w:r>
            <w:r w:rsidR="0014527A">
              <w:rPr>
                <w:webHidden/>
              </w:rPr>
              <w:t>xi</w:t>
            </w:r>
            <w:r w:rsidR="0026268D">
              <w:rPr>
                <w:webHidden/>
              </w:rPr>
              <w:fldChar w:fldCharType="end"/>
            </w:r>
          </w:hyperlink>
        </w:p>
        <w:p w14:paraId="14748860" w14:textId="64104D26" w:rsidR="0026268D" w:rsidRDefault="004660BB">
          <w:pPr>
            <w:pStyle w:val="TOC1"/>
            <w:rPr>
              <w:rFonts w:asciiTheme="minorHAnsi" w:hAnsiTheme="minorHAnsi"/>
              <w:b w:val="0"/>
              <w:bCs w:val="0"/>
              <w:color w:val="auto"/>
              <w:sz w:val="22"/>
              <w:szCs w:val="22"/>
            </w:rPr>
          </w:pPr>
          <w:hyperlink w:anchor="_Toc39502024" w:history="1">
            <w:r w:rsidR="0026268D" w:rsidRPr="00A32F21">
              <w:rPr>
                <w:rStyle w:val="Hyperlink"/>
              </w:rPr>
              <w:t>CHAPTER 1: INTRODUCTION</w:t>
            </w:r>
            <w:r w:rsidR="0026268D">
              <w:rPr>
                <w:webHidden/>
              </w:rPr>
              <w:tab/>
            </w:r>
            <w:r w:rsidR="0026268D">
              <w:rPr>
                <w:webHidden/>
              </w:rPr>
              <w:fldChar w:fldCharType="begin"/>
            </w:r>
            <w:r w:rsidR="0026268D">
              <w:rPr>
                <w:webHidden/>
              </w:rPr>
              <w:instrText xml:space="preserve"> PAGEREF _Toc39502024 \h </w:instrText>
            </w:r>
            <w:r w:rsidR="0026268D">
              <w:rPr>
                <w:webHidden/>
              </w:rPr>
            </w:r>
            <w:r w:rsidR="0026268D">
              <w:rPr>
                <w:webHidden/>
              </w:rPr>
              <w:fldChar w:fldCharType="separate"/>
            </w:r>
            <w:r w:rsidR="0014527A">
              <w:rPr>
                <w:webHidden/>
              </w:rPr>
              <w:t>1</w:t>
            </w:r>
            <w:r w:rsidR="0026268D">
              <w:rPr>
                <w:webHidden/>
              </w:rPr>
              <w:fldChar w:fldCharType="end"/>
            </w:r>
          </w:hyperlink>
        </w:p>
        <w:p w14:paraId="55A074E9" w14:textId="41D85532" w:rsidR="0026268D" w:rsidRDefault="004660BB">
          <w:pPr>
            <w:pStyle w:val="TOC2"/>
            <w:tabs>
              <w:tab w:val="right" w:leader="dot" w:pos="9350"/>
            </w:tabs>
            <w:rPr>
              <w:rFonts w:asciiTheme="minorHAnsi" w:hAnsiTheme="minorHAnsi"/>
              <w:noProof/>
              <w:color w:val="auto"/>
              <w:sz w:val="22"/>
              <w:szCs w:val="22"/>
            </w:rPr>
          </w:pPr>
          <w:hyperlink w:anchor="_Toc39502025" w:history="1">
            <w:r w:rsidR="0026268D" w:rsidRPr="00A32F21">
              <w:rPr>
                <w:rStyle w:val="Hyperlink"/>
                <w:noProof/>
              </w:rPr>
              <w:t>1.1 ENVIRONMENTAL TOXICANTS</w:t>
            </w:r>
            <w:r w:rsidR="0026268D">
              <w:rPr>
                <w:noProof/>
                <w:webHidden/>
              </w:rPr>
              <w:tab/>
            </w:r>
            <w:r w:rsidR="0026268D">
              <w:rPr>
                <w:noProof/>
                <w:webHidden/>
              </w:rPr>
              <w:fldChar w:fldCharType="begin"/>
            </w:r>
            <w:r w:rsidR="0026268D">
              <w:rPr>
                <w:noProof/>
                <w:webHidden/>
              </w:rPr>
              <w:instrText xml:space="preserve"> PAGEREF _Toc39502025 \h </w:instrText>
            </w:r>
            <w:r w:rsidR="0026268D">
              <w:rPr>
                <w:noProof/>
                <w:webHidden/>
              </w:rPr>
            </w:r>
            <w:r w:rsidR="0026268D">
              <w:rPr>
                <w:noProof/>
                <w:webHidden/>
              </w:rPr>
              <w:fldChar w:fldCharType="separate"/>
            </w:r>
            <w:r w:rsidR="0014527A">
              <w:rPr>
                <w:noProof/>
                <w:webHidden/>
              </w:rPr>
              <w:t>2</w:t>
            </w:r>
            <w:r w:rsidR="0026268D">
              <w:rPr>
                <w:noProof/>
                <w:webHidden/>
              </w:rPr>
              <w:fldChar w:fldCharType="end"/>
            </w:r>
          </w:hyperlink>
        </w:p>
        <w:p w14:paraId="07B1E4AA" w14:textId="49B27D54" w:rsidR="0026268D" w:rsidRDefault="004660BB">
          <w:pPr>
            <w:pStyle w:val="TOC3"/>
            <w:tabs>
              <w:tab w:val="right" w:leader="dot" w:pos="9350"/>
            </w:tabs>
            <w:rPr>
              <w:rFonts w:asciiTheme="minorHAnsi" w:hAnsiTheme="minorHAnsi"/>
              <w:noProof/>
              <w:color w:val="auto"/>
              <w:sz w:val="22"/>
              <w:szCs w:val="22"/>
            </w:rPr>
          </w:pPr>
          <w:hyperlink w:anchor="_Toc39502026" w:history="1">
            <w:r w:rsidR="0026268D" w:rsidRPr="00A32F21">
              <w:rPr>
                <w:rStyle w:val="Hyperlink"/>
                <w:noProof/>
              </w:rPr>
              <w:t>1.1.1 Chemical Regulation</w:t>
            </w:r>
            <w:r w:rsidR="0026268D">
              <w:rPr>
                <w:noProof/>
                <w:webHidden/>
              </w:rPr>
              <w:tab/>
            </w:r>
            <w:r w:rsidR="0026268D">
              <w:rPr>
                <w:noProof/>
                <w:webHidden/>
              </w:rPr>
              <w:fldChar w:fldCharType="begin"/>
            </w:r>
            <w:r w:rsidR="0026268D">
              <w:rPr>
                <w:noProof/>
                <w:webHidden/>
              </w:rPr>
              <w:instrText xml:space="preserve"> PAGEREF _Toc39502026 \h </w:instrText>
            </w:r>
            <w:r w:rsidR="0026268D">
              <w:rPr>
                <w:noProof/>
                <w:webHidden/>
              </w:rPr>
            </w:r>
            <w:r w:rsidR="0026268D">
              <w:rPr>
                <w:noProof/>
                <w:webHidden/>
              </w:rPr>
              <w:fldChar w:fldCharType="separate"/>
            </w:r>
            <w:r w:rsidR="0014527A">
              <w:rPr>
                <w:noProof/>
                <w:webHidden/>
              </w:rPr>
              <w:t>2</w:t>
            </w:r>
            <w:r w:rsidR="0026268D">
              <w:rPr>
                <w:noProof/>
                <w:webHidden/>
              </w:rPr>
              <w:fldChar w:fldCharType="end"/>
            </w:r>
          </w:hyperlink>
        </w:p>
        <w:p w14:paraId="4E9E1550" w14:textId="2367A713" w:rsidR="0026268D" w:rsidRDefault="004660BB">
          <w:pPr>
            <w:pStyle w:val="TOC3"/>
            <w:tabs>
              <w:tab w:val="right" w:leader="dot" w:pos="9350"/>
            </w:tabs>
            <w:rPr>
              <w:rFonts w:asciiTheme="minorHAnsi" w:hAnsiTheme="minorHAnsi"/>
              <w:noProof/>
              <w:color w:val="auto"/>
              <w:sz w:val="22"/>
              <w:szCs w:val="22"/>
            </w:rPr>
          </w:pPr>
          <w:hyperlink w:anchor="_Toc39502027" w:history="1">
            <w:r w:rsidR="0026268D" w:rsidRPr="00A32F21">
              <w:rPr>
                <w:rStyle w:val="Hyperlink"/>
                <w:rFonts w:cs="Times New Roman"/>
                <w:bCs/>
                <w:noProof/>
              </w:rPr>
              <w:t>1.1.2 Toxic Substance Control Act</w:t>
            </w:r>
            <w:r w:rsidR="0026268D">
              <w:rPr>
                <w:noProof/>
                <w:webHidden/>
              </w:rPr>
              <w:tab/>
            </w:r>
            <w:r w:rsidR="0026268D">
              <w:rPr>
                <w:noProof/>
                <w:webHidden/>
              </w:rPr>
              <w:fldChar w:fldCharType="begin"/>
            </w:r>
            <w:r w:rsidR="0026268D">
              <w:rPr>
                <w:noProof/>
                <w:webHidden/>
              </w:rPr>
              <w:instrText xml:space="preserve"> PAGEREF _Toc39502027 \h </w:instrText>
            </w:r>
            <w:r w:rsidR="0026268D">
              <w:rPr>
                <w:noProof/>
                <w:webHidden/>
              </w:rPr>
            </w:r>
            <w:r w:rsidR="0026268D">
              <w:rPr>
                <w:noProof/>
                <w:webHidden/>
              </w:rPr>
              <w:fldChar w:fldCharType="separate"/>
            </w:r>
            <w:r w:rsidR="0014527A">
              <w:rPr>
                <w:noProof/>
                <w:webHidden/>
              </w:rPr>
              <w:t>3</w:t>
            </w:r>
            <w:r w:rsidR="0026268D">
              <w:rPr>
                <w:noProof/>
                <w:webHidden/>
              </w:rPr>
              <w:fldChar w:fldCharType="end"/>
            </w:r>
          </w:hyperlink>
        </w:p>
        <w:p w14:paraId="21A489D0" w14:textId="2B5B88B8" w:rsidR="0026268D" w:rsidRDefault="004660BB">
          <w:pPr>
            <w:pStyle w:val="TOC3"/>
            <w:tabs>
              <w:tab w:val="right" w:leader="dot" w:pos="9350"/>
            </w:tabs>
            <w:rPr>
              <w:rFonts w:asciiTheme="minorHAnsi" w:hAnsiTheme="minorHAnsi"/>
              <w:noProof/>
              <w:color w:val="auto"/>
              <w:sz w:val="22"/>
              <w:szCs w:val="22"/>
            </w:rPr>
          </w:pPr>
          <w:hyperlink w:anchor="_Toc39502028" w:history="1">
            <w:r w:rsidR="0026268D" w:rsidRPr="00A32F21">
              <w:rPr>
                <w:rStyle w:val="Hyperlink"/>
                <w:noProof/>
              </w:rPr>
              <w:t>1.1.3 ToxCast Program</w:t>
            </w:r>
            <w:r w:rsidR="0026268D">
              <w:rPr>
                <w:noProof/>
                <w:webHidden/>
              </w:rPr>
              <w:tab/>
            </w:r>
            <w:r w:rsidR="0026268D">
              <w:rPr>
                <w:noProof/>
                <w:webHidden/>
              </w:rPr>
              <w:fldChar w:fldCharType="begin"/>
            </w:r>
            <w:r w:rsidR="0026268D">
              <w:rPr>
                <w:noProof/>
                <w:webHidden/>
              </w:rPr>
              <w:instrText xml:space="preserve"> PAGEREF _Toc39502028 \h </w:instrText>
            </w:r>
            <w:r w:rsidR="0026268D">
              <w:rPr>
                <w:noProof/>
                <w:webHidden/>
              </w:rPr>
            </w:r>
            <w:r w:rsidR="0026268D">
              <w:rPr>
                <w:noProof/>
                <w:webHidden/>
              </w:rPr>
              <w:fldChar w:fldCharType="separate"/>
            </w:r>
            <w:r w:rsidR="0014527A">
              <w:rPr>
                <w:noProof/>
                <w:webHidden/>
              </w:rPr>
              <w:t>3</w:t>
            </w:r>
            <w:r w:rsidR="0026268D">
              <w:rPr>
                <w:noProof/>
                <w:webHidden/>
              </w:rPr>
              <w:fldChar w:fldCharType="end"/>
            </w:r>
          </w:hyperlink>
        </w:p>
        <w:p w14:paraId="4047ABAE" w14:textId="0F520D2E" w:rsidR="0026268D" w:rsidRDefault="004660BB">
          <w:pPr>
            <w:pStyle w:val="TOC3"/>
            <w:tabs>
              <w:tab w:val="right" w:leader="dot" w:pos="9350"/>
            </w:tabs>
            <w:rPr>
              <w:rFonts w:asciiTheme="minorHAnsi" w:hAnsiTheme="minorHAnsi"/>
              <w:noProof/>
              <w:color w:val="auto"/>
              <w:sz w:val="22"/>
              <w:szCs w:val="22"/>
            </w:rPr>
          </w:pPr>
          <w:hyperlink w:anchor="_Toc39502029" w:history="1">
            <w:r w:rsidR="0026268D" w:rsidRPr="00A32F21">
              <w:rPr>
                <w:rStyle w:val="Hyperlink"/>
                <w:noProof/>
                <w:bdr w:val="none" w:sz="0" w:space="0" w:color="auto" w:frame="1"/>
              </w:rPr>
              <w:t>1.1.4 ToxPi GUI</w:t>
            </w:r>
            <w:r w:rsidR="0026268D">
              <w:rPr>
                <w:noProof/>
                <w:webHidden/>
              </w:rPr>
              <w:tab/>
            </w:r>
            <w:r w:rsidR="0026268D">
              <w:rPr>
                <w:noProof/>
                <w:webHidden/>
              </w:rPr>
              <w:fldChar w:fldCharType="begin"/>
            </w:r>
            <w:r w:rsidR="0026268D">
              <w:rPr>
                <w:noProof/>
                <w:webHidden/>
              </w:rPr>
              <w:instrText xml:space="preserve"> PAGEREF _Toc39502029 \h </w:instrText>
            </w:r>
            <w:r w:rsidR="0026268D">
              <w:rPr>
                <w:noProof/>
                <w:webHidden/>
              </w:rPr>
            </w:r>
            <w:r w:rsidR="0026268D">
              <w:rPr>
                <w:noProof/>
                <w:webHidden/>
              </w:rPr>
              <w:fldChar w:fldCharType="separate"/>
            </w:r>
            <w:r w:rsidR="0014527A">
              <w:rPr>
                <w:noProof/>
                <w:webHidden/>
              </w:rPr>
              <w:t>4</w:t>
            </w:r>
            <w:r w:rsidR="0026268D">
              <w:rPr>
                <w:noProof/>
                <w:webHidden/>
              </w:rPr>
              <w:fldChar w:fldCharType="end"/>
            </w:r>
          </w:hyperlink>
        </w:p>
        <w:p w14:paraId="1892181E" w14:textId="2959DE01" w:rsidR="0026268D" w:rsidRDefault="004660BB">
          <w:pPr>
            <w:pStyle w:val="TOC3"/>
            <w:tabs>
              <w:tab w:val="right" w:leader="dot" w:pos="9350"/>
            </w:tabs>
            <w:rPr>
              <w:rFonts w:asciiTheme="minorHAnsi" w:hAnsiTheme="minorHAnsi"/>
              <w:noProof/>
              <w:color w:val="auto"/>
              <w:sz w:val="22"/>
              <w:szCs w:val="22"/>
            </w:rPr>
          </w:pPr>
          <w:hyperlink w:anchor="_Toc39502030" w:history="1">
            <w:r w:rsidR="0026268D" w:rsidRPr="00A32F21">
              <w:rPr>
                <w:rStyle w:val="Hyperlink"/>
                <w:noProof/>
              </w:rPr>
              <w:t>1.1.5 Limitations of Current Toxicant Screening Methods</w:t>
            </w:r>
            <w:r w:rsidR="0026268D">
              <w:rPr>
                <w:noProof/>
                <w:webHidden/>
              </w:rPr>
              <w:tab/>
            </w:r>
            <w:r w:rsidR="0026268D">
              <w:rPr>
                <w:noProof/>
                <w:webHidden/>
              </w:rPr>
              <w:fldChar w:fldCharType="begin"/>
            </w:r>
            <w:r w:rsidR="0026268D">
              <w:rPr>
                <w:noProof/>
                <w:webHidden/>
              </w:rPr>
              <w:instrText xml:space="preserve"> PAGEREF _Toc39502030 \h </w:instrText>
            </w:r>
            <w:r w:rsidR="0026268D">
              <w:rPr>
                <w:noProof/>
                <w:webHidden/>
              </w:rPr>
            </w:r>
            <w:r w:rsidR="0026268D">
              <w:rPr>
                <w:noProof/>
                <w:webHidden/>
              </w:rPr>
              <w:fldChar w:fldCharType="separate"/>
            </w:r>
            <w:r w:rsidR="0014527A">
              <w:rPr>
                <w:noProof/>
                <w:webHidden/>
              </w:rPr>
              <w:t>4</w:t>
            </w:r>
            <w:r w:rsidR="0026268D">
              <w:rPr>
                <w:noProof/>
                <w:webHidden/>
              </w:rPr>
              <w:fldChar w:fldCharType="end"/>
            </w:r>
          </w:hyperlink>
        </w:p>
        <w:p w14:paraId="37B3EB93" w14:textId="4EF82DED" w:rsidR="0026268D" w:rsidRDefault="004660BB">
          <w:pPr>
            <w:pStyle w:val="TOC2"/>
            <w:tabs>
              <w:tab w:val="right" w:leader="dot" w:pos="9350"/>
            </w:tabs>
            <w:rPr>
              <w:rFonts w:asciiTheme="minorHAnsi" w:hAnsiTheme="minorHAnsi"/>
              <w:noProof/>
              <w:color w:val="auto"/>
              <w:sz w:val="22"/>
              <w:szCs w:val="22"/>
            </w:rPr>
          </w:pPr>
          <w:hyperlink w:anchor="_Toc39502031" w:history="1">
            <w:r w:rsidR="0026268D" w:rsidRPr="00A32F21">
              <w:rPr>
                <w:rStyle w:val="Hyperlink"/>
                <w:noProof/>
              </w:rPr>
              <w:t>1.2 ZEBRAFISH (</w:t>
            </w:r>
            <w:r w:rsidR="0026268D" w:rsidRPr="00A32F21">
              <w:rPr>
                <w:rStyle w:val="Hyperlink"/>
                <w:i/>
                <w:iCs/>
                <w:noProof/>
              </w:rPr>
              <w:t>Danio rerio</w:t>
            </w:r>
            <w:r w:rsidR="0026268D" w:rsidRPr="00A32F21">
              <w:rPr>
                <w:rStyle w:val="Hyperlink"/>
                <w:noProof/>
              </w:rPr>
              <w:t>)</w:t>
            </w:r>
            <w:r w:rsidR="0026268D">
              <w:rPr>
                <w:noProof/>
                <w:webHidden/>
              </w:rPr>
              <w:tab/>
            </w:r>
            <w:r w:rsidR="0026268D">
              <w:rPr>
                <w:noProof/>
                <w:webHidden/>
              </w:rPr>
              <w:fldChar w:fldCharType="begin"/>
            </w:r>
            <w:r w:rsidR="0026268D">
              <w:rPr>
                <w:noProof/>
                <w:webHidden/>
              </w:rPr>
              <w:instrText xml:space="preserve"> PAGEREF _Toc39502031 \h </w:instrText>
            </w:r>
            <w:r w:rsidR="0026268D">
              <w:rPr>
                <w:noProof/>
                <w:webHidden/>
              </w:rPr>
            </w:r>
            <w:r w:rsidR="0026268D">
              <w:rPr>
                <w:noProof/>
                <w:webHidden/>
              </w:rPr>
              <w:fldChar w:fldCharType="separate"/>
            </w:r>
            <w:r w:rsidR="0014527A">
              <w:rPr>
                <w:noProof/>
                <w:webHidden/>
              </w:rPr>
              <w:t>5</w:t>
            </w:r>
            <w:r w:rsidR="0026268D">
              <w:rPr>
                <w:noProof/>
                <w:webHidden/>
              </w:rPr>
              <w:fldChar w:fldCharType="end"/>
            </w:r>
          </w:hyperlink>
        </w:p>
        <w:p w14:paraId="0C61347B" w14:textId="7562F557" w:rsidR="0026268D" w:rsidRDefault="004660BB">
          <w:pPr>
            <w:pStyle w:val="TOC3"/>
            <w:tabs>
              <w:tab w:val="right" w:leader="dot" w:pos="9350"/>
            </w:tabs>
            <w:rPr>
              <w:rFonts w:asciiTheme="minorHAnsi" w:hAnsiTheme="minorHAnsi"/>
              <w:noProof/>
              <w:color w:val="auto"/>
              <w:sz w:val="22"/>
              <w:szCs w:val="22"/>
            </w:rPr>
          </w:pPr>
          <w:hyperlink w:anchor="_Toc39502032" w:history="1">
            <w:r w:rsidR="0026268D" w:rsidRPr="00A32F21">
              <w:rPr>
                <w:rStyle w:val="Hyperlink"/>
                <w:noProof/>
              </w:rPr>
              <w:t>1.2.1 Zebrafish as a High Throughput Screen Model</w:t>
            </w:r>
            <w:r w:rsidR="0026268D">
              <w:rPr>
                <w:noProof/>
                <w:webHidden/>
              </w:rPr>
              <w:tab/>
            </w:r>
            <w:r w:rsidR="0026268D">
              <w:rPr>
                <w:noProof/>
                <w:webHidden/>
              </w:rPr>
              <w:fldChar w:fldCharType="begin"/>
            </w:r>
            <w:r w:rsidR="0026268D">
              <w:rPr>
                <w:noProof/>
                <w:webHidden/>
              </w:rPr>
              <w:instrText xml:space="preserve"> PAGEREF _Toc39502032 \h </w:instrText>
            </w:r>
            <w:r w:rsidR="0026268D">
              <w:rPr>
                <w:noProof/>
                <w:webHidden/>
              </w:rPr>
            </w:r>
            <w:r w:rsidR="0026268D">
              <w:rPr>
                <w:noProof/>
                <w:webHidden/>
              </w:rPr>
              <w:fldChar w:fldCharType="separate"/>
            </w:r>
            <w:r w:rsidR="0014527A">
              <w:rPr>
                <w:noProof/>
                <w:webHidden/>
              </w:rPr>
              <w:t>6</w:t>
            </w:r>
            <w:r w:rsidR="0026268D">
              <w:rPr>
                <w:noProof/>
                <w:webHidden/>
              </w:rPr>
              <w:fldChar w:fldCharType="end"/>
            </w:r>
          </w:hyperlink>
        </w:p>
        <w:p w14:paraId="08271081" w14:textId="55A737A7" w:rsidR="0026268D" w:rsidRDefault="004660BB">
          <w:pPr>
            <w:pStyle w:val="TOC3"/>
            <w:tabs>
              <w:tab w:val="right" w:leader="dot" w:pos="9350"/>
            </w:tabs>
            <w:rPr>
              <w:rFonts w:asciiTheme="minorHAnsi" w:hAnsiTheme="minorHAnsi"/>
              <w:noProof/>
              <w:color w:val="auto"/>
              <w:sz w:val="22"/>
              <w:szCs w:val="22"/>
            </w:rPr>
          </w:pPr>
          <w:hyperlink w:anchor="_Toc39502033" w:history="1">
            <w:r w:rsidR="0026268D" w:rsidRPr="00A32F21">
              <w:rPr>
                <w:rStyle w:val="Hyperlink"/>
                <w:noProof/>
              </w:rPr>
              <w:t>1.2.2 Zebrafish Lateral Line</w:t>
            </w:r>
            <w:r w:rsidR="0026268D">
              <w:rPr>
                <w:noProof/>
                <w:webHidden/>
              </w:rPr>
              <w:tab/>
            </w:r>
            <w:r w:rsidR="0026268D">
              <w:rPr>
                <w:noProof/>
                <w:webHidden/>
              </w:rPr>
              <w:fldChar w:fldCharType="begin"/>
            </w:r>
            <w:r w:rsidR="0026268D">
              <w:rPr>
                <w:noProof/>
                <w:webHidden/>
              </w:rPr>
              <w:instrText xml:space="preserve"> PAGEREF _Toc39502033 \h </w:instrText>
            </w:r>
            <w:r w:rsidR="0026268D">
              <w:rPr>
                <w:noProof/>
                <w:webHidden/>
              </w:rPr>
            </w:r>
            <w:r w:rsidR="0026268D">
              <w:rPr>
                <w:noProof/>
                <w:webHidden/>
              </w:rPr>
              <w:fldChar w:fldCharType="separate"/>
            </w:r>
            <w:r w:rsidR="0014527A">
              <w:rPr>
                <w:noProof/>
                <w:webHidden/>
              </w:rPr>
              <w:t>7</w:t>
            </w:r>
            <w:r w:rsidR="0026268D">
              <w:rPr>
                <w:noProof/>
                <w:webHidden/>
              </w:rPr>
              <w:fldChar w:fldCharType="end"/>
            </w:r>
          </w:hyperlink>
        </w:p>
        <w:p w14:paraId="5DB0D2B8" w14:textId="5497956E" w:rsidR="0026268D" w:rsidRDefault="004660BB">
          <w:pPr>
            <w:pStyle w:val="TOC3"/>
            <w:tabs>
              <w:tab w:val="right" w:leader="dot" w:pos="9350"/>
            </w:tabs>
            <w:rPr>
              <w:rFonts w:asciiTheme="minorHAnsi" w:hAnsiTheme="minorHAnsi"/>
              <w:noProof/>
              <w:color w:val="auto"/>
              <w:sz w:val="22"/>
              <w:szCs w:val="22"/>
            </w:rPr>
          </w:pPr>
          <w:hyperlink w:anchor="_Toc39502034" w:history="1">
            <w:r w:rsidR="0026268D" w:rsidRPr="00A32F21">
              <w:rPr>
                <w:rStyle w:val="Hyperlink"/>
                <w:noProof/>
              </w:rPr>
              <w:t>1.2.3 Zebrafish Vascular System</w:t>
            </w:r>
            <w:r w:rsidR="0026268D">
              <w:rPr>
                <w:noProof/>
                <w:webHidden/>
              </w:rPr>
              <w:tab/>
            </w:r>
            <w:r w:rsidR="0026268D">
              <w:rPr>
                <w:noProof/>
                <w:webHidden/>
              </w:rPr>
              <w:fldChar w:fldCharType="begin"/>
            </w:r>
            <w:r w:rsidR="0026268D">
              <w:rPr>
                <w:noProof/>
                <w:webHidden/>
              </w:rPr>
              <w:instrText xml:space="preserve"> PAGEREF _Toc39502034 \h </w:instrText>
            </w:r>
            <w:r w:rsidR="0026268D">
              <w:rPr>
                <w:noProof/>
                <w:webHidden/>
              </w:rPr>
            </w:r>
            <w:r w:rsidR="0026268D">
              <w:rPr>
                <w:noProof/>
                <w:webHidden/>
              </w:rPr>
              <w:fldChar w:fldCharType="separate"/>
            </w:r>
            <w:r w:rsidR="0014527A">
              <w:rPr>
                <w:noProof/>
                <w:webHidden/>
              </w:rPr>
              <w:t>8</w:t>
            </w:r>
            <w:r w:rsidR="0026268D">
              <w:rPr>
                <w:noProof/>
                <w:webHidden/>
              </w:rPr>
              <w:fldChar w:fldCharType="end"/>
            </w:r>
          </w:hyperlink>
        </w:p>
        <w:p w14:paraId="6390BCFA" w14:textId="5202BF47" w:rsidR="0026268D" w:rsidRDefault="004660BB">
          <w:pPr>
            <w:pStyle w:val="TOC3"/>
            <w:tabs>
              <w:tab w:val="right" w:leader="dot" w:pos="9350"/>
            </w:tabs>
            <w:rPr>
              <w:rFonts w:asciiTheme="minorHAnsi" w:hAnsiTheme="minorHAnsi"/>
              <w:noProof/>
              <w:color w:val="auto"/>
              <w:sz w:val="22"/>
              <w:szCs w:val="22"/>
            </w:rPr>
          </w:pPr>
          <w:hyperlink w:anchor="_Toc39502035" w:history="1">
            <w:r w:rsidR="0026268D" w:rsidRPr="00A32F21">
              <w:rPr>
                <w:rStyle w:val="Hyperlink"/>
                <w:noProof/>
              </w:rPr>
              <w:t>1.2.4 Limitation of the Zebrafish Model System</w:t>
            </w:r>
            <w:r w:rsidR="0026268D">
              <w:rPr>
                <w:noProof/>
                <w:webHidden/>
              </w:rPr>
              <w:tab/>
            </w:r>
            <w:r w:rsidR="0026268D">
              <w:rPr>
                <w:noProof/>
                <w:webHidden/>
              </w:rPr>
              <w:fldChar w:fldCharType="begin"/>
            </w:r>
            <w:r w:rsidR="0026268D">
              <w:rPr>
                <w:noProof/>
                <w:webHidden/>
              </w:rPr>
              <w:instrText xml:space="preserve"> PAGEREF _Toc39502035 \h </w:instrText>
            </w:r>
            <w:r w:rsidR="0026268D">
              <w:rPr>
                <w:noProof/>
                <w:webHidden/>
              </w:rPr>
            </w:r>
            <w:r w:rsidR="0026268D">
              <w:rPr>
                <w:noProof/>
                <w:webHidden/>
              </w:rPr>
              <w:fldChar w:fldCharType="separate"/>
            </w:r>
            <w:r w:rsidR="0014527A">
              <w:rPr>
                <w:noProof/>
                <w:webHidden/>
              </w:rPr>
              <w:t>9</w:t>
            </w:r>
            <w:r w:rsidR="0026268D">
              <w:rPr>
                <w:noProof/>
                <w:webHidden/>
              </w:rPr>
              <w:fldChar w:fldCharType="end"/>
            </w:r>
          </w:hyperlink>
        </w:p>
        <w:p w14:paraId="42AE9E62" w14:textId="5BA5B5AD" w:rsidR="0026268D" w:rsidRDefault="004660BB">
          <w:pPr>
            <w:pStyle w:val="TOC1"/>
            <w:rPr>
              <w:rFonts w:asciiTheme="minorHAnsi" w:hAnsiTheme="minorHAnsi"/>
              <w:b w:val="0"/>
              <w:bCs w:val="0"/>
              <w:color w:val="auto"/>
              <w:sz w:val="22"/>
              <w:szCs w:val="22"/>
            </w:rPr>
          </w:pPr>
          <w:hyperlink w:anchor="_Toc39502036" w:history="1">
            <w:r w:rsidR="0026268D" w:rsidRPr="00A32F21">
              <w:rPr>
                <w:rStyle w:val="Hyperlink"/>
              </w:rPr>
              <w:t>CHAPTER 2: IDENTIFICATION AND PREDICTION OF POSTERIOR LATERAL LINE DISRUPTORS</w:t>
            </w:r>
            <w:r w:rsidR="0026268D">
              <w:rPr>
                <w:webHidden/>
              </w:rPr>
              <w:tab/>
            </w:r>
            <w:r w:rsidR="0026268D">
              <w:rPr>
                <w:webHidden/>
              </w:rPr>
              <w:fldChar w:fldCharType="begin"/>
            </w:r>
            <w:r w:rsidR="0026268D">
              <w:rPr>
                <w:webHidden/>
              </w:rPr>
              <w:instrText xml:space="preserve"> PAGEREF _Toc39502036 \h </w:instrText>
            </w:r>
            <w:r w:rsidR="0026268D">
              <w:rPr>
                <w:webHidden/>
              </w:rPr>
            </w:r>
            <w:r w:rsidR="0026268D">
              <w:rPr>
                <w:webHidden/>
              </w:rPr>
              <w:fldChar w:fldCharType="separate"/>
            </w:r>
            <w:r w:rsidR="0014527A">
              <w:rPr>
                <w:webHidden/>
              </w:rPr>
              <w:t>11</w:t>
            </w:r>
            <w:r w:rsidR="0026268D">
              <w:rPr>
                <w:webHidden/>
              </w:rPr>
              <w:fldChar w:fldCharType="end"/>
            </w:r>
          </w:hyperlink>
        </w:p>
        <w:p w14:paraId="3FFEEE18" w14:textId="13F5133A" w:rsidR="0026268D" w:rsidRDefault="004660BB">
          <w:pPr>
            <w:pStyle w:val="TOC2"/>
            <w:tabs>
              <w:tab w:val="right" w:leader="dot" w:pos="9350"/>
            </w:tabs>
            <w:rPr>
              <w:rFonts w:asciiTheme="minorHAnsi" w:hAnsiTheme="minorHAnsi"/>
              <w:noProof/>
              <w:color w:val="auto"/>
              <w:sz w:val="22"/>
              <w:szCs w:val="22"/>
            </w:rPr>
          </w:pPr>
          <w:hyperlink w:anchor="_Toc39502037" w:history="1">
            <w:r w:rsidR="0026268D" w:rsidRPr="00A32F21">
              <w:rPr>
                <w:rStyle w:val="Hyperlink"/>
                <w:noProof/>
              </w:rPr>
              <w:t>2.1 INTRODUCTION</w:t>
            </w:r>
            <w:r w:rsidR="0026268D">
              <w:rPr>
                <w:noProof/>
                <w:webHidden/>
              </w:rPr>
              <w:tab/>
            </w:r>
            <w:r w:rsidR="0026268D">
              <w:rPr>
                <w:noProof/>
                <w:webHidden/>
              </w:rPr>
              <w:fldChar w:fldCharType="begin"/>
            </w:r>
            <w:r w:rsidR="0026268D">
              <w:rPr>
                <w:noProof/>
                <w:webHidden/>
              </w:rPr>
              <w:instrText xml:space="preserve"> PAGEREF _Toc39502037 \h </w:instrText>
            </w:r>
            <w:r w:rsidR="0026268D">
              <w:rPr>
                <w:noProof/>
                <w:webHidden/>
              </w:rPr>
            </w:r>
            <w:r w:rsidR="0026268D">
              <w:rPr>
                <w:noProof/>
                <w:webHidden/>
              </w:rPr>
              <w:fldChar w:fldCharType="separate"/>
            </w:r>
            <w:r w:rsidR="0014527A">
              <w:rPr>
                <w:noProof/>
                <w:webHidden/>
              </w:rPr>
              <w:t>12</w:t>
            </w:r>
            <w:r w:rsidR="0026268D">
              <w:rPr>
                <w:noProof/>
                <w:webHidden/>
              </w:rPr>
              <w:fldChar w:fldCharType="end"/>
            </w:r>
          </w:hyperlink>
        </w:p>
        <w:p w14:paraId="3200D60D" w14:textId="69BE62A9" w:rsidR="0026268D" w:rsidRDefault="004660BB">
          <w:pPr>
            <w:pStyle w:val="TOC3"/>
            <w:tabs>
              <w:tab w:val="right" w:leader="dot" w:pos="9350"/>
            </w:tabs>
            <w:rPr>
              <w:rFonts w:asciiTheme="minorHAnsi" w:hAnsiTheme="minorHAnsi"/>
              <w:noProof/>
              <w:color w:val="auto"/>
              <w:sz w:val="22"/>
              <w:szCs w:val="22"/>
            </w:rPr>
          </w:pPr>
          <w:hyperlink w:anchor="_Toc39502038" w:history="1">
            <w:r w:rsidR="0026268D" w:rsidRPr="00A32F21">
              <w:rPr>
                <w:rStyle w:val="Hyperlink"/>
                <w:noProof/>
              </w:rPr>
              <w:t>2.1.1 Lateral Line Development in Zebrafish</w:t>
            </w:r>
            <w:r w:rsidR="0026268D">
              <w:rPr>
                <w:noProof/>
                <w:webHidden/>
              </w:rPr>
              <w:tab/>
            </w:r>
            <w:r w:rsidR="0026268D">
              <w:rPr>
                <w:noProof/>
                <w:webHidden/>
              </w:rPr>
              <w:fldChar w:fldCharType="begin"/>
            </w:r>
            <w:r w:rsidR="0026268D">
              <w:rPr>
                <w:noProof/>
                <w:webHidden/>
              </w:rPr>
              <w:instrText xml:space="preserve"> PAGEREF _Toc39502038 \h </w:instrText>
            </w:r>
            <w:r w:rsidR="0026268D">
              <w:rPr>
                <w:noProof/>
                <w:webHidden/>
              </w:rPr>
            </w:r>
            <w:r w:rsidR="0026268D">
              <w:rPr>
                <w:noProof/>
                <w:webHidden/>
              </w:rPr>
              <w:fldChar w:fldCharType="separate"/>
            </w:r>
            <w:r w:rsidR="0014527A">
              <w:rPr>
                <w:noProof/>
                <w:webHidden/>
              </w:rPr>
              <w:t>12</w:t>
            </w:r>
            <w:r w:rsidR="0026268D">
              <w:rPr>
                <w:noProof/>
                <w:webHidden/>
              </w:rPr>
              <w:fldChar w:fldCharType="end"/>
            </w:r>
          </w:hyperlink>
        </w:p>
        <w:p w14:paraId="65208790" w14:textId="5B761568" w:rsidR="0026268D" w:rsidRDefault="004660BB">
          <w:pPr>
            <w:pStyle w:val="TOC3"/>
            <w:tabs>
              <w:tab w:val="right" w:leader="dot" w:pos="9350"/>
            </w:tabs>
            <w:rPr>
              <w:rFonts w:asciiTheme="minorHAnsi" w:hAnsiTheme="minorHAnsi"/>
              <w:noProof/>
              <w:color w:val="auto"/>
              <w:sz w:val="22"/>
              <w:szCs w:val="22"/>
            </w:rPr>
          </w:pPr>
          <w:hyperlink w:anchor="_Toc39502039" w:history="1">
            <w:r w:rsidR="0026268D" w:rsidRPr="00A32F21">
              <w:rPr>
                <w:rStyle w:val="Hyperlink"/>
                <w:noProof/>
              </w:rPr>
              <w:t>2.1.2 Zebrafish Screening</w:t>
            </w:r>
            <w:r w:rsidR="0026268D">
              <w:rPr>
                <w:noProof/>
                <w:webHidden/>
              </w:rPr>
              <w:tab/>
            </w:r>
            <w:r w:rsidR="0026268D">
              <w:rPr>
                <w:noProof/>
                <w:webHidden/>
              </w:rPr>
              <w:fldChar w:fldCharType="begin"/>
            </w:r>
            <w:r w:rsidR="0026268D">
              <w:rPr>
                <w:noProof/>
                <w:webHidden/>
              </w:rPr>
              <w:instrText xml:space="preserve"> PAGEREF _Toc39502039 \h </w:instrText>
            </w:r>
            <w:r w:rsidR="0026268D">
              <w:rPr>
                <w:noProof/>
                <w:webHidden/>
              </w:rPr>
            </w:r>
            <w:r w:rsidR="0026268D">
              <w:rPr>
                <w:noProof/>
                <w:webHidden/>
              </w:rPr>
              <w:fldChar w:fldCharType="separate"/>
            </w:r>
            <w:r w:rsidR="0014527A">
              <w:rPr>
                <w:noProof/>
                <w:webHidden/>
              </w:rPr>
              <w:t>14</w:t>
            </w:r>
            <w:r w:rsidR="0026268D">
              <w:rPr>
                <w:noProof/>
                <w:webHidden/>
              </w:rPr>
              <w:fldChar w:fldCharType="end"/>
            </w:r>
          </w:hyperlink>
        </w:p>
        <w:p w14:paraId="2BFD8D29" w14:textId="58C24C0C" w:rsidR="0026268D" w:rsidRDefault="004660BB">
          <w:pPr>
            <w:pStyle w:val="TOC2"/>
            <w:tabs>
              <w:tab w:val="right" w:leader="dot" w:pos="9350"/>
            </w:tabs>
            <w:rPr>
              <w:rFonts w:asciiTheme="minorHAnsi" w:hAnsiTheme="minorHAnsi"/>
              <w:noProof/>
              <w:color w:val="auto"/>
              <w:sz w:val="22"/>
              <w:szCs w:val="22"/>
            </w:rPr>
          </w:pPr>
          <w:hyperlink w:anchor="_Toc39502040" w:history="1">
            <w:r w:rsidR="0026268D" w:rsidRPr="00A32F21">
              <w:rPr>
                <w:rStyle w:val="Hyperlink"/>
                <w:noProof/>
              </w:rPr>
              <w:t>2.2 RESULTS</w:t>
            </w:r>
            <w:r w:rsidR="0026268D">
              <w:rPr>
                <w:noProof/>
                <w:webHidden/>
              </w:rPr>
              <w:tab/>
            </w:r>
            <w:r w:rsidR="0026268D">
              <w:rPr>
                <w:noProof/>
                <w:webHidden/>
              </w:rPr>
              <w:fldChar w:fldCharType="begin"/>
            </w:r>
            <w:r w:rsidR="0026268D">
              <w:rPr>
                <w:noProof/>
                <w:webHidden/>
              </w:rPr>
              <w:instrText xml:space="preserve"> PAGEREF _Toc39502040 \h </w:instrText>
            </w:r>
            <w:r w:rsidR="0026268D">
              <w:rPr>
                <w:noProof/>
                <w:webHidden/>
              </w:rPr>
            </w:r>
            <w:r w:rsidR="0026268D">
              <w:rPr>
                <w:noProof/>
                <w:webHidden/>
              </w:rPr>
              <w:fldChar w:fldCharType="separate"/>
            </w:r>
            <w:r w:rsidR="0014527A">
              <w:rPr>
                <w:noProof/>
                <w:webHidden/>
              </w:rPr>
              <w:t>14</w:t>
            </w:r>
            <w:r w:rsidR="0026268D">
              <w:rPr>
                <w:noProof/>
                <w:webHidden/>
              </w:rPr>
              <w:fldChar w:fldCharType="end"/>
            </w:r>
          </w:hyperlink>
        </w:p>
        <w:p w14:paraId="391D1C50" w14:textId="763B0796" w:rsidR="0026268D" w:rsidRDefault="004660BB">
          <w:pPr>
            <w:pStyle w:val="TOC3"/>
            <w:tabs>
              <w:tab w:val="right" w:leader="dot" w:pos="9350"/>
            </w:tabs>
            <w:rPr>
              <w:rFonts w:asciiTheme="minorHAnsi" w:hAnsiTheme="minorHAnsi"/>
              <w:noProof/>
              <w:color w:val="auto"/>
              <w:sz w:val="22"/>
              <w:szCs w:val="22"/>
            </w:rPr>
          </w:pPr>
          <w:hyperlink w:anchor="_Toc39502041" w:history="1">
            <w:r w:rsidR="0026268D" w:rsidRPr="00A32F21">
              <w:rPr>
                <w:rStyle w:val="Hyperlink"/>
                <w:noProof/>
              </w:rPr>
              <w:t xml:space="preserve">2.2.1 Identification of Novel </w:t>
            </w:r>
            <w:r w:rsidR="0026268D" w:rsidRPr="00A32F21">
              <w:rPr>
                <w:rStyle w:val="Hyperlink"/>
                <w:rFonts w:cs="Times New Roman"/>
                <w:noProof/>
              </w:rPr>
              <w:t xml:space="preserve">Posterior Lateral Line </w:t>
            </w:r>
            <w:r w:rsidR="0026268D" w:rsidRPr="00A32F21">
              <w:rPr>
                <w:rStyle w:val="Hyperlink"/>
                <w:noProof/>
              </w:rPr>
              <w:t>Disruptors</w:t>
            </w:r>
            <w:r w:rsidR="0026268D">
              <w:rPr>
                <w:noProof/>
                <w:webHidden/>
              </w:rPr>
              <w:tab/>
            </w:r>
            <w:r w:rsidR="0026268D">
              <w:rPr>
                <w:noProof/>
                <w:webHidden/>
              </w:rPr>
              <w:fldChar w:fldCharType="begin"/>
            </w:r>
            <w:r w:rsidR="0026268D">
              <w:rPr>
                <w:noProof/>
                <w:webHidden/>
              </w:rPr>
              <w:instrText xml:space="preserve"> PAGEREF _Toc39502041 \h </w:instrText>
            </w:r>
            <w:r w:rsidR="0026268D">
              <w:rPr>
                <w:noProof/>
                <w:webHidden/>
              </w:rPr>
            </w:r>
            <w:r w:rsidR="0026268D">
              <w:rPr>
                <w:noProof/>
                <w:webHidden/>
              </w:rPr>
              <w:fldChar w:fldCharType="separate"/>
            </w:r>
            <w:r w:rsidR="0014527A">
              <w:rPr>
                <w:noProof/>
                <w:webHidden/>
              </w:rPr>
              <w:t>14</w:t>
            </w:r>
            <w:r w:rsidR="0026268D">
              <w:rPr>
                <w:noProof/>
                <w:webHidden/>
              </w:rPr>
              <w:fldChar w:fldCharType="end"/>
            </w:r>
          </w:hyperlink>
        </w:p>
        <w:p w14:paraId="2CD3E84E" w14:textId="5E25BE57" w:rsidR="0026268D" w:rsidRDefault="004660BB">
          <w:pPr>
            <w:pStyle w:val="TOC3"/>
            <w:tabs>
              <w:tab w:val="right" w:leader="dot" w:pos="9350"/>
            </w:tabs>
            <w:rPr>
              <w:rFonts w:asciiTheme="minorHAnsi" w:hAnsiTheme="minorHAnsi"/>
              <w:noProof/>
              <w:color w:val="auto"/>
              <w:sz w:val="22"/>
              <w:szCs w:val="22"/>
            </w:rPr>
          </w:pPr>
          <w:hyperlink w:anchor="_Toc39502042" w:history="1">
            <w:r w:rsidR="0026268D" w:rsidRPr="00A32F21">
              <w:rPr>
                <w:rStyle w:val="Hyperlink"/>
                <w:noProof/>
              </w:rPr>
              <w:t>2.2.2 Identification of Altered Pathways through Computational Toxicology</w:t>
            </w:r>
            <w:r w:rsidR="0026268D">
              <w:rPr>
                <w:noProof/>
                <w:webHidden/>
              </w:rPr>
              <w:tab/>
            </w:r>
            <w:r w:rsidR="0026268D">
              <w:rPr>
                <w:noProof/>
                <w:webHidden/>
              </w:rPr>
              <w:fldChar w:fldCharType="begin"/>
            </w:r>
            <w:r w:rsidR="0026268D">
              <w:rPr>
                <w:noProof/>
                <w:webHidden/>
              </w:rPr>
              <w:instrText xml:space="preserve"> PAGEREF _Toc39502042 \h </w:instrText>
            </w:r>
            <w:r w:rsidR="0026268D">
              <w:rPr>
                <w:noProof/>
                <w:webHidden/>
              </w:rPr>
            </w:r>
            <w:r w:rsidR="0026268D">
              <w:rPr>
                <w:noProof/>
                <w:webHidden/>
              </w:rPr>
              <w:fldChar w:fldCharType="separate"/>
            </w:r>
            <w:r w:rsidR="0014527A">
              <w:rPr>
                <w:noProof/>
                <w:webHidden/>
              </w:rPr>
              <w:t>20</w:t>
            </w:r>
            <w:r w:rsidR="0026268D">
              <w:rPr>
                <w:noProof/>
                <w:webHidden/>
              </w:rPr>
              <w:fldChar w:fldCharType="end"/>
            </w:r>
          </w:hyperlink>
        </w:p>
        <w:p w14:paraId="5883B780" w14:textId="56112CBB" w:rsidR="0026268D" w:rsidRDefault="004660BB">
          <w:pPr>
            <w:pStyle w:val="TOC3"/>
            <w:tabs>
              <w:tab w:val="right" w:leader="dot" w:pos="9350"/>
            </w:tabs>
            <w:rPr>
              <w:rFonts w:asciiTheme="minorHAnsi" w:hAnsiTheme="minorHAnsi"/>
              <w:noProof/>
              <w:color w:val="auto"/>
              <w:sz w:val="22"/>
              <w:szCs w:val="22"/>
            </w:rPr>
          </w:pPr>
          <w:hyperlink w:anchor="_Toc39502043" w:history="1">
            <w:r w:rsidR="0026268D" w:rsidRPr="00A32F21">
              <w:rPr>
                <w:rStyle w:val="Hyperlink"/>
                <w:noProof/>
              </w:rPr>
              <w:t>2.2.3 Serotonin Signaling is Required for Normal Posterior Lateral Line Development</w:t>
            </w:r>
            <w:r w:rsidR="0026268D">
              <w:rPr>
                <w:noProof/>
                <w:webHidden/>
              </w:rPr>
              <w:tab/>
            </w:r>
            <w:r w:rsidR="0026268D">
              <w:rPr>
                <w:noProof/>
                <w:webHidden/>
              </w:rPr>
              <w:fldChar w:fldCharType="begin"/>
            </w:r>
            <w:r w:rsidR="0026268D">
              <w:rPr>
                <w:noProof/>
                <w:webHidden/>
              </w:rPr>
              <w:instrText xml:space="preserve"> PAGEREF _Toc39502043 \h </w:instrText>
            </w:r>
            <w:r w:rsidR="0026268D">
              <w:rPr>
                <w:noProof/>
                <w:webHidden/>
              </w:rPr>
            </w:r>
            <w:r w:rsidR="0026268D">
              <w:rPr>
                <w:noProof/>
                <w:webHidden/>
              </w:rPr>
              <w:fldChar w:fldCharType="separate"/>
            </w:r>
            <w:r w:rsidR="0014527A">
              <w:rPr>
                <w:noProof/>
                <w:webHidden/>
              </w:rPr>
              <w:t>25</w:t>
            </w:r>
            <w:r w:rsidR="0026268D">
              <w:rPr>
                <w:noProof/>
                <w:webHidden/>
              </w:rPr>
              <w:fldChar w:fldCharType="end"/>
            </w:r>
          </w:hyperlink>
        </w:p>
        <w:p w14:paraId="5023880F" w14:textId="221A49D1" w:rsidR="0026268D" w:rsidRDefault="004660BB">
          <w:pPr>
            <w:pStyle w:val="TOC3"/>
            <w:tabs>
              <w:tab w:val="right" w:leader="dot" w:pos="9350"/>
            </w:tabs>
            <w:rPr>
              <w:rFonts w:asciiTheme="minorHAnsi" w:hAnsiTheme="minorHAnsi"/>
              <w:noProof/>
              <w:color w:val="auto"/>
              <w:sz w:val="22"/>
              <w:szCs w:val="22"/>
            </w:rPr>
          </w:pPr>
          <w:hyperlink w:anchor="_Toc39502044" w:history="1">
            <w:r w:rsidR="0026268D" w:rsidRPr="00A32F21">
              <w:rPr>
                <w:rStyle w:val="Hyperlink"/>
                <w:rFonts w:eastAsia="Times New Roman"/>
                <w:noProof/>
              </w:rPr>
              <w:t>2.2.4 Toxicity Prediction Based on ToxCast Assay Targets</w:t>
            </w:r>
            <w:r w:rsidR="0026268D">
              <w:rPr>
                <w:noProof/>
                <w:webHidden/>
              </w:rPr>
              <w:tab/>
            </w:r>
            <w:r w:rsidR="0026268D">
              <w:rPr>
                <w:noProof/>
                <w:webHidden/>
              </w:rPr>
              <w:fldChar w:fldCharType="begin"/>
            </w:r>
            <w:r w:rsidR="0026268D">
              <w:rPr>
                <w:noProof/>
                <w:webHidden/>
              </w:rPr>
              <w:instrText xml:space="preserve"> PAGEREF _Toc39502044 \h </w:instrText>
            </w:r>
            <w:r w:rsidR="0026268D">
              <w:rPr>
                <w:noProof/>
                <w:webHidden/>
              </w:rPr>
            </w:r>
            <w:r w:rsidR="0026268D">
              <w:rPr>
                <w:noProof/>
                <w:webHidden/>
              </w:rPr>
              <w:fldChar w:fldCharType="separate"/>
            </w:r>
            <w:r w:rsidR="0014527A">
              <w:rPr>
                <w:noProof/>
                <w:webHidden/>
              </w:rPr>
              <w:t>29</w:t>
            </w:r>
            <w:r w:rsidR="0026268D">
              <w:rPr>
                <w:noProof/>
                <w:webHidden/>
              </w:rPr>
              <w:fldChar w:fldCharType="end"/>
            </w:r>
          </w:hyperlink>
        </w:p>
        <w:p w14:paraId="7E278A20" w14:textId="28EA5CE2" w:rsidR="0026268D" w:rsidRDefault="004660BB">
          <w:pPr>
            <w:pStyle w:val="TOC2"/>
            <w:tabs>
              <w:tab w:val="right" w:leader="dot" w:pos="9350"/>
            </w:tabs>
            <w:rPr>
              <w:rFonts w:asciiTheme="minorHAnsi" w:hAnsiTheme="minorHAnsi"/>
              <w:noProof/>
              <w:color w:val="auto"/>
              <w:sz w:val="22"/>
              <w:szCs w:val="22"/>
            </w:rPr>
          </w:pPr>
          <w:hyperlink w:anchor="_Toc39502045" w:history="1">
            <w:r w:rsidR="0026268D" w:rsidRPr="00A32F21">
              <w:rPr>
                <w:rStyle w:val="Hyperlink"/>
                <w:noProof/>
              </w:rPr>
              <w:t>2.3 DISCUSSION</w:t>
            </w:r>
            <w:r w:rsidR="0026268D">
              <w:rPr>
                <w:noProof/>
                <w:webHidden/>
              </w:rPr>
              <w:tab/>
            </w:r>
            <w:r w:rsidR="0026268D">
              <w:rPr>
                <w:noProof/>
                <w:webHidden/>
              </w:rPr>
              <w:fldChar w:fldCharType="begin"/>
            </w:r>
            <w:r w:rsidR="0026268D">
              <w:rPr>
                <w:noProof/>
                <w:webHidden/>
              </w:rPr>
              <w:instrText xml:space="preserve"> PAGEREF _Toc39502045 \h </w:instrText>
            </w:r>
            <w:r w:rsidR="0026268D">
              <w:rPr>
                <w:noProof/>
                <w:webHidden/>
              </w:rPr>
            </w:r>
            <w:r w:rsidR="0026268D">
              <w:rPr>
                <w:noProof/>
                <w:webHidden/>
              </w:rPr>
              <w:fldChar w:fldCharType="separate"/>
            </w:r>
            <w:r w:rsidR="0014527A">
              <w:rPr>
                <w:noProof/>
                <w:webHidden/>
              </w:rPr>
              <w:t>33</w:t>
            </w:r>
            <w:r w:rsidR="0026268D">
              <w:rPr>
                <w:noProof/>
                <w:webHidden/>
              </w:rPr>
              <w:fldChar w:fldCharType="end"/>
            </w:r>
          </w:hyperlink>
        </w:p>
        <w:p w14:paraId="4DEAF64B" w14:textId="334A7159" w:rsidR="0026268D" w:rsidRDefault="004660BB">
          <w:pPr>
            <w:pStyle w:val="TOC3"/>
            <w:tabs>
              <w:tab w:val="right" w:leader="dot" w:pos="9350"/>
            </w:tabs>
            <w:rPr>
              <w:rFonts w:asciiTheme="minorHAnsi" w:hAnsiTheme="minorHAnsi"/>
              <w:noProof/>
              <w:color w:val="auto"/>
              <w:sz w:val="22"/>
              <w:szCs w:val="22"/>
            </w:rPr>
          </w:pPr>
          <w:hyperlink w:anchor="_Toc39502046" w:history="1">
            <w:r w:rsidR="0026268D" w:rsidRPr="00A32F21">
              <w:rPr>
                <w:rStyle w:val="Hyperlink"/>
                <w:noProof/>
              </w:rPr>
              <w:t xml:space="preserve">2.3.1 Identification of Novel </w:t>
            </w:r>
            <w:r w:rsidR="0026268D" w:rsidRPr="00A32F21">
              <w:rPr>
                <w:rStyle w:val="Hyperlink"/>
                <w:rFonts w:cs="Times New Roman"/>
                <w:noProof/>
              </w:rPr>
              <w:t xml:space="preserve">Posterior Lateral Line </w:t>
            </w:r>
            <w:r w:rsidR="0026268D" w:rsidRPr="00A32F21">
              <w:rPr>
                <w:rStyle w:val="Hyperlink"/>
                <w:noProof/>
              </w:rPr>
              <w:t>Disruptors</w:t>
            </w:r>
            <w:r w:rsidR="0026268D">
              <w:rPr>
                <w:noProof/>
                <w:webHidden/>
              </w:rPr>
              <w:tab/>
            </w:r>
            <w:r w:rsidR="0026268D">
              <w:rPr>
                <w:noProof/>
                <w:webHidden/>
              </w:rPr>
              <w:fldChar w:fldCharType="begin"/>
            </w:r>
            <w:r w:rsidR="0026268D">
              <w:rPr>
                <w:noProof/>
                <w:webHidden/>
              </w:rPr>
              <w:instrText xml:space="preserve"> PAGEREF _Toc39502046 \h </w:instrText>
            </w:r>
            <w:r w:rsidR="0026268D">
              <w:rPr>
                <w:noProof/>
                <w:webHidden/>
              </w:rPr>
            </w:r>
            <w:r w:rsidR="0026268D">
              <w:rPr>
                <w:noProof/>
                <w:webHidden/>
              </w:rPr>
              <w:fldChar w:fldCharType="separate"/>
            </w:r>
            <w:r w:rsidR="0014527A">
              <w:rPr>
                <w:noProof/>
                <w:webHidden/>
              </w:rPr>
              <w:t>33</w:t>
            </w:r>
            <w:r w:rsidR="0026268D">
              <w:rPr>
                <w:noProof/>
                <w:webHidden/>
              </w:rPr>
              <w:fldChar w:fldCharType="end"/>
            </w:r>
          </w:hyperlink>
        </w:p>
        <w:p w14:paraId="49F78113" w14:textId="5C2445DE" w:rsidR="0026268D" w:rsidRDefault="004660BB">
          <w:pPr>
            <w:pStyle w:val="TOC3"/>
            <w:tabs>
              <w:tab w:val="right" w:leader="dot" w:pos="9350"/>
            </w:tabs>
            <w:rPr>
              <w:rFonts w:asciiTheme="minorHAnsi" w:hAnsiTheme="minorHAnsi"/>
              <w:noProof/>
              <w:color w:val="auto"/>
              <w:sz w:val="22"/>
              <w:szCs w:val="22"/>
            </w:rPr>
          </w:pPr>
          <w:hyperlink w:anchor="_Toc39502047" w:history="1">
            <w:r w:rsidR="0026268D" w:rsidRPr="00A32F21">
              <w:rPr>
                <w:rStyle w:val="Hyperlink"/>
                <w:noProof/>
              </w:rPr>
              <w:t>2.3.2 Identification of Altered Pathways Through Computational Toxicology</w:t>
            </w:r>
            <w:r w:rsidR="0026268D">
              <w:rPr>
                <w:noProof/>
                <w:webHidden/>
              </w:rPr>
              <w:tab/>
            </w:r>
            <w:r w:rsidR="0026268D">
              <w:rPr>
                <w:noProof/>
                <w:webHidden/>
              </w:rPr>
              <w:fldChar w:fldCharType="begin"/>
            </w:r>
            <w:r w:rsidR="0026268D">
              <w:rPr>
                <w:noProof/>
                <w:webHidden/>
              </w:rPr>
              <w:instrText xml:space="preserve"> PAGEREF _Toc39502047 \h </w:instrText>
            </w:r>
            <w:r w:rsidR="0026268D">
              <w:rPr>
                <w:noProof/>
                <w:webHidden/>
              </w:rPr>
            </w:r>
            <w:r w:rsidR="0026268D">
              <w:rPr>
                <w:noProof/>
                <w:webHidden/>
              </w:rPr>
              <w:fldChar w:fldCharType="separate"/>
            </w:r>
            <w:r w:rsidR="0014527A">
              <w:rPr>
                <w:noProof/>
                <w:webHidden/>
              </w:rPr>
              <w:t>34</w:t>
            </w:r>
            <w:r w:rsidR="0026268D">
              <w:rPr>
                <w:noProof/>
                <w:webHidden/>
              </w:rPr>
              <w:fldChar w:fldCharType="end"/>
            </w:r>
          </w:hyperlink>
        </w:p>
        <w:p w14:paraId="371F89F9" w14:textId="70C7BD29" w:rsidR="0026268D" w:rsidRDefault="004660BB">
          <w:pPr>
            <w:pStyle w:val="TOC3"/>
            <w:tabs>
              <w:tab w:val="right" w:leader="dot" w:pos="9350"/>
            </w:tabs>
            <w:rPr>
              <w:rFonts w:asciiTheme="minorHAnsi" w:hAnsiTheme="minorHAnsi"/>
              <w:noProof/>
              <w:color w:val="auto"/>
              <w:sz w:val="22"/>
              <w:szCs w:val="22"/>
            </w:rPr>
          </w:pPr>
          <w:hyperlink w:anchor="_Toc39502048" w:history="1">
            <w:r w:rsidR="0026268D" w:rsidRPr="00A32F21">
              <w:rPr>
                <w:rStyle w:val="Hyperlink"/>
                <w:noProof/>
              </w:rPr>
              <w:t>2.3.3 Serotonin Signaling is Required for Normal Posterior Lateral Line Development</w:t>
            </w:r>
            <w:r w:rsidR="0026268D">
              <w:rPr>
                <w:noProof/>
                <w:webHidden/>
              </w:rPr>
              <w:tab/>
            </w:r>
            <w:r w:rsidR="0026268D">
              <w:rPr>
                <w:noProof/>
                <w:webHidden/>
              </w:rPr>
              <w:fldChar w:fldCharType="begin"/>
            </w:r>
            <w:r w:rsidR="0026268D">
              <w:rPr>
                <w:noProof/>
                <w:webHidden/>
              </w:rPr>
              <w:instrText xml:space="preserve"> PAGEREF _Toc39502048 \h </w:instrText>
            </w:r>
            <w:r w:rsidR="0026268D">
              <w:rPr>
                <w:noProof/>
                <w:webHidden/>
              </w:rPr>
            </w:r>
            <w:r w:rsidR="0026268D">
              <w:rPr>
                <w:noProof/>
                <w:webHidden/>
              </w:rPr>
              <w:fldChar w:fldCharType="separate"/>
            </w:r>
            <w:r w:rsidR="0014527A">
              <w:rPr>
                <w:noProof/>
                <w:webHidden/>
              </w:rPr>
              <w:t>38</w:t>
            </w:r>
            <w:r w:rsidR="0026268D">
              <w:rPr>
                <w:noProof/>
                <w:webHidden/>
              </w:rPr>
              <w:fldChar w:fldCharType="end"/>
            </w:r>
          </w:hyperlink>
        </w:p>
        <w:p w14:paraId="4FFCE7A7" w14:textId="4EC867DD" w:rsidR="0026268D" w:rsidRDefault="004660BB">
          <w:pPr>
            <w:pStyle w:val="TOC3"/>
            <w:tabs>
              <w:tab w:val="right" w:leader="dot" w:pos="9350"/>
            </w:tabs>
            <w:rPr>
              <w:rFonts w:asciiTheme="minorHAnsi" w:hAnsiTheme="minorHAnsi"/>
              <w:noProof/>
              <w:color w:val="auto"/>
              <w:sz w:val="22"/>
              <w:szCs w:val="22"/>
            </w:rPr>
          </w:pPr>
          <w:hyperlink w:anchor="_Toc39502049" w:history="1">
            <w:r w:rsidR="0026268D" w:rsidRPr="00A32F21">
              <w:rPr>
                <w:rStyle w:val="Hyperlink"/>
                <w:rFonts w:eastAsia="Times New Roman"/>
                <w:noProof/>
              </w:rPr>
              <w:t>2.2.4 Toxicity Prediction Based on ToxCast Assay Targets</w:t>
            </w:r>
            <w:r w:rsidR="0026268D">
              <w:rPr>
                <w:noProof/>
                <w:webHidden/>
              </w:rPr>
              <w:tab/>
            </w:r>
            <w:r w:rsidR="0026268D">
              <w:rPr>
                <w:noProof/>
                <w:webHidden/>
              </w:rPr>
              <w:fldChar w:fldCharType="begin"/>
            </w:r>
            <w:r w:rsidR="0026268D">
              <w:rPr>
                <w:noProof/>
                <w:webHidden/>
              </w:rPr>
              <w:instrText xml:space="preserve"> PAGEREF _Toc39502049 \h </w:instrText>
            </w:r>
            <w:r w:rsidR="0026268D">
              <w:rPr>
                <w:noProof/>
                <w:webHidden/>
              </w:rPr>
            </w:r>
            <w:r w:rsidR="0026268D">
              <w:rPr>
                <w:noProof/>
                <w:webHidden/>
              </w:rPr>
              <w:fldChar w:fldCharType="separate"/>
            </w:r>
            <w:r w:rsidR="0014527A">
              <w:rPr>
                <w:noProof/>
                <w:webHidden/>
              </w:rPr>
              <w:t>40</w:t>
            </w:r>
            <w:r w:rsidR="0026268D">
              <w:rPr>
                <w:noProof/>
                <w:webHidden/>
              </w:rPr>
              <w:fldChar w:fldCharType="end"/>
            </w:r>
          </w:hyperlink>
        </w:p>
        <w:p w14:paraId="344FD579" w14:textId="7623B25B" w:rsidR="0026268D" w:rsidRDefault="004660BB">
          <w:pPr>
            <w:pStyle w:val="TOC1"/>
            <w:rPr>
              <w:rFonts w:asciiTheme="minorHAnsi" w:hAnsiTheme="minorHAnsi"/>
              <w:b w:val="0"/>
              <w:bCs w:val="0"/>
              <w:color w:val="auto"/>
              <w:sz w:val="22"/>
              <w:szCs w:val="22"/>
            </w:rPr>
          </w:pPr>
          <w:hyperlink w:anchor="_Toc39502050" w:history="1">
            <w:r w:rsidR="0026268D" w:rsidRPr="00A32F21">
              <w:rPr>
                <w:rStyle w:val="Hyperlink"/>
              </w:rPr>
              <w:t>CHAPTER 3: IDENTIFICATION AND PREDICTION OF VASCULAR DISRUPTOR COMPOUNDS</w:t>
            </w:r>
            <w:r w:rsidR="0026268D">
              <w:rPr>
                <w:webHidden/>
              </w:rPr>
              <w:tab/>
            </w:r>
            <w:r w:rsidR="0026268D">
              <w:rPr>
                <w:webHidden/>
              </w:rPr>
              <w:fldChar w:fldCharType="begin"/>
            </w:r>
            <w:r w:rsidR="0026268D">
              <w:rPr>
                <w:webHidden/>
              </w:rPr>
              <w:instrText xml:space="preserve"> PAGEREF _Toc39502050 \h </w:instrText>
            </w:r>
            <w:r w:rsidR="0026268D">
              <w:rPr>
                <w:webHidden/>
              </w:rPr>
            </w:r>
            <w:r w:rsidR="0026268D">
              <w:rPr>
                <w:webHidden/>
              </w:rPr>
              <w:fldChar w:fldCharType="separate"/>
            </w:r>
            <w:r w:rsidR="0014527A">
              <w:rPr>
                <w:webHidden/>
              </w:rPr>
              <w:t>42</w:t>
            </w:r>
            <w:r w:rsidR="0026268D">
              <w:rPr>
                <w:webHidden/>
              </w:rPr>
              <w:fldChar w:fldCharType="end"/>
            </w:r>
          </w:hyperlink>
        </w:p>
        <w:p w14:paraId="75BD5AB2" w14:textId="4ED4BE36" w:rsidR="0026268D" w:rsidRDefault="004660BB">
          <w:pPr>
            <w:pStyle w:val="TOC2"/>
            <w:tabs>
              <w:tab w:val="right" w:leader="dot" w:pos="9350"/>
            </w:tabs>
            <w:rPr>
              <w:rFonts w:asciiTheme="minorHAnsi" w:hAnsiTheme="minorHAnsi"/>
              <w:noProof/>
              <w:color w:val="auto"/>
              <w:sz w:val="22"/>
              <w:szCs w:val="22"/>
            </w:rPr>
          </w:pPr>
          <w:hyperlink w:anchor="_Toc39502051" w:history="1">
            <w:r w:rsidR="0026268D" w:rsidRPr="00A32F21">
              <w:rPr>
                <w:rStyle w:val="Hyperlink"/>
                <w:rFonts w:eastAsia="Times New Roman"/>
                <w:noProof/>
              </w:rPr>
              <w:t>3.1 INTRODUCTION</w:t>
            </w:r>
            <w:r w:rsidR="0026268D">
              <w:rPr>
                <w:noProof/>
                <w:webHidden/>
              </w:rPr>
              <w:tab/>
            </w:r>
            <w:r w:rsidR="0026268D">
              <w:rPr>
                <w:noProof/>
                <w:webHidden/>
              </w:rPr>
              <w:fldChar w:fldCharType="begin"/>
            </w:r>
            <w:r w:rsidR="0026268D">
              <w:rPr>
                <w:noProof/>
                <w:webHidden/>
              </w:rPr>
              <w:instrText xml:space="preserve"> PAGEREF _Toc39502051 \h </w:instrText>
            </w:r>
            <w:r w:rsidR="0026268D">
              <w:rPr>
                <w:noProof/>
                <w:webHidden/>
              </w:rPr>
            </w:r>
            <w:r w:rsidR="0026268D">
              <w:rPr>
                <w:noProof/>
                <w:webHidden/>
              </w:rPr>
              <w:fldChar w:fldCharType="separate"/>
            </w:r>
            <w:r w:rsidR="0014527A">
              <w:rPr>
                <w:noProof/>
                <w:webHidden/>
              </w:rPr>
              <w:t>43</w:t>
            </w:r>
            <w:r w:rsidR="0026268D">
              <w:rPr>
                <w:noProof/>
                <w:webHidden/>
              </w:rPr>
              <w:fldChar w:fldCharType="end"/>
            </w:r>
          </w:hyperlink>
        </w:p>
        <w:p w14:paraId="7C4D5366" w14:textId="46B4DF52" w:rsidR="0026268D" w:rsidRDefault="004660BB">
          <w:pPr>
            <w:pStyle w:val="TOC3"/>
            <w:tabs>
              <w:tab w:val="right" w:leader="dot" w:pos="9350"/>
            </w:tabs>
            <w:rPr>
              <w:rFonts w:asciiTheme="minorHAnsi" w:hAnsiTheme="minorHAnsi"/>
              <w:noProof/>
              <w:color w:val="auto"/>
              <w:sz w:val="22"/>
              <w:szCs w:val="22"/>
            </w:rPr>
          </w:pPr>
          <w:hyperlink w:anchor="_Toc39502052" w:history="1">
            <w:r w:rsidR="0026268D" w:rsidRPr="00A32F21">
              <w:rPr>
                <w:rStyle w:val="Hyperlink"/>
                <w:noProof/>
              </w:rPr>
              <w:t>3.1.1 Vascular System Development in Zebrafish</w:t>
            </w:r>
            <w:r w:rsidR="0026268D">
              <w:rPr>
                <w:noProof/>
                <w:webHidden/>
              </w:rPr>
              <w:tab/>
            </w:r>
            <w:r w:rsidR="0026268D">
              <w:rPr>
                <w:noProof/>
                <w:webHidden/>
              </w:rPr>
              <w:fldChar w:fldCharType="begin"/>
            </w:r>
            <w:r w:rsidR="0026268D">
              <w:rPr>
                <w:noProof/>
                <w:webHidden/>
              </w:rPr>
              <w:instrText xml:space="preserve"> PAGEREF _Toc39502052 \h </w:instrText>
            </w:r>
            <w:r w:rsidR="0026268D">
              <w:rPr>
                <w:noProof/>
                <w:webHidden/>
              </w:rPr>
            </w:r>
            <w:r w:rsidR="0026268D">
              <w:rPr>
                <w:noProof/>
                <w:webHidden/>
              </w:rPr>
              <w:fldChar w:fldCharType="separate"/>
            </w:r>
            <w:r w:rsidR="0014527A">
              <w:rPr>
                <w:noProof/>
                <w:webHidden/>
              </w:rPr>
              <w:t>43</w:t>
            </w:r>
            <w:r w:rsidR="0026268D">
              <w:rPr>
                <w:noProof/>
                <w:webHidden/>
              </w:rPr>
              <w:fldChar w:fldCharType="end"/>
            </w:r>
          </w:hyperlink>
        </w:p>
        <w:p w14:paraId="3D857042" w14:textId="1B2A6B28" w:rsidR="0026268D" w:rsidRDefault="004660BB">
          <w:pPr>
            <w:pStyle w:val="TOC3"/>
            <w:tabs>
              <w:tab w:val="right" w:leader="dot" w:pos="9350"/>
            </w:tabs>
            <w:rPr>
              <w:rFonts w:asciiTheme="minorHAnsi" w:hAnsiTheme="minorHAnsi"/>
              <w:noProof/>
              <w:color w:val="auto"/>
              <w:sz w:val="22"/>
              <w:szCs w:val="22"/>
            </w:rPr>
          </w:pPr>
          <w:hyperlink w:anchor="_Toc39502053" w:history="1">
            <w:r w:rsidR="0026268D" w:rsidRPr="00A32F21">
              <w:rPr>
                <w:rStyle w:val="Hyperlink"/>
                <w:noProof/>
              </w:rPr>
              <w:t>3.1.2 Human Umbilical Vascular Endothelial Cells (HUVEC)</w:t>
            </w:r>
            <w:r w:rsidR="0026268D">
              <w:rPr>
                <w:noProof/>
                <w:webHidden/>
              </w:rPr>
              <w:tab/>
            </w:r>
            <w:r w:rsidR="0026268D">
              <w:rPr>
                <w:noProof/>
                <w:webHidden/>
              </w:rPr>
              <w:fldChar w:fldCharType="begin"/>
            </w:r>
            <w:r w:rsidR="0026268D">
              <w:rPr>
                <w:noProof/>
                <w:webHidden/>
              </w:rPr>
              <w:instrText xml:space="preserve"> PAGEREF _Toc39502053 \h </w:instrText>
            </w:r>
            <w:r w:rsidR="0026268D">
              <w:rPr>
                <w:noProof/>
                <w:webHidden/>
              </w:rPr>
            </w:r>
            <w:r w:rsidR="0026268D">
              <w:rPr>
                <w:noProof/>
                <w:webHidden/>
              </w:rPr>
              <w:fldChar w:fldCharType="separate"/>
            </w:r>
            <w:r w:rsidR="0014527A">
              <w:rPr>
                <w:noProof/>
                <w:webHidden/>
              </w:rPr>
              <w:t>44</w:t>
            </w:r>
            <w:r w:rsidR="0026268D">
              <w:rPr>
                <w:noProof/>
                <w:webHidden/>
              </w:rPr>
              <w:fldChar w:fldCharType="end"/>
            </w:r>
          </w:hyperlink>
        </w:p>
        <w:p w14:paraId="433065B9" w14:textId="32402383" w:rsidR="0026268D" w:rsidRDefault="004660BB">
          <w:pPr>
            <w:pStyle w:val="TOC3"/>
            <w:tabs>
              <w:tab w:val="right" w:leader="dot" w:pos="9350"/>
            </w:tabs>
            <w:rPr>
              <w:rFonts w:asciiTheme="minorHAnsi" w:hAnsiTheme="minorHAnsi"/>
              <w:noProof/>
              <w:color w:val="auto"/>
              <w:sz w:val="22"/>
              <w:szCs w:val="22"/>
            </w:rPr>
          </w:pPr>
          <w:hyperlink w:anchor="_Toc39502054" w:history="1">
            <w:r w:rsidR="0026268D" w:rsidRPr="00A32F21">
              <w:rPr>
                <w:rStyle w:val="Hyperlink"/>
                <w:noProof/>
              </w:rPr>
              <w:t>3.1.3 Screen for Vascular Disruptor Compounds</w:t>
            </w:r>
            <w:r w:rsidR="0026268D">
              <w:rPr>
                <w:noProof/>
                <w:webHidden/>
              </w:rPr>
              <w:tab/>
            </w:r>
            <w:r w:rsidR="0026268D">
              <w:rPr>
                <w:noProof/>
                <w:webHidden/>
              </w:rPr>
              <w:fldChar w:fldCharType="begin"/>
            </w:r>
            <w:r w:rsidR="0026268D">
              <w:rPr>
                <w:noProof/>
                <w:webHidden/>
              </w:rPr>
              <w:instrText xml:space="preserve"> PAGEREF _Toc39502054 \h </w:instrText>
            </w:r>
            <w:r w:rsidR="0026268D">
              <w:rPr>
                <w:noProof/>
                <w:webHidden/>
              </w:rPr>
            </w:r>
            <w:r w:rsidR="0026268D">
              <w:rPr>
                <w:noProof/>
                <w:webHidden/>
              </w:rPr>
              <w:fldChar w:fldCharType="separate"/>
            </w:r>
            <w:r w:rsidR="0014527A">
              <w:rPr>
                <w:noProof/>
                <w:webHidden/>
              </w:rPr>
              <w:t>46</w:t>
            </w:r>
            <w:r w:rsidR="0026268D">
              <w:rPr>
                <w:noProof/>
                <w:webHidden/>
              </w:rPr>
              <w:fldChar w:fldCharType="end"/>
            </w:r>
          </w:hyperlink>
        </w:p>
        <w:p w14:paraId="32BB4A91" w14:textId="301FBD02" w:rsidR="0026268D" w:rsidRDefault="004660BB">
          <w:pPr>
            <w:pStyle w:val="TOC2"/>
            <w:tabs>
              <w:tab w:val="right" w:leader="dot" w:pos="9350"/>
            </w:tabs>
            <w:rPr>
              <w:rFonts w:asciiTheme="minorHAnsi" w:hAnsiTheme="minorHAnsi"/>
              <w:noProof/>
              <w:color w:val="auto"/>
              <w:sz w:val="22"/>
              <w:szCs w:val="22"/>
            </w:rPr>
          </w:pPr>
          <w:hyperlink w:anchor="_Toc39502055" w:history="1">
            <w:r w:rsidR="0026268D" w:rsidRPr="00A32F21">
              <w:rPr>
                <w:rStyle w:val="Hyperlink"/>
                <w:rFonts w:eastAsia="Times New Roman"/>
                <w:noProof/>
              </w:rPr>
              <w:t>3.2 RESULTS</w:t>
            </w:r>
            <w:r w:rsidR="0026268D">
              <w:rPr>
                <w:noProof/>
                <w:webHidden/>
              </w:rPr>
              <w:tab/>
            </w:r>
            <w:r w:rsidR="0026268D">
              <w:rPr>
                <w:noProof/>
                <w:webHidden/>
              </w:rPr>
              <w:fldChar w:fldCharType="begin"/>
            </w:r>
            <w:r w:rsidR="0026268D">
              <w:rPr>
                <w:noProof/>
                <w:webHidden/>
              </w:rPr>
              <w:instrText xml:space="preserve"> PAGEREF _Toc39502055 \h </w:instrText>
            </w:r>
            <w:r w:rsidR="0026268D">
              <w:rPr>
                <w:noProof/>
                <w:webHidden/>
              </w:rPr>
            </w:r>
            <w:r w:rsidR="0026268D">
              <w:rPr>
                <w:noProof/>
                <w:webHidden/>
              </w:rPr>
              <w:fldChar w:fldCharType="separate"/>
            </w:r>
            <w:r w:rsidR="0014527A">
              <w:rPr>
                <w:noProof/>
                <w:webHidden/>
              </w:rPr>
              <w:t>48</w:t>
            </w:r>
            <w:r w:rsidR="0026268D">
              <w:rPr>
                <w:noProof/>
                <w:webHidden/>
              </w:rPr>
              <w:fldChar w:fldCharType="end"/>
            </w:r>
          </w:hyperlink>
        </w:p>
        <w:p w14:paraId="562866C7" w14:textId="1D329D27" w:rsidR="0026268D" w:rsidRDefault="004660BB">
          <w:pPr>
            <w:pStyle w:val="TOC3"/>
            <w:tabs>
              <w:tab w:val="right" w:leader="dot" w:pos="9350"/>
            </w:tabs>
            <w:rPr>
              <w:rFonts w:asciiTheme="minorHAnsi" w:hAnsiTheme="minorHAnsi"/>
              <w:noProof/>
              <w:color w:val="auto"/>
              <w:sz w:val="22"/>
              <w:szCs w:val="22"/>
            </w:rPr>
          </w:pPr>
          <w:hyperlink w:anchor="_Toc39502056" w:history="1">
            <w:r w:rsidR="0026268D" w:rsidRPr="00A32F21">
              <w:rPr>
                <w:rStyle w:val="Hyperlink"/>
                <w:rFonts w:eastAsia="Times New Roman"/>
                <w:noProof/>
              </w:rPr>
              <w:t>3.2.1 Identification of Novel Vascular Disruptor Compounds (VDC)</w:t>
            </w:r>
            <w:r w:rsidR="0026268D">
              <w:rPr>
                <w:noProof/>
                <w:webHidden/>
              </w:rPr>
              <w:tab/>
            </w:r>
            <w:r w:rsidR="0026268D">
              <w:rPr>
                <w:noProof/>
                <w:webHidden/>
              </w:rPr>
              <w:fldChar w:fldCharType="begin"/>
            </w:r>
            <w:r w:rsidR="0026268D">
              <w:rPr>
                <w:noProof/>
                <w:webHidden/>
              </w:rPr>
              <w:instrText xml:space="preserve"> PAGEREF _Toc39502056 \h </w:instrText>
            </w:r>
            <w:r w:rsidR="0026268D">
              <w:rPr>
                <w:noProof/>
                <w:webHidden/>
              </w:rPr>
            </w:r>
            <w:r w:rsidR="0026268D">
              <w:rPr>
                <w:noProof/>
                <w:webHidden/>
              </w:rPr>
              <w:fldChar w:fldCharType="separate"/>
            </w:r>
            <w:r w:rsidR="0014527A">
              <w:rPr>
                <w:noProof/>
                <w:webHidden/>
              </w:rPr>
              <w:t>48</w:t>
            </w:r>
            <w:r w:rsidR="0026268D">
              <w:rPr>
                <w:noProof/>
                <w:webHidden/>
              </w:rPr>
              <w:fldChar w:fldCharType="end"/>
            </w:r>
          </w:hyperlink>
        </w:p>
        <w:p w14:paraId="66FBD2C8" w14:textId="2018E4E2" w:rsidR="0026268D" w:rsidRDefault="004660BB">
          <w:pPr>
            <w:pStyle w:val="TOC3"/>
            <w:tabs>
              <w:tab w:val="right" w:leader="dot" w:pos="9350"/>
            </w:tabs>
            <w:rPr>
              <w:rFonts w:asciiTheme="minorHAnsi" w:hAnsiTheme="minorHAnsi"/>
              <w:noProof/>
              <w:color w:val="auto"/>
              <w:sz w:val="22"/>
              <w:szCs w:val="22"/>
            </w:rPr>
          </w:pPr>
          <w:hyperlink w:anchor="_Toc39502057" w:history="1">
            <w:r w:rsidR="0026268D" w:rsidRPr="00A32F21">
              <w:rPr>
                <w:rStyle w:val="Hyperlink"/>
                <w:rFonts w:eastAsia="Times New Roman"/>
                <w:noProof/>
              </w:rPr>
              <w:t xml:space="preserve">3.2.2 VDC Exposure Causes Dose-Dependent ISV Perturbation </w:t>
            </w:r>
            <w:r w:rsidR="0026268D" w:rsidRPr="00A32F21">
              <w:rPr>
                <w:rStyle w:val="Hyperlink"/>
                <w:rFonts w:eastAsia="Times New Roman"/>
                <w:i/>
                <w:iCs/>
                <w:noProof/>
              </w:rPr>
              <w:t>in vivo</w:t>
            </w:r>
            <w:r w:rsidR="0026268D" w:rsidRPr="00A32F21">
              <w:rPr>
                <w:rStyle w:val="Hyperlink"/>
                <w:rFonts w:eastAsia="Times New Roman"/>
                <w:noProof/>
              </w:rPr>
              <w:t xml:space="preserve"> and </w:t>
            </w:r>
            <w:r w:rsidR="0026268D" w:rsidRPr="00A32F21">
              <w:rPr>
                <w:rStyle w:val="Hyperlink"/>
                <w:rFonts w:eastAsia="Times New Roman"/>
                <w:i/>
                <w:iCs/>
                <w:noProof/>
              </w:rPr>
              <w:t>in vitro</w:t>
            </w:r>
            <w:r w:rsidR="0026268D">
              <w:rPr>
                <w:noProof/>
                <w:webHidden/>
              </w:rPr>
              <w:tab/>
            </w:r>
            <w:r w:rsidR="0026268D">
              <w:rPr>
                <w:noProof/>
                <w:webHidden/>
              </w:rPr>
              <w:fldChar w:fldCharType="begin"/>
            </w:r>
            <w:r w:rsidR="0026268D">
              <w:rPr>
                <w:noProof/>
                <w:webHidden/>
              </w:rPr>
              <w:instrText xml:space="preserve"> PAGEREF _Toc39502057 \h </w:instrText>
            </w:r>
            <w:r w:rsidR="0026268D">
              <w:rPr>
                <w:noProof/>
                <w:webHidden/>
              </w:rPr>
            </w:r>
            <w:r w:rsidR="0026268D">
              <w:rPr>
                <w:noProof/>
                <w:webHidden/>
              </w:rPr>
              <w:fldChar w:fldCharType="separate"/>
            </w:r>
            <w:r w:rsidR="0014527A">
              <w:rPr>
                <w:noProof/>
                <w:webHidden/>
              </w:rPr>
              <w:t>49</w:t>
            </w:r>
            <w:r w:rsidR="0026268D">
              <w:rPr>
                <w:noProof/>
                <w:webHidden/>
              </w:rPr>
              <w:fldChar w:fldCharType="end"/>
            </w:r>
          </w:hyperlink>
        </w:p>
        <w:p w14:paraId="65D23179" w14:textId="14DD0BA8" w:rsidR="0026268D" w:rsidRDefault="004660BB">
          <w:pPr>
            <w:pStyle w:val="TOC3"/>
            <w:tabs>
              <w:tab w:val="right" w:leader="dot" w:pos="9350"/>
            </w:tabs>
            <w:rPr>
              <w:rFonts w:asciiTheme="minorHAnsi" w:hAnsiTheme="minorHAnsi"/>
              <w:noProof/>
              <w:color w:val="auto"/>
              <w:sz w:val="22"/>
              <w:szCs w:val="22"/>
            </w:rPr>
          </w:pPr>
          <w:hyperlink w:anchor="_Toc39502058" w:history="1">
            <w:r w:rsidR="0026268D" w:rsidRPr="00A32F21">
              <w:rPr>
                <w:rStyle w:val="Hyperlink"/>
                <w:rFonts w:eastAsia="Times New Roman"/>
                <w:noProof/>
              </w:rPr>
              <w:t>3.2.3 Putative VDC signatures for the identified ISV disruptors</w:t>
            </w:r>
            <w:r w:rsidR="0026268D">
              <w:rPr>
                <w:noProof/>
                <w:webHidden/>
              </w:rPr>
              <w:tab/>
            </w:r>
            <w:r w:rsidR="0026268D">
              <w:rPr>
                <w:noProof/>
                <w:webHidden/>
              </w:rPr>
              <w:fldChar w:fldCharType="begin"/>
            </w:r>
            <w:r w:rsidR="0026268D">
              <w:rPr>
                <w:noProof/>
                <w:webHidden/>
              </w:rPr>
              <w:instrText xml:space="preserve"> PAGEREF _Toc39502058 \h </w:instrText>
            </w:r>
            <w:r w:rsidR="0026268D">
              <w:rPr>
                <w:noProof/>
                <w:webHidden/>
              </w:rPr>
            </w:r>
            <w:r w:rsidR="0026268D">
              <w:rPr>
                <w:noProof/>
                <w:webHidden/>
              </w:rPr>
              <w:fldChar w:fldCharType="separate"/>
            </w:r>
            <w:r w:rsidR="0014527A">
              <w:rPr>
                <w:noProof/>
                <w:webHidden/>
              </w:rPr>
              <w:t>57</w:t>
            </w:r>
            <w:r w:rsidR="0026268D">
              <w:rPr>
                <w:noProof/>
                <w:webHidden/>
              </w:rPr>
              <w:fldChar w:fldCharType="end"/>
            </w:r>
          </w:hyperlink>
        </w:p>
        <w:p w14:paraId="4BC0E199" w14:textId="5EE64EDD" w:rsidR="0026268D" w:rsidRDefault="004660BB">
          <w:pPr>
            <w:pStyle w:val="TOC3"/>
            <w:tabs>
              <w:tab w:val="right" w:leader="dot" w:pos="9350"/>
            </w:tabs>
            <w:rPr>
              <w:rFonts w:asciiTheme="minorHAnsi" w:hAnsiTheme="minorHAnsi"/>
              <w:noProof/>
              <w:color w:val="auto"/>
              <w:sz w:val="22"/>
              <w:szCs w:val="22"/>
            </w:rPr>
          </w:pPr>
          <w:hyperlink w:anchor="_Toc39502059" w:history="1">
            <w:r w:rsidR="0026268D" w:rsidRPr="00A32F21">
              <w:rPr>
                <w:rStyle w:val="Hyperlink"/>
                <w:rFonts w:eastAsia="Times New Roman"/>
                <w:noProof/>
              </w:rPr>
              <w:t>3.2.4 Prediction of Vascular Toxicity of New Compounds</w:t>
            </w:r>
            <w:r w:rsidR="0026268D">
              <w:rPr>
                <w:noProof/>
                <w:webHidden/>
              </w:rPr>
              <w:tab/>
            </w:r>
            <w:r w:rsidR="0026268D">
              <w:rPr>
                <w:noProof/>
                <w:webHidden/>
              </w:rPr>
              <w:fldChar w:fldCharType="begin"/>
            </w:r>
            <w:r w:rsidR="0026268D">
              <w:rPr>
                <w:noProof/>
                <w:webHidden/>
              </w:rPr>
              <w:instrText xml:space="preserve"> PAGEREF _Toc39502059 \h </w:instrText>
            </w:r>
            <w:r w:rsidR="0026268D">
              <w:rPr>
                <w:noProof/>
                <w:webHidden/>
              </w:rPr>
            </w:r>
            <w:r w:rsidR="0026268D">
              <w:rPr>
                <w:noProof/>
                <w:webHidden/>
              </w:rPr>
              <w:fldChar w:fldCharType="separate"/>
            </w:r>
            <w:r w:rsidR="0014527A">
              <w:rPr>
                <w:noProof/>
                <w:webHidden/>
              </w:rPr>
              <w:t>59</w:t>
            </w:r>
            <w:r w:rsidR="0026268D">
              <w:rPr>
                <w:noProof/>
                <w:webHidden/>
              </w:rPr>
              <w:fldChar w:fldCharType="end"/>
            </w:r>
          </w:hyperlink>
        </w:p>
        <w:p w14:paraId="419B80F9" w14:textId="0AC16A82" w:rsidR="0026268D" w:rsidRDefault="004660BB">
          <w:pPr>
            <w:pStyle w:val="TOC2"/>
            <w:tabs>
              <w:tab w:val="right" w:leader="dot" w:pos="9350"/>
            </w:tabs>
            <w:rPr>
              <w:rFonts w:asciiTheme="minorHAnsi" w:hAnsiTheme="minorHAnsi"/>
              <w:noProof/>
              <w:color w:val="auto"/>
              <w:sz w:val="22"/>
              <w:szCs w:val="22"/>
            </w:rPr>
          </w:pPr>
          <w:hyperlink w:anchor="_Toc39502060" w:history="1">
            <w:r w:rsidR="0026268D" w:rsidRPr="00A32F21">
              <w:rPr>
                <w:rStyle w:val="Hyperlink"/>
                <w:noProof/>
              </w:rPr>
              <w:t>3.3 DISCUSSION</w:t>
            </w:r>
            <w:r w:rsidR="0026268D">
              <w:rPr>
                <w:noProof/>
                <w:webHidden/>
              </w:rPr>
              <w:tab/>
            </w:r>
            <w:r w:rsidR="0026268D">
              <w:rPr>
                <w:noProof/>
                <w:webHidden/>
              </w:rPr>
              <w:fldChar w:fldCharType="begin"/>
            </w:r>
            <w:r w:rsidR="0026268D">
              <w:rPr>
                <w:noProof/>
                <w:webHidden/>
              </w:rPr>
              <w:instrText xml:space="preserve"> PAGEREF _Toc39502060 \h </w:instrText>
            </w:r>
            <w:r w:rsidR="0026268D">
              <w:rPr>
                <w:noProof/>
                <w:webHidden/>
              </w:rPr>
            </w:r>
            <w:r w:rsidR="0026268D">
              <w:rPr>
                <w:noProof/>
                <w:webHidden/>
              </w:rPr>
              <w:fldChar w:fldCharType="separate"/>
            </w:r>
            <w:r w:rsidR="0014527A">
              <w:rPr>
                <w:noProof/>
                <w:webHidden/>
              </w:rPr>
              <w:t>61</w:t>
            </w:r>
            <w:r w:rsidR="0026268D">
              <w:rPr>
                <w:noProof/>
                <w:webHidden/>
              </w:rPr>
              <w:fldChar w:fldCharType="end"/>
            </w:r>
          </w:hyperlink>
        </w:p>
        <w:p w14:paraId="05AFBADC" w14:textId="0DF91004" w:rsidR="0026268D" w:rsidRDefault="004660BB">
          <w:pPr>
            <w:pStyle w:val="TOC3"/>
            <w:tabs>
              <w:tab w:val="right" w:leader="dot" w:pos="9350"/>
            </w:tabs>
            <w:rPr>
              <w:rFonts w:asciiTheme="minorHAnsi" w:hAnsiTheme="minorHAnsi"/>
              <w:noProof/>
              <w:color w:val="auto"/>
              <w:sz w:val="22"/>
              <w:szCs w:val="22"/>
            </w:rPr>
          </w:pPr>
          <w:hyperlink w:anchor="_Toc39502061" w:history="1">
            <w:r w:rsidR="0026268D" w:rsidRPr="00A32F21">
              <w:rPr>
                <w:rStyle w:val="Hyperlink"/>
                <w:rFonts w:eastAsia="Times New Roman"/>
                <w:noProof/>
              </w:rPr>
              <w:t>3.3.1 VDCs’ Modes of Action Implied from ToxCast Data Correlations</w:t>
            </w:r>
            <w:r w:rsidR="0026268D">
              <w:rPr>
                <w:noProof/>
                <w:webHidden/>
              </w:rPr>
              <w:tab/>
            </w:r>
            <w:r w:rsidR="0026268D">
              <w:rPr>
                <w:noProof/>
                <w:webHidden/>
              </w:rPr>
              <w:fldChar w:fldCharType="begin"/>
            </w:r>
            <w:r w:rsidR="0026268D">
              <w:rPr>
                <w:noProof/>
                <w:webHidden/>
              </w:rPr>
              <w:instrText xml:space="preserve"> PAGEREF _Toc39502061 \h </w:instrText>
            </w:r>
            <w:r w:rsidR="0026268D">
              <w:rPr>
                <w:noProof/>
                <w:webHidden/>
              </w:rPr>
            </w:r>
            <w:r w:rsidR="0026268D">
              <w:rPr>
                <w:noProof/>
                <w:webHidden/>
              </w:rPr>
              <w:fldChar w:fldCharType="separate"/>
            </w:r>
            <w:r w:rsidR="0014527A">
              <w:rPr>
                <w:noProof/>
                <w:webHidden/>
              </w:rPr>
              <w:t>62</w:t>
            </w:r>
            <w:r w:rsidR="0026268D">
              <w:rPr>
                <w:noProof/>
                <w:webHidden/>
              </w:rPr>
              <w:fldChar w:fldCharType="end"/>
            </w:r>
          </w:hyperlink>
        </w:p>
        <w:p w14:paraId="41A03AB3" w14:textId="33E98E45" w:rsidR="0026268D" w:rsidRDefault="004660BB">
          <w:pPr>
            <w:pStyle w:val="TOC3"/>
            <w:tabs>
              <w:tab w:val="right" w:leader="dot" w:pos="9350"/>
            </w:tabs>
            <w:rPr>
              <w:rFonts w:asciiTheme="minorHAnsi" w:hAnsiTheme="minorHAnsi"/>
              <w:noProof/>
              <w:color w:val="auto"/>
              <w:sz w:val="22"/>
              <w:szCs w:val="22"/>
            </w:rPr>
          </w:pPr>
          <w:hyperlink w:anchor="_Toc39502062" w:history="1">
            <w:r w:rsidR="0026268D" w:rsidRPr="00A32F21">
              <w:rPr>
                <w:rStyle w:val="Hyperlink"/>
                <w:rFonts w:eastAsia="Times New Roman"/>
                <w:noProof/>
              </w:rPr>
              <w:t>3.3.2 Prediction of Vascular Toxicity of New Compounds</w:t>
            </w:r>
            <w:r w:rsidR="0026268D">
              <w:rPr>
                <w:noProof/>
                <w:webHidden/>
              </w:rPr>
              <w:tab/>
            </w:r>
            <w:r w:rsidR="0026268D">
              <w:rPr>
                <w:noProof/>
                <w:webHidden/>
              </w:rPr>
              <w:fldChar w:fldCharType="begin"/>
            </w:r>
            <w:r w:rsidR="0026268D">
              <w:rPr>
                <w:noProof/>
                <w:webHidden/>
              </w:rPr>
              <w:instrText xml:space="preserve"> PAGEREF _Toc39502062 \h </w:instrText>
            </w:r>
            <w:r w:rsidR="0026268D">
              <w:rPr>
                <w:noProof/>
                <w:webHidden/>
              </w:rPr>
            </w:r>
            <w:r w:rsidR="0026268D">
              <w:rPr>
                <w:noProof/>
                <w:webHidden/>
              </w:rPr>
              <w:fldChar w:fldCharType="separate"/>
            </w:r>
            <w:r w:rsidR="0014527A">
              <w:rPr>
                <w:noProof/>
                <w:webHidden/>
              </w:rPr>
              <w:t>64</w:t>
            </w:r>
            <w:r w:rsidR="0026268D">
              <w:rPr>
                <w:noProof/>
                <w:webHidden/>
              </w:rPr>
              <w:fldChar w:fldCharType="end"/>
            </w:r>
          </w:hyperlink>
        </w:p>
        <w:p w14:paraId="3AF8C862" w14:textId="031864CE" w:rsidR="0026268D" w:rsidRDefault="004660BB">
          <w:pPr>
            <w:pStyle w:val="TOC1"/>
            <w:rPr>
              <w:rFonts w:asciiTheme="minorHAnsi" w:hAnsiTheme="minorHAnsi"/>
              <w:b w:val="0"/>
              <w:bCs w:val="0"/>
              <w:color w:val="auto"/>
              <w:sz w:val="22"/>
              <w:szCs w:val="22"/>
            </w:rPr>
          </w:pPr>
          <w:hyperlink w:anchor="_Toc39502063" w:history="1">
            <w:r w:rsidR="0026268D" w:rsidRPr="00A32F21">
              <w:rPr>
                <w:rStyle w:val="Hyperlink"/>
              </w:rPr>
              <w:t>CHAPTER 4: MATERIALS AND METHODS</w:t>
            </w:r>
            <w:r w:rsidR="0026268D">
              <w:rPr>
                <w:webHidden/>
              </w:rPr>
              <w:tab/>
            </w:r>
            <w:r w:rsidR="0026268D">
              <w:rPr>
                <w:webHidden/>
              </w:rPr>
              <w:fldChar w:fldCharType="begin"/>
            </w:r>
            <w:r w:rsidR="0026268D">
              <w:rPr>
                <w:webHidden/>
              </w:rPr>
              <w:instrText xml:space="preserve"> PAGEREF _Toc39502063 \h </w:instrText>
            </w:r>
            <w:r w:rsidR="0026268D">
              <w:rPr>
                <w:webHidden/>
              </w:rPr>
            </w:r>
            <w:r w:rsidR="0026268D">
              <w:rPr>
                <w:webHidden/>
              </w:rPr>
              <w:fldChar w:fldCharType="separate"/>
            </w:r>
            <w:r w:rsidR="0014527A">
              <w:rPr>
                <w:webHidden/>
              </w:rPr>
              <w:t>66</w:t>
            </w:r>
            <w:r w:rsidR="0026268D">
              <w:rPr>
                <w:webHidden/>
              </w:rPr>
              <w:fldChar w:fldCharType="end"/>
            </w:r>
          </w:hyperlink>
        </w:p>
        <w:p w14:paraId="752C2BE5" w14:textId="7F25CAA1" w:rsidR="0026268D" w:rsidRDefault="004660BB">
          <w:pPr>
            <w:pStyle w:val="TOC2"/>
            <w:tabs>
              <w:tab w:val="right" w:leader="dot" w:pos="9350"/>
            </w:tabs>
            <w:rPr>
              <w:rFonts w:asciiTheme="minorHAnsi" w:hAnsiTheme="minorHAnsi"/>
              <w:noProof/>
              <w:color w:val="auto"/>
              <w:sz w:val="22"/>
              <w:szCs w:val="22"/>
            </w:rPr>
          </w:pPr>
          <w:hyperlink w:anchor="_Toc39502064" w:history="1">
            <w:r w:rsidR="0026268D" w:rsidRPr="00A32F21">
              <w:rPr>
                <w:rStyle w:val="Hyperlink"/>
                <w:noProof/>
              </w:rPr>
              <w:t>4.1 ZEBRAFISH LINE, HUSBANDRY AND BREEDING</w:t>
            </w:r>
            <w:r w:rsidR="0026268D">
              <w:rPr>
                <w:noProof/>
                <w:webHidden/>
              </w:rPr>
              <w:tab/>
            </w:r>
            <w:r w:rsidR="0026268D">
              <w:rPr>
                <w:noProof/>
                <w:webHidden/>
              </w:rPr>
              <w:fldChar w:fldCharType="begin"/>
            </w:r>
            <w:r w:rsidR="0026268D">
              <w:rPr>
                <w:noProof/>
                <w:webHidden/>
              </w:rPr>
              <w:instrText xml:space="preserve"> PAGEREF _Toc39502064 \h </w:instrText>
            </w:r>
            <w:r w:rsidR="0026268D">
              <w:rPr>
                <w:noProof/>
                <w:webHidden/>
              </w:rPr>
            </w:r>
            <w:r w:rsidR="0026268D">
              <w:rPr>
                <w:noProof/>
                <w:webHidden/>
              </w:rPr>
              <w:fldChar w:fldCharType="separate"/>
            </w:r>
            <w:r w:rsidR="0014527A">
              <w:rPr>
                <w:noProof/>
                <w:webHidden/>
              </w:rPr>
              <w:t>67</w:t>
            </w:r>
            <w:r w:rsidR="0026268D">
              <w:rPr>
                <w:noProof/>
                <w:webHidden/>
              </w:rPr>
              <w:fldChar w:fldCharType="end"/>
            </w:r>
          </w:hyperlink>
        </w:p>
        <w:p w14:paraId="3A9CD74B" w14:textId="68998FD8" w:rsidR="0026268D" w:rsidRDefault="004660BB">
          <w:pPr>
            <w:pStyle w:val="TOC2"/>
            <w:tabs>
              <w:tab w:val="right" w:leader="dot" w:pos="9350"/>
            </w:tabs>
            <w:rPr>
              <w:rFonts w:asciiTheme="minorHAnsi" w:hAnsiTheme="minorHAnsi"/>
              <w:noProof/>
              <w:color w:val="auto"/>
              <w:sz w:val="22"/>
              <w:szCs w:val="22"/>
            </w:rPr>
          </w:pPr>
          <w:hyperlink w:anchor="_Toc39502065" w:history="1">
            <w:r w:rsidR="0026268D" w:rsidRPr="00A32F21">
              <w:rPr>
                <w:rStyle w:val="Hyperlink"/>
                <w:noProof/>
              </w:rPr>
              <w:t>4.2 CHEMICALS</w:t>
            </w:r>
            <w:r w:rsidR="0026268D">
              <w:rPr>
                <w:noProof/>
                <w:webHidden/>
              </w:rPr>
              <w:tab/>
            </w:r>
            <w:r w:rsidR="0026268D">
              <w:rPr>
                <w:noProof/>
                <w:webHidden/>
              </w:rPr>
              <w:fldChar w:fldCharType="begin"/>
            </w:r>
            <w:r w:rsidR="0026268D">
              <w:rPr>
                <w:noProof/>
                <w:webHidden/>
              </w:rPr>
              <w:instrText xml:space="preserve"> PAGEREF _Toc39502065 \h </w:instrText>
            </w:r>
            <w:r w:rsidR="0026268D">
              <w:rPr>
                <w:noProof/>
                <w:webHidden/>
              </w:rPr>
            </w:r>
            <w:r w:rsidR="0026268D">
              <w:rPr>
                <w:noProof/>
                <w:webHidden/>
              </w:rPr>
              <w:fldChar w:fldCharType="separate"/>
            </w:r>
            <w:r w:rsidR="0014527A">
              <w:rPr>
                <w:noProof/>
                <w:webHidden/>
              </w:rPr>
              <w:t>67</w:t>
            </w:r>
            <w:r w:rsidR="0026268D">
              <w:rPr>
                <w:noProof/>
                <w:webHidden/>
              </w:rPr>
              <w:fldChar w:fldCharType="end"/>
            </w:r>
          </w:hyperlink>
        </w:p>
        <w:p w14:paraId="2DFC2FB0" w14:textId="6597B237" w:rsidR="0026268D" w:rsidRDefault="004660BB">
          <w:pPr>
            <w:pStyle w:val="TOC2"/>
            <w:tabs>
              <w:tab w:val="right" w:leader="dot" w:pos="9350"/>
            </w:tabs>
            <w:rPr>
              <w:rFonts w:asciiTheme="minorHAnsi" w:hAnsiTheme="minorHAnsi"/>
              <w:noProof/>
              <w:color w:val="auto"/>
              <w:sz w:val="22"/>
              <w:szCs w:val="22"/>
            </w:rPr>
          </w:pPr>
          <w:hyperlink w:anchor="_Toc39502066" w:history="1">
            <w:r w:rsidR="0026268D" w:rsidRPr="00A32F21">
              <w:rPr>
                <w:rStyle w:val="Hyperlink"/>
                <w:noProof/>
              </w:rPr>
              <w:t>4.3 CHEMICAL EXPOSURES IN ZEBRAFISH</w:t>
            </w:r>
            <w:r w:rsidR="0026268D">
              <w:rPr>
                <w:noProof/>
                <w:webHidden/>
              </w:rPr>
              <w:tab/>
            </w:r>
            <w:r w:rsidR="0026268D">
              <w:rPr>
                <w:noProof/>
                <w:webHidden/>
              </w:rPr>
              <w:fldChar w:fldCharType="begin"/>
            </w:r>
            <w:r w:rsidR="0026268D">
              <w:rPr>
                <w:noProof/>
                <w:webHidden/>
              </w:rPr>
              <w:instrText xml:space="preserve"> PAGEREF _Toc39502066 \h </w:instrText>
            </w:r>
            <w:r w:rsidR="0026268D">
              <w:rPr>
                <w:noProof/>
                <w:webHidden/>
              </w:rPr>
            </w:r>
            <w:r w:rsidR="0026268D">
              <w:rPr>
                <w:noProof/>
                <w:webHidden/>
              </w:rPr>
              <w:fldChar w:fldCharType="separate"/>
            </w:r>
            <w:r w:rsidR="0014527A">
              <w:rPr>
                <w:noProof/>
                <w:webHidden/>
              </w:rPr>
              <w:t>68</w:t>
            </w:r>
            <w:r w:rsidR="0026268D">
              <w:rPr>
                <w:noProof/>
                <w:webHidden/>
              </w:rPr>
              <w:fldChar w:fldCharType="end"/>
            </w:r>
          </w:hyperlink>
        </w:p>
        <w:p w14:paraId="3EBE4BCE" w14:textId="28958F7B" w:rsidR="0026268D" w:rsidRDefault="004660BB">
          <w:pPr>
            <w:pStyle w:val="TOC2"/>
            <w:tabs>
              <w:tab w:val="right" w:leader="dot" w:pos="9350"/>
            </w:tabs>
            <w:rPr>
              <w:rFonts w:asciiTheme="minorHAnsi" w:hAnsiTheme="minorHAnsi"/>
              <w:noProof/>
              <w:color w:val="auto"/>
              <w:sz w:val="22"/>
              <w:szCs w:val="22"/>
            </w:rPr>
          </w:pPr>
          <w:hyperlink w:anchor="_Toc39502067" w:history="1">
            <w:r w:rsidR="0026268D" w:rsidRPr="00A32F21">
              <w:rPr>
                <w:rStyle w:val="Hyperlink"/>
                <w:noProof/>
              </w:rPr>
              <w:t>4.4 ZEBRAFISH FLUORESCENCE IMAGING</w:t>
            </w:r>
            <w:r w:rsidR="0026268D">
              <w:rPr>
                <w:noProof/>
                <w:webHidden/>
              </w:rPr>
              <w:tab/>
            </w:r>
            <w:r w:rsidR="0026268D">
              <w:rPr>
                <w:noProof/>
                <w:webHidden/>
              </w:rPr>
              <w:fldChar w:fldCharType="begin"/>
            </w:r>
            <w:r w:rsidR="0026268D">
              <w:rPr>
                <w:noProof/>
                <w:webHidden/>
              </w:rPr>
              <w:instrText xml:space="preserve"> PAGEREF _Toc39502067 \h </w:instrText>
            </w:r>
            <w:r w:rsidR="0026268D">
              <w:rPr>
                <w:noProof/>
                <w:webHidden/>
              </w:rPr>
            </w:r>
            <w:r w:rsidR="0026268D">
              <w:rPr>
                <w:noProof/>
                <w:webHidden/>
              </w:rPr>
              <w:fldChar w:fldCharType="separate"/>
            </w:r>
            <w:r w:rsidR="0014527A">
              <w:rPr>
                <w:noProof/>
                <w:webHidden/>
              </w:rPr>
              <w:t>69</w:t>
            </w:r>
            <w:r w:rsidR="0026268D">
              <w:rPr>
                <w:noProof/>
                <w:webHidden/>
              </w:rPr>
              <w:fldChar w:fldCharType="end"/>
            </w:r>
          </w:hyperlink>
        </w:p>
        <w:p w14:paraId="256EE1A6" w14:textId="12A17BB1" w:rsidR="0026268D" w:rsidRDefault="004660BB">
          <w:pPr>
            <w:pStyle w:val="TOC2"/>
            <w:tabs>
              <w:tab w:val="right" w:leader="dot" w:pos="9350"/>
            </w:tabs>
            <w:rPr>
              <w:rFonts w:asciiTheme="minorHAnsi" w:hAnsiTheme="minorHAnsi"/>
              <w:noProof/>
              <w:color w:val="auto"/>
              <w:sz w:val="22"/>
              <w:szCs w:val="22"/>
            </w:rPr>
          </w:pPr>
          <w:hyperlink w:anchor="_Toc39502068" w:history="1">
            <w:r w:rsidR="0026268D" w:rsidRPr="00A32F21">
              <w:rPr>
                <w:rStyle w:val="Hyperlink"/>
                <w:noProof/>
              </w:rPr>
              <w:t>4.5 ZEBRAFISH DATA ANALYSIS</w:t>
            </w:r>
            <w:r w:rsidR="0026268D">
              <w:rPr>
                <w:noProof/>
                <w:webHidden/>
              </w:rPr>
              <w:tab/>
            </w:r>
            <w:r w:rsidR="0026268D">
              <w:rPr>
                <w:noProof/>
                <w:webHidden/>
              </w:rPr>
              <w:fldChar w:fldCharType="begin"/>
            </w:r>
            <w:r w:rsidR="0026268D">
              <w:rPr>
                <w:noProof/>
                <w:webHidden/>
              </w:rPr>
              <w:instrText xml:space="preserve"> PAGEREF _Toc39502068 \h </w:instrText>
            </w:r>
            <w:r w:rsidR="0026268D">
              <w:rPr>
                <w:noProof/>
                <w:webHidden/>
              </w:rPr>
            </w:r>
            <w:r w:rsidR="0026268D">
              <w:rPr>
                <w:noProof/>
                <w:webHidden/>
              </w:rPr>
              <w:fldChar w:fldCharType="separate"/>
            </w:r>
            <w:r w:rsidR="0014527A">
              <w:rPr>
                <w:noProof/>
                <w:webHidden/>
              </w:rPr>
              <w:t>70</w:t>
            </w:r>
            <w:r w:rsidR="0026268D">
              <w:rPr>
                <w:noProof/>
                <w:webHidden/>
              </w:rPr>
              <w:fldChar w:fldCharType="end"/>
            </w:r>
          </w:hyperlink>
        </w:p>
        <w:p w14:paraId="29D35F8B" w14:textId="69EBBB48" w:rsidR="0026268D" w:rsidRDefault="004660BB">
          <w:pPr>
            <w:pStyle w:val="TOC2"/>
            <w:tabs>
              <w:tab w:val="right" w:leader="dot" w:pos="9350"/>
            </w:tabs>
            <w:rPr>
              <w:rFonts w:asciiTheme="minorHAnsi" w:hAnsiTheme="minorHAnsi"/>
              <w:noProof/>
              <w:color w:val="auto"/>
              <w:sz w:val="22"/>
              <w:szCs w:val="22"/>
            </w:rPr>
          </w:pPr>
          <w:hyperlink w:anchor="_Toc39502069" w:history="1">
            <w:r w:rsidR="0026268D" w:rsidRPr="00A32F21">
              <w:rPr>
                <w:rStyle w:val="Hyperlink"/>
                <w:noProof/>
              </w:rPr>
              <w:t>4.6 UNIVARIATE CORRELATION ANALYSIS AND TOXPI SIGNATURES</w:t>
            </w:r>
            <w:r w:rsidR="0026268D">
              <w:rPr>
                <w:noProof/>
                <w:webHidden/>
              </w:rPr>
              <w:tab/>
            </w:r>
            <w:r w:rsidR="0026268D">
              <w:rPr>
                <w:noProof/>
                <w:webHidden/>
              </w:rPr>
              <w:fldChar w:fldCharType="begin"/>
            </w:r>
            <w:r w:rsidR="0026268D">
              <w:rPr>
                <w:noProof/>
                <w:webHidden/>
              </w:rPr>
              <w:instrText xml:space="preserve"> PAGEREF _Toc39502069 \h </w:instrText>
            </w:r>
            <w:r w:rsidR="0026268D">
              <w:rPr>
                <w:noProof/>
                <w:webHidden/>
              </w:rPr>
            </w:r>
            <w:r w:rsidR="0026268D">
              <w:rPr>
                <w:noProof/>
                <w:webHidden/>
              </w:rPr>
              <w:fldChar w:fldCharType="separate"/>
            </w:r>
            <w:r w:rsidR="0014527A">
              <w:rPr>
                <w:noProof/>
                <w:webHidden/>
              </w:rPr>
              <w:t>71</w:t>
            </w:r>
            <w:r w:rsidR="0026268D">
              <w:rPr>
                <w:noProof/>
                <w:webHidden/>
              </w:rPr>
              <w:fldChar w:fldCharType="end"/>
            </w:r>
          </w:hyperlink>
        </w:p>
        <w:p w14:paraId="2D0520DA" w14:textId="2DE0A9A5" w:rsidR="0026268D" w:rsidRDefault="004660BB">
          <w:pPr>
            <w:pStyle w:val="TOC2"/>
            <w:tabs>
              <w:tab w:val="right" w:leader="dot" w:pos="9350"/>
            </w:tabs>
            <w:rPr>
              <w:rFonts w:asciiTheme="minorHAnsi" w:hAnsiTheme="minorHAnsi"/>
              <w:noProof/>
              <w:color w:val="auto"/>
              <w:sz w:val="22"/>
              <w:szCs w:val="22"/>
            </w:rPr>
          </w:pPr>
          <w:hyperlink w:anchor="_Toc39502070" w:history="1">
            <w:r w:rsidR="0026268D" w:rsidRPr="00A32F21">
              <w:rPr>
                <w:rStyle w:val="Hyperlink"/>
                <w:noProof/>
              </w:rPr>
              <w:t>4.7 WHOLE MOUNT SEROTONIN IMMUNOHISTOCHEMISTRY</w:t>
            </w:r>
            <w:r w:rsidR="0026268D">
              <w:rPr>
                <w:noProof/>
                <w:webHidden/>
              </w:rPr>
              <w:tab/>
            </w:r>
            <w:r w:rsidR="0026268D">
              <w:rPr>
                <w:noProof/>
                <w:webHidden/>
              </w:rPr>
              <w:fldChar w:fldCharType="begin"/>
            </w:r>
            <w:r w:rsidR="0026268D">
              <w:rPr>
                <w:noProof/>
                <w:webHidden/>
              </w:rPr>
              <w:instrText xml:space="preserve"> PAGEREF _Toc39502070 \h </w:instrText>
            </w:r>
            <w:r w:rsidR="0026268D">
              <w:rPr>
                <w:noProof/>
                <w:webHidden/>
              </w:rPr>
            </w:r>
            <w:r w:rsidR="0026268D">
              <w:rPr>
                <w:noProof/>
                <w:webHidden/>
              </w:rPr>
              <w:fldChar w:fldCharType="separate"/>
            </w:r>
            <w:r w:rsidR="0014527A">
              <w:rPr>
                <w:noProof/>
                <w:webHidden/>
              </w:rPr>
              <w:t>72</w:t>
            </w:r>
            <w:r w:rsidR="0026268D">
              <w:rPr>
                <w:noProof/>
                <w:webHidden/>
              </w:rPr>
              <w:fldChar w:fldCharType="end"/>
            </w:r>
          </w:hyperlink>
        </w:p>
        <w:p w14:paraId="38CA1E5E" w14:textId="0399502C" w:rsidR="0026268D" w:rsidRDefault="004660BB">
          <w:pPr>
            <w:pStyle w:val="TOC2"/>
            <w:tabs>
              <w:tab w:val="right" w:leader="dot" w:pos="9350"/>
            </w:tabs>
            <w:rPr>
              <w:rFonts w:asciiTheme="minorHAnsi" w:hAnsiTheme="minorHAnsi"/>
              <w:noProof/>
              <w:color w:val="auto"/>
              <w:sz w:val="22"/>
              <w:szCs w:val="22"/>
            </w:rPr>
          </w:pPr>
          <w:hyperlink w:anchor="_Toc39502071" w:history="1">
            <w:r w:rsidR="0026268D" w:rsidRPr="00A32F21">
              <w:rPr>
                <w:rStyle w:val="Hyperlink"/>
                <w:noProof/>
              </w:rPr>
              <w:t>4.8 HUVEC CULTURE AND TUBE FORMATION ASSAY</w:t>
            </w:r>
            <w:r w:rsidR="0026268D">
              <w:rPr>
                <w:noProof/>
                <w:webHidden/>
              </w:rPr>
              <w:tab/>
            </w:r>
            <w:r w:rsidR="0026268D">
              <w:rPr>
                <w:noProof/>
                <w:webHidden/>
              </w:rPr>
              <w:fldChar w:fldCharType="begin"/>
            </w:r>
            <w:r w:rsidR="0026268D">
              <w:rPr>
                <w:noProof/>
                <w:webHidden/>
              </w:rPr>
              <w:instrText xml:space="preserve"> PAGEREF _Toc39502071 \h </w:instrText>
            </w:r>
            <w:r w:rsidR="0026268D">
              <w:rPr>
                <w:noProof/>
                <w:webHidden/>
              </w:rPr>
            </w:r>
            <w:r w:rsidR="0026268D">
              <w:rPr>
                <w:noProof/>
                <w:webHidden/>
              </w:rPr>
              <w:fldChar w:fldCharType="separate"/>
            </w:r>
            <w:r w:rsidR="0014527A">
              <w:rPr>
                <w:noProof/>
                <w:webHidden/>
              </w:rPr>
              <w:t>73</w:t>
            </w:r>
            <w:r w:rsidR="0026268D">
              <w:rPr>
                <w:noProof/>
                <w:webHidden/>
              </w:rPr>
              <w:fldChar w:fldCharType="end"/>
            </w:r>
          </w:hyperlink>
        </w:p>
        <w:p w14:paraId="3CFBC774" w14:textId="7EB8D1CF" w:rsidR="0026268D" w:rsidRDefault="004660BB">
          <w:pPr>
            <w:pStyle w:val="TOC2"/>
            <w:tabs>
              <w:tab w:val="right" w:leader="dot" w:pos="9350"/>
            </w:tabs>
            <w:rPr>
              <w:rFonts w:asciiTheme="minorHAnsi" w:hAnsiTheme="minorHAnsi"/>
              <w:noProof/>
              <w:color w:val="auto"/>
              <w:sz w:val="22"/>
              <w:szCs w:val="22"/>
            </w:rPr>
          </w:pPr>
          <w:hyperlink w:anchor="_Toc39502072" w:history="1">
            <w:r w:rsidR="0026268D" w:rsidRPr="00A32F21">
              <w:rPr>
                <w:rStyle w:val="Hyperlink"/>
                <w:noProof/>
              </w:rPr>
              <w:t>4.9 HUVEC IMAGING AND DATA ANALYSIS</w:t>
            </w:r>
            <w:r w:rsidR="0026268D">
              <w:rPr>
                <w:noProof/>
                <w:webHidden/>
              </w:rPr>
              <w:tab/>
            </w:r>
            <w:r w:rsidR="0026268D">
              <w:rPr>
                <w:noProof/>
                <w:webHidden/>
              </w:rPr>
              <w:fldChar w:fldCharType="begin"/>
            </w:r>
            <w:r w:rsidR="0026268D">
              <w:rPr>
                <w:noProof/>
                <w:webHidden/>
              </w:rPr>
              <w:instrText xml:space="preserve"> PAGEREF _Toc39502072 \h </w:instrText>
            </w:r>
            <w:r w:rsidR="0026268D">
              <w:rPr>
                <w:noProof/>
                <w:webHidden/>
              </w:rPr>
            </w:r>
            <w:r w:rsidR="0026268D">
              <w:rPr>
                <w:noProof/>
                <w:webHidden/>
              </w:rPr>
              <w:fldChar w:fldCharType="separate"/>
            </w:r>
            <w:r w:rsidR="0014527A">
              <w:rPr>
                <w:noProof/>
                <w:webHidden/>
              </w:rPr>
              <w:t>74</w:t>
            </w:r>
            <w:r w:rsidR="0026268D">
              <w:rPr>
                <w:noProof/>
                <w:webHidden/>
              </w:rPr>
              <w:fldChar w:fldCharType="end"/>
            </w:r>
          </w:hyperlink>
        </w:p>
        <w:p w14:paraId="221F75AC" w14:textId="601F2F2C" w:rsidR="0026268D" w:rsidRDefault="004660BB">
          <w:pPr>
            <w:pStyle w:val="TOC1"/>
            <w:rPr>
              <w:rFonts w:asciiTheme="minorHAnsi" w:hAnsiTheme="minorHAnsi"/>
              <w:b w:val="0"/>
              <w:bCs w:val="0"/>
              <w:color w:val="auto"/>
              <w:sz w:val="22"/>
              <w:szCs w:val="22"/>
            </w:rPr>
          </w:pPr>
          <w:hyperlink w:anchor="_Toc39502073" w:history="1">
            <w:r w:rsidR="0026268D" w:rsidRPr="00A32F21">
              <w:rPr>
                <w:rStyle w:val="Hyperlink"/>
                <w:rFonts w:cs="Times New Roman"/>
              </w:rPr>
              <w:t xml:space="preserve">CHAPTER 5: </w:t>
            </w:r>
            <w:r w:rsidR="0026268D" w:rsidRPr="00A32F21">
              <w:rPr>
                <w:rStyle w:val="Hyperlink"/>
              </w:rPr>
              <w:t>FUTURE DIRECTIONS AND CONCLUSIONS</w:t>
            </w:r>
            <w:r w:rsidR="0026268D">
              <w:rPr>
                <w:webHidden/>
              </w:rPr>
              <w:tab/>
            </w:r>
            <w:r w:rsidR="0026268D">
              <w:rPr>
                <w:webHidden/>
              </w:rPr>
              <w:fldChar w:fldCharType="begin"/>
            </w:r>
            <w:r w:rsidR="0026268D">
              <w:rPr>
                <w:webHidden/>
              </w:rPr>
              <w:instrText xml:space="preserve"> PAGEREF _Toc39502073 \h </w:instrText>
            </w:r>
            <w:r w:rsidR="0026268D">
              <w:rPr>
                <w:webHidden/>
              </w:rPr>
            </w:r>
            <w:r w:rsidR="0026268D">
              <w:rPr>
                <w:webHidden/>
              </w:rPr>
              <w:fldChar w:fldCharType="separate"/>
            </w:r>
            <w:r w:rsidR="0014527A">
              <w:rPr>
                <w:webHidden/>
              </w:rPr>
              <w:t>75</w:t>
            </w:r>
            <w:r w:rsidR="0026268D">
              <w:rPr>
                <w:webHidden/>
              </w:rPr>
              <w:fldChar w:fldCharType="end"/>
            </w:r>
          </w:hyperlink>
        </w:p>
        <w:p w14:paraId="2BF21ABB" w14:textId="62F5070A" w:rsidR="0026268D" w:rsidRDefault="004660BB">
          <w:pPr>
            <w:pStyle w:val="TOC2"/>
            <w:tabs>
              <w:tab w:val="right" w:leader="dot" w:pos="9350"/>
            </w:tabs>
            <w:rPr>
              <w:rFonts w:asciiTheme="minorHAnsi" w:hAnsiTheme="minorHAnsi"/>
              <w:noProof/>
              <w:color w:val="auto"/>
              <w:sz w:val="22"/>
              <w:szCs w:val="22"/>
            </w:rPr>
          </w:pPr>
          <w:hyperlink w:anchor="_Toc39502074" w:history="1">
            <w:r w:rsidR="0026268D" w:rsidRPr="00A32F21">
              <w:rPr>
                <w:rStyle w:val="Hyperlink"/>
                <w:noProof/>
              </w:rPr>
              <w:t>5.1 CONCLUSIONS</w:t>
            </w:r>
            <w:r w:rsidR="0026268D">
              <w:rPr>
                <w:noProof/>
                <w:webHidden/>
              </w:rPr>
              <w:tab/>
            </w:r>
            <w:r w:rsidR="0026268D">
              <w:rPr>
                <w:noProof/>
                <w:webHidden/>
              </w:rPr>
              <w:fldChar w:fldCharType="begin"/>
            </w:r>
            <w:r w:rsidR="0026268D">
              <w:rPr>
                <w:noProof/>
                <w:webHidden/>
              </w:rPr>
              <w:instrText xml:space="preserve"> PAGEREF _Toc39502074 \h </w:instrText>
            </w:r>
            <w:r w:rsidR="0026268D">
              <w:rPr>
                <w:noProof/>
                <w:webHidden/>
              </w:rPr>
            </w:r>
            <w:r w:rsidR="0026268D">
              <w:rPr>
                <w:noProof/>
                <w:webHidden/>
              </w:rPr>
              <w:fldChar w:fldCharType="separate"/>
            </w:r>
            <w:r w:rsidR="0014527A">
              <w:rPr>
                <w:noProof/>
                <w:webHidden/>
              </w:rPr>
              <w:t>76</w:t>
            </w:r>
            <w:r w:rsidR="0026268D">
              <w:rPr>
                <w:noProof/>
                <w:webHidden/>
              </w:rPr>
              <w:fldChar w:fldCharType="end"/>
            </w:r>
          </w:hyperlink>
        </w:p>
        <w:p w14:paraId="01F84A35" w14:textId="63801776" w:rsidR="0026268D" w:rsidRDefault="004660BB">
          <w:pPr>
            <w:pStyle w:val="TOC2"/>
            <w:tabs>
              <w:tab w:val="right" w:leader="dot" w:pos="9350"/>
            </w:tabs>
            <w:rPr>
              <w:rFonts w:asciiTheme="minorHAnsi" w:hAnsiTheme="minorHAnsi"/>
              <w:noProof/>
              <w:color w:val="auto"/>
              <w:sz w:val="22"/>
              <w:szCs w:val="22"/>
            </w:rPr>
          </w:pPr>
          <w:hyperlink w:anchor="_Toc39502075" w:history="1">
            <w:r w:rsidR="0026268D" w:rsidRPr="00A32F21">
              <w:rPr>
                <w:rStyle w:val="Hyperlink"/>
                <w:noProof/>
              </w:rPr>
              <w:t>5.2 FUTURE DIRECTIONS</w:t>
            </w:r>
            <w:r w:rsidR="0026268D">
              <w:rPr>
                <w:noProof/>
                <w:webHidden/>
              </w:rPr>
              <w:tab/>
            </w:r>
            <w:r w:rsidR="0026268D">
              <w:rPr>
                <w:noProof/>
                <w:webHidden/>
              </w:rPr>
              <w:fldChar w:fldCharType="begin"/>
            </w:r>
            <w:r w:rsidR="0026268D">
              <w:rPr>
                <w:noProof/>
                <w:webHidden/>
              </w:rPr>
              <w:instrText xml:space="preserve"> PAGEREF _Toc39502075 \h </w:instrText>
            </w:r>
            <w:r w:rsidR="0026268D">
              <w:rPr>
                <w:noProof/>
                <w:webHidden/>
              </w:rPr>
            </w:r>
            <w:r w:rsidR="0026268D">
              <w:rPr>
                <w:noProof/>
                <w:webHidden/>
              </w:rPr>
              <w:fldChar w:fldCharType="separate"/>
            </w:r>
            <w:r w:rsidR="0014527A">
              <w:rPr>
                <w:noProof/>
                <w:webHidden/>
              </w:rPr>
              <w:t>79</w:t>
            </w:r>
            <w:r w:rsidR="0026268D">
              <w:rPr>
                <w:noProof/>
                <w:webHidden/>
              </w:rPr>
              <w:fldChar w:fldCharType="end"/>
            </w:r>
          </w:hyperlink>
        </w:p>
        <w:p w14:paraId="2D4397AA" w14:textId="5A38432E" w:rsidR="0026268D" w:rsidRDefault="004660BB">
          <w:pPr>
            <w:pStyle w:val="TOC3"/>
            <w:tabs>
              <w:tab w:val="right" w:leader="dot" w:pos="9350"/>
            </w:tabs>
            <w:rPr>
              <w:rFonts w:asciiTheme="minorHAnsi" w:hAnsiTheme="minorHAnsi"/>
              <w:noProof/>
              <w:color w:val="auto"/>
              <w:sz w:val="22"/>
              <w:szCs w:val="22"/>
            </w:rPr>
          </w:pPr>
          <w:hyperlink w:anchor="_Toc39502076" w:history="1">
            <w:r w:rsidR="0026268D" w:rsidRPr="00A32F21">
              <w:rPr>
                <w:rStyle w:val="Hyperlink"/>
                <w:noProof/>
              </w:rPr>
              <w:t>5.2.1 Posterior Lateral Line Disruptors</w:t>
            </w:r>
            <w:r w:rsidR="0026268D">
              <w:rPr>
                <w:noProof/>
                <w:webHidden/>
              </w:rPr>
              <w:tab/>
            </w:r>
            <w:r w:rsidR="0026268D">
              <w:rPr>
                <w:noProof/>
                <w:webHidden/>
              </w:rPr>
              <w:fldChar w:fldCharType="begin"/>
            </w:r>
            <w:r w:rsidR="0026268D">
              <w:rPr>
                <w:noProof/>
                <w:webHidden/>
              </w:rPr>
              <w:instrText xml:space="preserve"> PAGEREF _Toc39502076 \h </w:instrText>
            </w:r>
            <w:r w:rsidR="0026268D">
              <w:rPr>
                <w:noProof/>
                <w:webHidden/>
              </w:rPr>
            </w:r>
            <w:r w:rsidR="0026268D">
              <w:rPr>
                <w:noProof/>
                <w:webHidden/>
              </w:rPr>
              <w:fldChar w:fldCharType="separate"/>
            </w:r>
            <w:r w:rsidR="0014527A">
              <w:rPr>
                <w:noProof/>
                <w:webHidden/>
              </w:rPr>
              <w:t>79</w:t>
            </w:r>
            <w:r w:rsidR="0026268D">
              <w:rPr>
                <w:noProof/>
                <w:webHidden/>
              </w:rPr>
              <w:fldChar w:fldCharType="end"/>
            </w:r>
          </w:hyperlink>
        </w:p>
        <w:p w14:paraId="151E2862" w14:textId="3C705088" w:rsidR="0026268D" w:rsidRDefault="004660BB">
          <w:pPr>
            <w:pStyle w:val="TOC3"/>
            <w:tabs>
              <w:tab w:val="right" w:leader="dot" w:pos="9350"/>
            </w:tabs>
            <w:rPr>
              <w:rFonts w:asciiTheme="minorHAnsi" w:hAnsiTheme="minorHAnsi"/>
              <w:noProof/>
              <w:color w:val="auto"/>
              <w:sz w:val="22"/>
              <w:szCs w:val="22"/>
            </w:rPr>
          </w:pPr>
          <w:hyperlink w:anchor="_Toc39502077" w:history="1">
            <w:r w:rsidR="0026268D" w:rsidRPr="00A32F21">
              <w:rPr>
                <w:rStyle w:val="Hyperlink"/>
                <w:noProof/>
              </w:rPr>
              <w:t>5.2.2 Vascular Disruptor Compounds</w:t>
            </w:r>
            <w:r w:rsidR="0026268D">
              <w:rPr>
                <w:noProof/>
                <w:webHidden/>
              </w:rPr>
              <w:tab/>
            </w:r>
            <w:r w:rsidR="0026268D">
              <w:rPr>
                <w:noProof/>
                <w:webHidden/>
              </w:rPr>
              <w:fldChar w:fldCharType="begin"/>
            </w:r>
            <w:r w:rsidR="0026268D">
              <w:rPr>
                <w:noProof/>
                <w:webHidden/>
              </w:rPr>
              <w:instrText xml:space="preserve"> PAGEREF _Toc39502077 \h </w:instrText>
            </w:r>
            <w:r w:rsidR="0026268D">
              <w:rPr>
                <w:noProof/>
                <w:webHidden/>
              </w:rPr>
            </w:r>
            <w:r w:rsidR="0026268D">
              <w:rPr>
                <w:noProof/>
                <w:webHidden/>
              </w:rPr>
              <w:fldChar w:fldCharType="separate"/>
            </w:r>
            <w:r w:rsidR="0014527A">
              <w:rPr>
                <w:noProof/>
                <w:webHidden/>
              </w:rPr>
              <w:t>81</w:t>
            </w:r>
            <w:r w:rsidR="0026268D">
              <w:rPr>
                <w:noProof/>
                <w:webHidden/>
              </w:rPr>
              <w:fldChar w:fldCharType="end"/>
            </w:r>
          </w:hyperlink>
        </w:p>
        <w:p w14:paraId="40FFF6FE" w14:textId="7548F49F" w:rsidR="0026268D" w:rsidRDefault="004660BB">
          <w:pPr>
            <w:pStyle w:val="TOC3"/>
            <w:tabs>
              <w:tab w:val="right" w:leader="dot" w:pos="9350"/>
            </w:tabs>
            <w:rPr>
              <w:rFonts w:asciiTheme="minorHAnsi" w:hAnsiTheme="minorHAnsi"/>
              <w:noProof/>
              <w:color w:val="auto"/>
              <w:sz w:val="22"/>
              <w:szCs w:val="22"/>
            </w:rPr>
          </w:pPr>
          <w:hyperlink w:anchor="_Toc39502078" w:history="1">
            <w:r w:rsidR="0026268D" w:rsidRPr="00A32F21">
              <w:rPr>
                <w:rStyle w:val="Hyperlink"/>
                <w:noProof/>
              </w:rPr>
              <w:t>5.2.3 The Future</w:t>
            </w:r>
            <w:r w:rsidR="0026268D">
              <w:rPr>
                <w:noProof/>
                <w:webHidden/>
              </w:rPr>
              <w:tab/>
            </w:r>
            <w:r w:rsidR="0026268D">
              <w:rPr>
                <w:noProof/>
                <w:webHidden/>
              </w:rPr>
              <w:fldChar w:fldCharType="begin"/>
            </w:r>
            <w:r w:rsidR="0026268D">
              <w:rPr>
                <w:noProof/>
                <w:webHidden/>
              </w:rPr>
              <w:instrText xml:space="preserve"> PAGEREF _Toc39502078 \h </w:instrText>
            </w:r>
            <w:r w:rsidR="0026268D">
              <w:rPr>
                <w:noProof/>
                <w:webHidden/>
              </w:rPr>
            </w:r>
            <w:r w:rsidR="0026268D">
              <w:rPr>
                <w:noProof/>
                <w:webHidden/>
              </w:rPr>
              <w:fldChar w:fldCharType="separate"/>
            </w:r>
            <w:r w:rsidR="0014527A">
              <w:rPr>
                <w:noProof/>
                <w:webHidden/>
              </w:rPr>
              <w:t>82</w:t>
            </w:r>
            <w:r w:rsidR="0026268D">
              <w:rPr>
                <w:noProof/>
                <w:webHidden/>
              </w:rPr>
              <w:fldChar w:fldCharType="end"/>
            </w:r>
          </w:hyperlink>
        </w:p>
        <w:p w14:paraId="36B33B60" w14:textId="6EBA402E" w:rsidR="0026268D" w:rsidRDefault="004660BB">
          <w:pPr>
            <w:pStyle w:val="TOC1"/>
            <w:rPr>
              <w:rFonts w:asciiTheme="minorHAnsi" w:hAnsiTheme="minorHAnsi"/>
              <w:b w:val="0"/>
              <w:bCs w:val="0"/>
              <w:color w:val="auto"/>
              <w:sz w:val="22"/>
              <w:szCs w:val="22"/>
            </w:rPr>
          </w:pPr>
          <w:hyperlink w:anchor="_Toc39502079" w:history="1">
            <w:r w:rsidR="0026268D" w:rsidRPr="00A32F21">
              <w:rPr>
                <w:rStyle w:val="Hyperlink"/>
              </w:rPr>
              <w:t>APPENDIX</w:t>
            </w:r>
            <w:r w:rsidR="0026268D">
              <w:rPr>
                <w:webHidden/>
              </w:rPr>
              <w:tab/>
            </w:r>
            <w:r w:rsidR="0026268D">
              <w:rPr>
                <w:webHidden/>
              </w:rPr>
              <w:fldChar w:fldCharType="begin"/>
            </w:r>
            <w:r w:rsidR="0026268D">
              <w:rPr>
                <w:webHidden/>
              </w:rPr>
              <w:instrText xml:space="preserve"> PAGEREF _Toc39502079 \h </w:instrText>
            </w:r>
            <w:r w:rsidR="0026268D">
              <w:rPr>
                <w:webHidden/>
              </w:rPr>
            </w:r>
            <w:r w:rsidR="0026268D">
              <w:rPr>
                <w:webHidden/>
              </w:rPr>
              <w:fldChar w:fldCharType="separate"/>
            </w:r>
            <w:r w:rsidR="0014527A">
              <w:rPr>
                <w:webHidden/>
              </w:rPr>
              <w:t>83</w:t>
            </w:r>
            <w:r w:rsidR="0026268D">
              <w:rPr>
                <w:webHidden/>
              </w:rPr>
              <w:fldChar w:fldCharType="end"/>
            </w:r>
          </w:hyperlink>
        </w:p>
        <w:p w14:paraId="14F9A832" w14:textId="14A46EDE" w:rsidR="0026268D" w:rsidRDefault="004660BB">
          <w:pPr>
            <w:pStyle w:val="TOC1"/>
            <w:rPr>
              <w:rFonts w:asciiTheme="minorHAnsi" w:hAnsiTheme="minorHAnsi"/>
              <w:b w:val="0"/>
              <w:bCs w:val="0"/>
              <w:color w:val="auto"/>
              <w:sz w:val="22"/>
              <w:szCs w:val="22"/>
            </w:rPr>
          </w:pPr>
          <w:hyperlink w:anchor="_Toc39502080" w:history="1">
            <w:r w:rsidR="0026268D" w:rsidRPr="00A32F21">
              <w:rPr>
                <w:rStyle w:val="Hyperlink"/>
              </w:rPr>
              <w:t>BIBLIOGRAPHY</w:t>
            </w:r>
            <w:r w:rsidR="0026268D">
              <w:rPr>
                <w:webHidden/>
              </w:rPr>
              <w:tab/>
            </w:r>
            <w:r w:rsidR="0026268D">
              <w:rPr>
                <w:webHidden/>
              </w:rPr>
              <w:fldChar w:fldCharType="begin"/>
            </w:r>
            <w:r w:rsidR="0026268D">
              <w:rPr>
                <w:webHidden/>
              </w:rPr>
              <w:instrText xml:space="preserve"> PAGEREF _Toc39502080 \h </w:instrText>
            </w:r>
            <w:r w:rsidR="0026268D">
              <w:rPr>
                <w:webHidden/>
              </w:rPr>
            </w:r>
            <w:r w:rsidR="0026268D">
              <w:rPr>
                <w:webHidden/>
              </w:rPr>
              <w:fldChar w:fldCharType="separate"/>
            </w:r>
            <w:r w:rsidR="0014527A">
              <w:rPr>
                <w:webHidden/>
              </w:rPr>
              <w:t>103</w:t>
            </w:r>
            <w:r w:rsidR="0026268D">
              <w:rPr>
                <w:webHidden/>
              </w:rPr>
              <w:fldChar w:fldCharType="end"/>
            </w:r>
          </w:hyperlink>
        </w:p>
        <w:p w14:paraId="377C5430" w14:textId="4CEEB4C0" w:rsidR="001B2C60" w:rsidRDefault="001B2C60">
          <w:r>
            <w:rPr>
              <w:b/>
              <w:bCs/>
              <w:noProof/>
            </w:rPr>
            <w:fldChar w:fldCharType="end"/>
          </w:r>
        </w:p>
      </w:sdtContent>
    </w:sdt>
    <w:p w14:paraId="28CBFFAA" w14:textId="69EF9C96" w:rsidR="00DA09DC" w:rsidRPr="00003E36" w:rsidRDefault="00003E36" w:rsidP="00003E36">
      <w:pPr>
        <w:pStyle w:val="Heading1"/>
      </w:pPr>
      <w:bookmarkStart w:id="3" w:name="_Toc39502022"/>
      <w:r w:rsidRPr="00003E36">
        <w:lastRenderedPageBreak/>
        <w:t>LIST OF TABLES</w:t>
      </w:r>
      <w:bookmarkEnd w:id="3"/>
    </w:p>
    <w:p w14:paraId="2BE827AF" w14:textId="6677D3D6" w:rsidR="00491CE2" w:rsidRDefault="00491CE2" w:rsidP="003B47A8">
      <w:pPr>
        <w:jc w:val="both"/>
      </w:pPr>
      <w:r w:rsidRPr="00E240BB">
        <w:t xml:space="preserve">2.1 </w:t>
      </w:r>
      <w:r w:rsidR="00003E36">
        <w:tab/>
      </w:r>
      <w:r w:rsidRPr="00E240BB">
        <w:t>Confirmed zebrafish PLLD’s identified through ToxCast PhI library screen</w:t>
      </w:r>
      <w:r w:rsidR="00003E36">
        <w:t>…………</w:t>
      </w:r>
      <w:r w:rsidR="003B47A8">
        <w:t>…</w:t>
      </w:r>
      <w:r w:rsidR="00003E36">
        <w:t>.</w:t>
      </w:r>
      <w:r>
        <w:t>18</w:t>
      </w:r>
    </w:p>
    <w:p w14:paraId="04473B6C" w14:textId="4C376462" w:rsidR="00491CE2" w:rsidRDefault="00491CE2" w:rsidP="003B47A8">
      <w:pPr>
        <w:jc w:val="both"/>
      </w:pPr>
      <w:r w:rsidRPr="00E240BB">
        <w:t xml:space="preserve">2.2 </w:t>
      </w:r>
      <w:r w:rsidR="00003E36">
        <w:tab/>
      </w:r>
      <w:r w:rsidRPr="00E240BB">
        <w:t>Prediction of new PLLD compounds</w:t>
      </w:r>
      <w:r>
        <w:t>…</w:t>
      </w:r>
      <w:r w:rsidR="00003E36">
        <w:t>…………………………………………………</w:t>
      </w:r>
      <w:r w:rsidR="003B47A8">
        <w:t>.</w:t>
      </w:r>
      <w:r w:rsidR="00003E36">
        <w:t>.</w:t>
      </w:r>
      <w:r>
        <w:t>30</w:t>
      </w:r>
    </w:p>
    <w:p w14:paraId="3BBF3F5A" w14:textId="6BF12F02" w:rsidR="00491CE2" w:rsidRDefault="00491CE2" w:rsidP="003B47A8">
      <w:pPr>
        <w:jc w:val="both"/>
      </w:pPr>
      <w:r w:rsidRPr="00E240BB">
        <w:t xml:space="preserve">3.1 </w:t>
      </w:r>
      <w:r w:rsidR="00003E36">
        <w:tab/>
      </w:r>
      <w:r w:rsidRPr="00E240BB">
        <w:t>The 10 ISV-VDCs identified in the initial screen</w:t>
      </w:r>
      <w:r>
        <w:t>…</w:t>
      </w:r>
      <w:r w:rsidR="00003E36">
        <w:t>…………………………………….</w:t>
      </w:r>
      <w:r w:rsidR="003B47A8">
        <w:t>.</w:t>
      </w:r>
      <w:r w:rsidR="00003E36">
        <w:t>.</w:t>
      </w:r>
      <w:r>
        <w:t>48</w:t>
      </w:r>
    </w:p>
    <w:p w14:paraId="32EE447A" w14:textId="6367027B" w:rsidR="00491CE2" w:rsidRDefault="00491CE2" w:rsidP="003B47A8">
      <w:pPr>
        <w:jc w:val="both"/>
      </w:pPr>
      <w:r w:rsidRPr="00E240BB">
        <w:t xml:space="preserve">3.2 </w:t>
      </w:r>
      <w:r w:rsidR="00003E36">
        <w:tab/>
      </w:r>
      <w:r w:rsidRPr="00E240BB">
        <w:t>Prediction of new VDC compounds</w:t>
      </w:r>
      <w:r>
        <w:t>…</w:t>
      </w:r>
      <w:r w:rsidR="00003E36">
        <w:t>………………………………………………….</w:t>
      </w:r>
      <w:r w:rsidR="003B47A8">
        <w:t>.</w:t>
      </w:r>
      <w:r w:rsidR="00003E36">
        <w:t>.</w:t>
      </w:r>
      <w:r>
        <w:t>61</w:t>
      </w:r>
    </w:p>
    <w:p w14:paraId="0FBA2F38" w14:textId="77777777" w:rsidR="0099784D" w:rsidRDefault="0099784D" w:rsidP="00A5237A">
      <w:pPr>
        <w:jc w:val="both"/>
      </w:pPr>
    </w:p>
    <w:p w14:paraId="55D56D49" w14:textId="77777777" w:rsidR="00491CE2" w:rsidRDefault="00491CE2">
      <w:pPr>
        <w:spacing w:before="0" w:after="160" w:line="259" w:lineRule="auto"/>
      </w:pPr>
      <w:r>
        <w:br w:type="page"/>
      </w:r>
    </w:p>
    <w:p w14:paraId="04603C3E" w14:textId="53D7A9D8" w:rsidR="0099784D" w:rsidRPr="00003E36" w:rsidRDefault="00003E36" w:rsidP="00003E36">
      <w:pPr>
        <w:pStyle w:val="Heading1"/>
      </w:pPr>
      <w:bookmarkStart w:id="4" w:name="_Toc39502023"/>
      <w:r w:rsidRPr="00003E36">
        <w:lastRenderedPageBreak/>
        <w:t>LIST OF FIGURES</w:t>
      </w:r>
      <w:bookmarkEnd w:id="4"/>
    </w:p>
    <w:p w14:paraId="55A161BC" w14:textId="08B326A5" w:rsidR="00491CE2" w:rsidRDefault="00491CE2" w:rsidP="003B47A8">
      <w:pPr>
        <w:jc w:val="both"/>
      </w:pPr>
      <w:r w:rsidRPr="0099784D">
        <w:t xml:space="preserve">2.1 </w:t>
      </w:r>
      <w:r w:rsidR="00003E36">
        <w:tab/>
      </w:r>
      <w:r w:rsidRPr="0099784D">
        <w:t xml:space="preserve">Lateral line system of zebrafish at </w:t>
      </w:r>
      <w:r w:rsidR="006D4C50">
        <w:t>four</w:t>
      </w:r>
      <w:r w:rsidRPr="0099784D">
        <w:t xml:space="preserve"> dpf</w:t>
      </w:r>
      <w:r>
        <w:t>…</w:t>
      </w:r>
      <w:r w:rsidR="00003E36">
        <w:t>………………………………</w:t>
      </w:r>
      <w:r w:rsidR="006D4C50">
        <w:t>...</w:t>
      </w:r>
      <w:r w:rsidR="00003E36">
        <w:t>………</w:t>
      </w:r>
      <w:r w:rsidR="003B47A8">
        <w:t>..</w:t>
      </w:r>
      <w:r w:rsidR="00003E36">
        <w:t>…</w:t>
      </w:r>
      <w:r>
        <w:t>14</w:t>
      </w:r>
    </w:p>
    <w:p w14:paraId="2B2F44B6" w14:textId="785367C0" w:rsidR="00491CE2" w:rsidRDefault="00491CE2" w:rsidP="003B47A8">
      <w:pPr>
        <w:jc w:val="both"/>
        <w:rPr>
          <w:rFonts w:cs="Times New Roman"/>
          <w:color w:val="000000"/>
          <w:szCs w:val="24"/>
        </w:rPr>
      </w:pPr>
      <w:r>
        <w:rPr>
          <w:rFonts w:cs="Times New Roman"/>
          <w:color w:val="000000"/>
          <w:szCs w:val="24"/>
        </w:rPr>
        <w:t>2.2</w:t>
      </w:r>
      <w:r w:rsidRPr="008F4726">
        <w:rPr>
          <w:rFonts w:cs="Times New Roman"/>
          <w:color w:val="000000"/>
          <w:szCs w:val="24"/>
        </w:rPr>
        <w:t xml:space="preserve"> </w:t>
      </w:r>
      <w:r w:rsidR="00003E36">
        <w:rPr>
          <w:rFonts w:cs="Times New Roman"/>
          <w:color w:val="000000"/>
          <w:szCs w:val="24"/>
        </w:rPr>
        <w:tab/>
      </w:r>
      <w:r w:rsidRPr="00DD79FA">
        <w:rPr>
          <w:rFonts w:cs="Times New Roman"/>
          <w:i/>
          <w:iCs/>
          <w:color w:val="000000"/>
          <w:szCs w:val="24"/>
        </w:rPr>
        <w:t>Tg</w:t>
      </w:r>
      <w:r w:rsidR="0093738C">
        <w:rPr>
          <w:rFonts w:cs="Times New Roman"/>
          <w:color w:val="000000"/>
          <w:szCs w:val="24"/>
        </w:rPr>
        <w:t xml:space="preserve"> </w:t>
      </w:r>
      <w:r w:rsidRPr="00DD79FA">
        <w:rPr>
          <w:rFonts w:cs="Times New Roman"/>
          <w:i/>
          <w:iCs/>
          <w:color w:val="000000"/>
          <w:szCs w:val="24"/>
        </w:rPr>
        <w:t>(cldnb:GFP)</w:t>
      </w:r>
      <w:r w:rsidRPr="008F4726">
        <w:rPr>
          <w:rFonts w:cs="Times New Roman"/>
          <w:color w:val="000000"/>
          <w:szCs w:val="24"/>
        </w:rPr>
        <w:t xml:space="preserve"> vs </w:t>
      </w:r>
      <w:r w:rsidRPr="00DD79FA">
        <w:rPr>
          <w:rFonts w:cs="Times New Roman"/>
          <w:i/>
          <w:iCs/>
          <w:color w:val="000000"/>
          <w:szCs w:val="24"/>
        </w:rPr>
        <w:t>Tg</w:t>
      </w:r>
      <w:r w:rsidR="0093738C">
        <w:rPr>
          <w:rFonts w:cs="Times New Roman"/>
          <w:color w:val="000000"/>
          <w:szCs w:val="24"/>
        </w:rPr>
        <w:t> </w:t>
      </w:r>
      <w:r w:rsidRPr="00DD79FA">
        <w:rPr>
          <w:rFonts w:cs="Times New Roman"/>
          <w:i/>
          <w:iCs/>
          <w:color w:val="000000"/>
          <w:szCs w:val="24"/>
        </w:rPr>
        <w:t>(neuromast:GFP)</w:t>
      </w:r>
      <w:r>
        <w:rPr>
          <w:rFonts w:cs="Times New Roman"/>
          <w:color w:val="000000"/>
          <w:szCs w:val="24"/>
        </w:rPr>
        <w:t>…</w:t>
      </w:r>
      <w:r w:rsidR="009A0B96">
        <w:rPr>
          <w:rFonts w:cs="Times New Roman"/>
          <w:color w:val="000000"/>
          <w:szCs w:val="24"/>
        </w:rPr>
        <w:t>...</w:t>
      </w:r>
      <w:r w:rsidR="00003E36">
        <w:rPr>
          <w:rFonts w:cs="Times New Roman"/>
          <w:color w:val="000000"/>
          <w:szCs w:val="24"/>
        </w:rPr>
        <w:t>…………</w:t>
      </w:r>
      <w:r w:rsidR="0093738C">
        <w:rPr>
          <w:rFonts w:cs="Times New Roman"/>
          <w:color w:val="000000"/>
          <w:szCs w:val="24"/>
        </w:rPr>
        <w:t>…..</w:t>
      </w:r>
      <w:r w:rsidR="00003E36">
        <w:rPr>
          <w:rFonts w:cs="Times New Roman"/>
          <w:color w:val="000000"/>
          <w:szCs w:val="24"/>
        </w:rPr>
        <w:t>……………………………</w:t>
      </w:r>
      <w:r w:rsidR="003B47A8">
        <w:rPr>
          <w:rFonts w:cs="Times New Roman"/>
          <w:color w:val="000000"/>
          <w:szCs w:val="24"/>
        </w:rPr>
        <w:t>.</w:t>
      </w:r>
      <w:r w:rsidR="00003E36">
        <w:rPr>
          <w:rFonts w:cs="Times New Roman"/>
          <w:color w:val="000000"/>
          <w:szCs w:val="24"/>
        </w:rPr>
        <w:t>.</w:t>
      </w:r>
      <w:r>
        <w:rPr>
          <w:rFonts w:cs="Times New Roman"/>
          <w:color w:val="000000"/>
          <w:szCs w:val="24"/>
        </w:rPr>
        <w:t>15</w:t>
      </w:r>
    </w:p>
    <w:p w14:paraId="4F6BC4AC" w14:textId="1F0D26AA" w:rsidR="00491CE2" w:rsidRDefault="00491CE2" w:rsidP="003B47A8">
      <w:pPr>
        <w:jc w:val="both"/>
        <w:rPr>
          <w:rFonts w:cs="Times New Roman"/>
          <w:color w:val="000000"/>
          <w:szCs w:val="24"/>
        </w:rPr>
      </w:pPr>
      <w:r w:rsidRPr="008F4726">
        <w:rPr>
          <w:rFonts w:cs="Times New Roman"/>
          <w:color w:val="000000"/>
          <w:szCs w:val="24"/>
        </w:rPr>
        <w:t>2.</w:t>
      </w:r>
      <w:r>
        <w:rPr>
          <w:rFonts w:cs="Times New Roman"/>
          <w:color w:val="000000"/>
          <w:szCs w:val="24"/>
        </w:rPr>
        <w:t>3</w:t>
      </w:r>
      <w:r w:rsidRPr="008F4726">
        <w:rPr>
          <w:rFonts w:cs="Times New Roman"/>
          <w:color w:val="000000"/>
          <w:szCs w:val="24"/>
        </w:rPr>
        <w:t xml:space="preserve"> </w:t>
      </w:r>
      <w:r w:rsidR="00003E36">
        <w:rPr>
          <w:rFonts w:cs="Times New Roman"/>
          <w:color w:val="000000"/>
          <w:szCs w:val="24"/>
        </w:rPr>
        <w:tab/>
      </w:r>
      <w:r w:rsidRPr="008F4726">
        <w:rPr>
          <w:rFonts w:cs="Times New Roman"/>
          <w:color w:val="000000"/>
          <w:szCs w:val="24"/>
        </w:rPr>
        <w:t>Example images of effects caused by the 22 confirmed PLLDs</w:t>
      </w:r>
      <w:r w:rsidR="00003E36">
        <w:rPr>
          <w:rFonts w:cs="Times New Roman"/>
          <w:color w:val="000000"/>
          <w:szCs w:val="24"/>
        </w:rPr>
        <w:t>……………………….</w:t>
      </w:r>
      <w:r w:rsidR="003B47A8">
        <w:rPr>
          <w:rFonts w:cs="Times New Roman"/>
          <w:color w:val="000000"/>
          <w:szCs w:val="24"/>
        </w:rPr>
        <w:t>..</w:t>
      </w:r>
      <w:r w:rsidR="00003E36">
        <w:rPr>
          <w:rFonts w:cs="Times New Roman"/>
          <w:color w:val="000000"/>
          <w:szCs w:val="24"/>
        </w:rPr>
        <w:t>..</w:t>
      </w:r>
      <w:r>
        <w:rPr>
          <w:rFonts w:cs="Times New Roman"/>
          <w:color w:val="000000"/>
          <w:szCs w:val="24"/>
        </w:rPr>
        <w:t>17</w:t>
      </w:r>
    </w:p>
    <w:p w14:paraId="7464CA0E" w14:textId="4152C9DB" w:rsidR="00491CE2" w:rsidRDefault="00491CE2" w:rsidP="003B47A8">
      <w:pPr>
        <w:jc w:val="both"/>
        <w:rPr>
          <w:rFonts w:cs="Times New Roman"/>
          <w:szCs w:val="24"/>
        </w:rPr>
      </w:pPr>
      <w:r>
        <w:rPr>
          <w:rFonts w:cs="Times New Roman"/>
          <w:szCs w:val="24"/>
        </w:rPr>
        <w:t>2.4</w:t>
      </w:r>
      <w:r w:rsidRPr="00732FF6">
        <w:rPr>
          <w:rFonts w:cs="Times New Roman"/>
          <w:szCs w:val="24"/>
        </w:rPr>
        <w:t xml:space="preserve"> </w:t>
      </w:r>
      <w:r w:rsidR="00003E36">
        <w:rPr>
          <w:rFonts w:cs="Times New Roman"/>
          <w:szCs w:val="24"/>
        </w:rPr>
        <w:tab/>
      </w:r>
      <w:r w:rsidRPr="00732FF6">
        <w:rPr>
          <w:rFonts w:cs="Times New Roman"/>
          <w:szCs w:val="24"/>
        </w:rPr>
        <w:t xml:space="preserve">Workflow of </w:t>
      </w:r>
      <w:r>
        <w:rPr>
          <w:rFonts w:cs="Times New Roman"/>
          <w:szCs w:val="24"/>
        </w:rPr>
        <w:t xml:space="preserve">the </w:t>
      </w:r>
      <w:r w:rsidRPr="00732FF6">
        <w:rPr>
          <w:rFonts w:cs="Times New Roman"/>
          <w:szCs w:val="24"/>
        </w:rPr>
        <w:t>ToxCast analysis</w:t>
      </w:r>
      <w:r>
        <w:rPr>
          <w:rFonts w:cs="Times New Roman"/>
          <w:szCs w:val="24"/>
        </w:rPr>
        <w:t>…</w:t>
      </w:r>
      <w:r w:rsidR="00003E36">
        <w:rPr>
          <w:rFonts w:cs="Times New Roman"/>
          <w:szCs w:val="24"/>
        </w:rPr>
        <w:t>………………………………………………</w:t>
      </w:r>
      <w:r w:rsidR="003B47A8">
        <w:rPr>
          <w:rFonts w:cs="Times New Roman"/>
          <w:szCs w:val="24"/>
        </w:rPr>
        <w:t>.</w:t>
      </w:r>
      <w:r w:rsidR="00003E36">
        <w:rPr>
          <w:rFonts w:cs="Times New Roman"/>
          <w:szCs w:val="24"/>
        </w:rPr>
        <w:t>……</w:t>
      </w:r>
      <w:r>
        <w:rPr>
          <w:rFonts w:cs="Times New Roman"/>
          <w:szCs w:val="24"/>
        </w:rPr>
        <w:t>22</w:t>
      </w:r>
    </w:p>
    <w:p w14:paraId="59A8778A" w14:textId="4483F467" w:rsidR="00491CE2" w:rsidRPr="00E240BB" w:rsidRDefault="00491CE2" w:rsidP="003B47A8">
      <w:pPr>
        <w:ind w:left="720" w:hanging="720"/>
        <w:jc w:val="both"/>
      </w:pPr>
      <w:r>
        <w:rPr>
          <w:rFonts w:cs="Times New Roman"/>
          <w:szCs w:val="24"/>
        </w:rPr>
        <w:t>2.5</w:t>
      </w:r>
      <w:r w:rsidRPr="00732FF6">
        <w:rPr>
          <w:rFonts w:cs="Times New Roman"/>
          <w:szCs w:val="24"/>
        </w:rPr>
        <w:t xml:space="preserve"> </w:t>
      </w:r>
      <w:r w:rsidR="00003E36">
        <w:rPr>
          <w:rFonts w:cs="Times New Roman"/>
          <w:szCs w:val="24"/>
        </w:rPr>
        <w:tab/>
      </w:r>
      <w:r w:rsidRPr="00732FF6">
        <w:rPr>
          <w:rFonts w:cs="Times New Roman"/>
          <w:i/>
          <w:iCs/>
          <w:szCs w:val="24"/>
        </w:rPr>
        <w:t>In vitro</w:t>
      </w:r>
      <w:r w:rsidRPr="00732FF6">
        <w:rPr>
          <w:rFonts w:cs="Times New Roman"/>
          <w:szCs w:val="24"/>
        </w:rPr>
        <w:t xml:space="preserve"> assay signatures for confirmed PLLDs identified through univariate </w:t>
      </w:r>
      <w:r>
        <w:rPr>
          <w:rFonts w:cs="Times New Roman"/>
          <w:szCs w:val="24"/>
        </w:rPr>
        <w:t xml:space="preserve">correlation </w:t>
      </w:r>
      <w:r w:rsidRPr="00732FF6">
        <w:rPr>
          <w:rFonts w:cs="Times New Roman"/>
          <w:szCs w:val="24"/>
        </w:rPr>
        <w:t>analysis</w:t>
      </w:r>
      <w:r>
        <w:rPr>
          <w:rFonts w:cs="Times New Roman"/>
          <w:szCs w:val="24"/>
        </w:rPr>
        <w:t>…</w:t>
      </w:r>
      <w:r w:rsidR="00003E36">
        <w:rPr>
          <w:rFonts w:cs="Times New Roman"/>
          <w:szCs w:val="24"/>
        </w:rPr>
        <w:t>………………………………………………………………………………...</w:t>
      </w:r>
      <w:r>
        <w:rPr>
          <w:rFonts w:cs="Times New Roman"/>
          <w:szCs w:val="24"/>
        </w:rPr>
        <w:t>23</w:t>
      </w:r>
    </w:p>
    <w:p w14:paraId="2EFEDE19" w14:textId="76F9C663" w:rsidR="00491CE2" w:rsidRDefault="00491CE2" w:rsidP="003B47A8">
      <w:pPr>
        <w:jc w:val="both"/>
        <w:rPr>
          <w:rFonts w:cs="Times New Roman"/>
          <w:szCs w:val="24"/>
        </w:rPr>
      </w:pPr>
      <w:r>
        <w:rPr>
          <w:rFonts w:cs="Times New Roman"/>
          <w:szCs w:val="24"/>
        </w:rPr>
        <w:t>2.6</w:t>
      </w:r>
      <w:r w:rsidRPr="00732FF6">
        <w:rPr>
          <w:rFonts w:cs="Times New Roman"/>
          <w:szCs w:val="24"/>
        </w:rPr>
        <w:t xml:space="preserve"> </w:t>
      </w:r>
      <w:r w:rsidR="00003E36">
        <w:rPr>
          <w:rFonts w:cs="Times New Roman"/>
          <w:szCs w:val="24"/>
        </w:rPr>
        <w:tab/>
      </w:r>
      <w:r w:rsidRPr="00732FF6">
        <w:rPr>
          <w:rFonts w:cs="Times New Roman"/>
          <w:szCs w:val="24"/>
        </w:rPr>
        <w:t>Serotonin modulators interfere with PLL development</w:t>
      </w:r>
      <w:r>
        <w:rPr>
          <w:rFonts w:cs="Times New Roman"/>
          <w:szCs w:val="24"/>
        </w:rPr>
        <w:t>…</w:t>
      </w:r>
      <w:r w:rsidR="00003E36">
        <w:rPr>
          <w:rFonts w:cs="Times New Roman"/>
          <w:szCs w:val="24"/>
        </w:rPr>
        <w:t>………………………………</w:t>
      </w:r>
      <w:r w:rsidR="003B47A8">
        <w:rPr>
          <w:rFonts w:cs="Times New Roman"/>
          <w:szCs w:val="24"/>
        </w:rPr>
        <w:t>.</w:t>
      </w:r>
      <w:r w:rsidR="00003E36">
        <w:rPr>
          <w:rFonts w:cs="Times New Roman"/>
          <w:szCs w:val="24"/>
        </w:rPr>
        <w:t>.</w:t>
      </w:r>
      <w:r>
        <w:rPr>
          <w:rFonts w:cs="Times New Roman"/>
          <w:szCs w:val="24"/>
        </w:rPr>
        <w:t>26</w:t>
      </w:r>
    </w:p>
    <w:p w14:paraId="029B2D51" w14:textId="2148BA67" w:rsidR="00491CE2" w:rsidRDefault="00491CE2" w:rsidP="003B47A8">
      <w:pPr>
        <w:jc w:val="both"/>
        <w:rPr>
          <w:rFonts w:cs="Times New Roman"/>
          <w:szCs w:val="24"/>
        </w:rPr>
      </w:pPr>
      <w:r>
        <w:rPr>
          <w:rFonts w:cs="Times New Roman"/>
          <w:szCs w:val="24"/>
        </w:rPr>
        <w:t>2.7</w:t>
      </w:r>
      <w:r w:rsidRPr="00732FF6">
        <w:rPr>
          <w:rFonts w:cs="Times New Roman"/>
          <w:szCs w:val="24"/>
        </w:rPr>
        <w:t xml:space="preserve"> </w:t>
      </w:r>
      <w:r w:rsidR="00003E36">
        <w:rPr>
          <w:rFonts w:cs="Times New Roman"/>
          <w:szCs w:val="24"/>
        </w:rPr>
        <w:tab/>
      </w:r>
      <w:r w:rsidRPr="00732FF6">
        <w:rPr>
          <w:rFonts w:cs="Times New Roman"/>
          <w:szCs w:val="24"/>
        </w:rPr>
        <w:t xml:space="preserve">Serotonin modulators affect PLL development in </w:t>
      </w:r>
      <w:r>
        <w:rPr>
          <w:rFonts w:cs="Times New Roman"/>
          <w:szCs w:val="24"/>
        </w:rPr>
        <w:t xml:space="preserve">a </w:t>
      </w:r>
      <w:r w:rsidRPr="00732FF6">
        <w:rPr>
          <w:rFonts w:cs="Times New Roman"/>
          <w:szCs w:val="24"/>
        </w:rPr>
        <w:t>dose</w:t>
      </w:r>
      <w:r>
        <w:rPr>
          <w:rFonts w:cs="Times New Roman"/>
          <w:szCs w:val="24"/>
        </w:rPr>
        <w:t>-</w:t>
      </w:r>
      <w:r w:rsidRPr="00732FF6">
        <w:rPr>
          <w:rFonts w:cs="Times New Roman"/>
          <w:szCs w:val="24"/>
        </w:rPr>
        <w:t>dependent manner</w:t>
      </w:r>
      <w:r>
        <w:rPr>
          <w:rFonts w:cs="Times New Roman"/>
          <w:szCs w:val="24"/>
        </w:rPr>
        <w:t>…</w:t>
      </w:r>
      <w:r w:rsidR="00003E36">
        <w:rPr>
          <w:rFonts w:cs="Times New Roman"/>
          <w:szCs w:val="24"/>
        </w:rPr>
        <w:t>………</w:t>
      </w:r>
      <w:r w:rsidR="003B47A8">
        <w:rPr>
          <w:rFonts w:cs="Times New Roman"/>
          <w:szCs w:val="24"/>
        </w:rPr>
        <w:t>…</w:t>
      </w:r>
      <w:r w:rsidR="00003E36">
        <w:rPr>
          <w:rFonts w:cs="Times New Roman"/>
          <w:szCs w:val="24"/>
        </w:rPr>
        <w:t>.</w:t>
      </w:r>
      <w:r>
        <w:rPr>
          <w:rFonts w:cs="Times New Roman"/>
          <w:szCs w:val="24"/>
        </w:rPr>
        <w:t>27</w:t>
      </w:r>
    </w:p>
    <w:p w14:paraId="162633CD" w14:textId="6CF9606F" w:rsidR="00491CE2" w:rsidRDefault="00491CE2" w:rsidP="003B47A8">
      <w:pPr>
        <w:jc w:val="both"/>
      </w:pPr>
      <w:r>
        <w:t>2.8</w:t>
      </w:r>
      <w:r w:rsidRPr="00732FF6">
        <w:t xml:space="preserve"> </w:t>
      </w:r>
      <w:r w:rsidR="00003E36">
        <w:tab/>
      </w:r>
      <w:r w:rsidRPr="00732FF6">
        <w:t>Serotonin modulators affect zebrafish serotonin levels</w:t>
      </w:r>
      <w:r>
        <w:t>…</w:t>
      </w:r>
      <w:r w:rsidR="00003E36">
        <w:t>………………………………</w:t>
      </w:r>
      <w:r w:rsidR="003B47A8">
        <w:t>.</w:t>
      </w:r>
      <w:r w:rsidR="00003E36">
        <w:t>.</w:t>
      </w:r>
      <w:r>
        <w:t>28</w:t>
      </w:r>
    </w:p>
    <w:p w14:paraId="529DFBDE" w14:textId="0C3DC854" w:rsidR="00491CE2" w:rsidRDefault="00491CE2" w:rsidP="003B47A8">
      <w:pPr>
        <w:jc w:val="both"/>
        <w:rPr>
          <w:rFonts w:cs="Times New Roman"/>
          <w:szCs w:val="24"/>
        </w:rPr>
      </w:pPr>
      <w:r w:rsidRPr="006A3311">
        <w:rPr>
          <w:rFonts w:cs="Times New Roman"/>
          <w:szCs w:val="24"/>
        </w:rPr>
        <w:t>2.</w:t>
      </w:r>
      <w:r>
        <w:rPr>
          <w:rFonts w:cs="Times New Roman"/>
          <w:szCs w:val="24"/>
        </w:rPr>
        <w:t>9</w:t>
      </w:r>
      <w:r w:rsidRPr="0069328F">
        <w:rPr>
          <w:rFonts w:cs="Times New Roman"/>
          <w:szCs w:val="24"/>
        </w:rPr>
        <w:t xml:space="preserve"> </w:t>
      </w:r>
      <w:r w:rsidR="00003E36">
        <w:rPr>
          <w:rFonts w:cs="Times New Roman"/>
          <w:szCs w:val="24"/>
        </w:rPr>
        <w:tab/>
      </w:r>
      <w:r w:rsidRPr="0069328F">
        <w:rPr>
          <w:rFonts w:cs="Times New Roman"/>
          <w:szCs w:val="24"/>
        </w:rPr>
        <w:t>Prioritizing predicted PLLD chemicals to be tested based on their ToxPi scores</w:t>
      </w:r>
      <w:r>
        <w:rPr>
          <w:rFonts w:cs="Times New Roman"/>
          <w:szCs w:val="24"/>
        </w:rPr>
        <w:t>…</w:t>
      </w:r>
      <w:r w:rsidR="00003E36">
        <w:rPr>
          <w:rFonts w:cs="Times New Roman"/>
          <w:szCs w:val="24"/>
        </w:rPr>
        <w:t>……</w:t>
      </w:r>
      <w:r w:rsidR="003B47A8">
        <w:rPr>
          <w:rFonts w:cs="Times New Roman"/>
          <w:szCs w:val="24"/>
        </w:rPr>
        <w:t>...</w:t>
      </w:r>
      <w:r w:rsidR="00003E36">
        <w:rPr>
          <w:rFonts w:cs="Times New Roman"/>
          <w:szCs w:val="24"/>
        </w:rPr>
        <w:t>.</w:t>
      </w:r>
      <w:r>
        <w:rPr>
          <w:rFonts w:cs="Times New Roman"/>
          <w:szCs w:val="24"/>
        </w:rPr>
        <w:t>29</w:t>
      </w:r>
    </w:p>
    <w:p w14:paraId="11D44D91" w14:textId="61155DBD" w:rsidR="00491CE2" w:rsidRDefault="00491CE2" w:rsidP="003B47A8">
      <w:pPr>
        <w:jc w:val="both"/>
        <w:rPr>
          <w:rFonts w:cs="Times New Roman"/>
          <w:szCs w:val="24"/>
        </w:rPr>
      </w:pPr>
      <w:r w:rsidRPr="006A3311">
        <w:rPr>
          <w:rFonts w:cs="Times New Roman"/>
          <w:szCs w:val="24"/>
        </w:rPr>
        <w:t>2.</w:t>
      </w:r>
      <w:r>
        <w:rPr>
          <w:rFonts w:cs="Times New Roman"/>
          <w:szCs w:val="24"/>
        </w:rPr>
        <w:t>10</w:t>
      </w:r>
      <w:r w:rsidRPr="006A3311">
        <w:rPr>
          <w:rFonts w:cs="Times New Roman"/>
          <w:szCs w:val="24"/>
        </w:rPr>
        <w:t xml:space="preserve"> </w:t>
      </w:r>
      <w:r w:rsidR="00003E36">
        <w:rPr>
          <w:rFonts w:cs="Times New Roman"/>
          <w:szCs w:val="24"/>
        </w:rPr>
        <w:tab/>
      </w:r>
      <w:r w:rsidRPr="006A3311">
        <w:rPr>
          <w:rFonts w:cs="Times New Roman"/>
          <w:szCs w:val="24"/>
        </w:rPr>
        <w:t>Effects of PLLDs predicted using serotonin pathway assays in zebrafish</w:t>
      </w:r>
      <w:r>
        <w:rPr>
          <w:rFonts w:cs="Times New Roman"/>
          <w:szCs w:val="24"/>
        </w:rPr>
        <w:t>…</w:t>
      </w:r>
      <w:r w:rsidR="00003E36">
        <w:rPr>
          <w:rFonts w:cs="Times New Roman"/>
          <w:szCs w:val="24"/>
        </w:rPr>
        <w:t>……………</w:t>
      </w:r>
      <w:r w:rsidR="003B47A8">
        <w:rPr>
          <w:rFonts w:cs="Times New Roman"/>
          <w:szCs w:val="24"/>
        </w:rPr>
        <w:t>...</w:t>
      </w:r>
      <w:r>
        <w:rPr>
          <w:rFonts w:cs="Times New Roman"/>
          <w:szCs w:val="24"/>
        </w:rPr>
        <w:t>31</w:t>
      </w:r>
    </w:p>
    <w:p w14:paraId="18B065F5" w14:textId="0E6B5D1F" w:rsidR="00491CE2" w:rsidRDefault="00491CE2" w:rsidP="003B47A8">
      <w:pPr>
        <w:jc w:val="both"/>
        <w:rPr>
          <w:rFonts w:cs="Times New Roman"/>
          <w:szCs w:val="24"/>
        </w:rPr>
      </w:pPr>
      <w:r w:rsidRPr="00465302">
        <w:rPr>
          <w:rFonts w:cs="Times New Roman"/>
          <w:szCs w:val="24"/>
        </w:rPr>
        <w:t xml:space="preserve">3.1 </w:t>
      </w:r>
      <w:r w:rsidR="00003E36">
        <w:rPr>
          <w:rFonts w:cs="Times New Roman"/>
          <w:szCs w:val="24"/>
        </w:rPr>
        <w:tab/>
      </w:r>
      <w:r w:rsidRPr="00465302">
        <w:rPr>
          <w:rFonts w:cs="Times New Roman"/>
          <w:szCs w:val="24"/>
        </w:rPr>
        <w:t xml:space="preserve">Vascular system of zebrafish at </w:t>
      </w:r>
      <w:r w:rsidR="006D4C50">
        <w:rPr>
          <w:rFonts w:cs="Times New Roman"/>
          <w:szCs w:val="24"/>
        </w:rPr>
        <w:t>four</w:t>
      </w:r>
      <w:r w:rsidRPr="00465302">
        <w:rPr>
          <w:rFonts w:cs="Times New Roman"/>
          <w:szCs w:val="24"/>
        </w:rPr>
        <w:t xml:space="preserve"> dpf</w:t>
      </w:r>
      <w:r>
        <w:rPr>
          <w:rFonts w:cs="Times New Roman"/>
          <w:szCs w:val="24"/>
        </w:rPr>
        <w:t>…</w:t>
      </w:r>
      <w:r w:rsidR="00003E36">
        <w:rPr>
          <w:rFonts w:cs="Times New Roman"/>
          <w:szCs w:val="24"/>
        </w:rPr>
        <w:t>……………………………………………</w:t>
      </w:r>
      <w:r w:rsidR="003B47A8">
        <w:rPr>
          <w:rFonts w:cs="Times New Roman"/>
          <w:szCs w:val="24"/>
        </w:rPr>
        <w:t>.</w:t>
      </w:r>
      <w:r w:rsidR="00003E36">
        <w:rPr>
          <w:rFonts w:cs="Times New Roman"/>
          <w:szCs w:val="24"/>
        </w:rPr>
        <w:t>…</w:t>
      </w:r>
      <w:r>
        <w:rPr>
          <w:rFonts w:cs="Times New Roman"/>
          <w:szCs w:val="24"/>
        </w:rPr>
        <w:t>44</w:t>
      </w:r>
    </w:p>
    <w:p w14:paraId="424416E9" w14:textId="17D70450" w:rsidR="00491CE2" w:rsidRDefault="00491CE2" w:rsidP="003B47A8">
      <w:pPr>
        <w:jc w:val="both"/>
        <w:rPr>
          <w:rFonts w:cs="Times New Roman"/>
          <w:szCs w:val="24"/>
        </w:rPr>
      </w:pPr>
      <w:r w:rsidRPr="00465302">
        <w:rPr>
          <w:rFonts w:cs="Times New Roman"/>
          <w:szCs w:val="24"/>
        </w:rPr>
        <w:t xml:space="preserve">3.2 </w:t>
      </w:r>
      <w:r w:rsidR="00003E36">
        <w:rPr>
          <w:rFonts w:cs="Times New Roman"/>
          <w:szCs w:val="24"/>
        </w:rPr>
        <w:tab/>
      </w:r>
      <w:r w:rsidRPr="00465302">
        <w:rPr>
          <w:rFonts w:cs="Times New Roman"/>
          <w:szCs w:val="24"/>
        </w:rPr>
        <w:t>Rotenone causes ISV effects in a dose-dependent manner</w:t>
      </w:r>
      <w:r>
        <w:rPr>
          <w:rFonts w:cs="Times New Roman"/>
          <w:szCs w:val="24"/>
        </w:rPr>
        <w:t>…</w:t>
      </w:r>
      <w:r w:rsidR="00003E36">
        <w:rPr>
          <w:rFonts w:cs="Times New Roman"/>
          <w:szCs w:val="24"/>
        </w:rPr>
        <w:t>…………………………</w:t>
      </w:r>
      <w:r w:rsidR="003B47A8">
        <w:rPr>
          <w:rFonts w:cs="Times New Roman"/>
          <w:szCs w:val="24"/>
        </w:rPr>
        <w:t>.</w:t>
      </w:r>
      <w:r w:rsidR="00003E36">
        <w:rPr>
          <w:rFonts w:cs="Times New Roman"/>
          <w:szCs w:val="24"/>
        </w:rPr>
        <w:t>…</w:t>
      </w:r>
      <w:r>
        <w:rPr>
          <w:rFonts w:cs="Times New Roman"/>
          <w:szCs w:val="24"/>
        </w:rPr>
        <w:t>50</w:t>
      </w:r>
    </w:p>
    <w:p w14:paraId="492FB73E" w14:textId="3674F93C" w:rsidR="00491CE2" w:rsidRDefault="00491CE2" w:rsidP="003B47A8">
      <w:pPr>
        <w:jc w:val="both"/>
        <w:rPr>
          <w:rFonts w:cs="Times New Roman"/>
          <w:szCs w:val="24"/>
        </w:rPr>
      </w:pPr>
      <w:r w:rsidRPr="00465302">
        <w:rPr>
          <w:rFonts w:cs="Times New Roman"/>
          <w:szCs w:val="24"/>
        </w:rPr>
        <w:t xml:space="preserve">3.3 </w:t>
      </w:r>
      <w:r w:rsidR="00003E36">
        <w:rPr>
          <w:rFonts w:cs="Times New Roman"/>
          <w:szCs w:val="24"/>
        </w:rPr>
        <w:tab/>
      </w:r>
      <w:r w:rsidRPr="00465302">
        <w:rPr>
          <w:rFonts w:cs="Times New Roman"/>
          <w:szCs w:val="24"/>
        </w:rPr>
        <w:t>VDCs cause ISV effects in a dose-dependent manner</w:t>
      </w:r>
      <w:r>
        <w:rPr>
          <w:rFonts w:cs="Times New Roman"/>
          <w:szCs w:val="24"/>
        </w:rPr>
        <w:t>…</w:t>
      </w:r>
      <w:r w:rsidR="00003E36">
        <w:rPr>
          <w:rFonts w:cs="Times New Roman"/>
          <w:szCs w:val="24"/>
        </w:rPr>
        <w:t>………………………………</w:t>
      </w:r>
      <w:r w:rsidR="003B47A8">
        <w:rPr>
          <w:rFonts w:cs="Times New Roman"/>
          <w:szCs w:val="24"/>
        </w:rPr>
        <w:t>.</w:t>
      </w:r>
      <w:r w:rsidR="00003E36">
        <w:rPr>
          <w:rFonts w:cs="Times New Roman"/>
          <w:szCs w:val="24"/>
        </w:rPr>
        <w:t>...</w:t>
      </w:r>
      <w:r>
        <w:rPr>
          <w:rFonts w:cs="Times New Roman"/>
          <w:szCs w:val="24"/>
        </w:rPr>
        <w:t>51</w:t>
      </w:r>
    </w:p>
    <w:p w14:paraId="4695B41E" w14:textId="5D7981C5" w:rsidR="00491CE2" w:rsidRDefault="00491CE2" w:rsidP="003B47A8">
      <w:pPr>
        <w:jc w:val="both"/>
        <w:rPr>
          <w:rFonts w:cs="Times New Roman"/>
          <w:szCs w:val="24"/>
        </w:rPr>
      </w:pPr>
      <w:r w:rsidRPr="00465302">
        <w:rPr>
          <w:rFonts w:cs="Times New Roman"/>
          <w:szCs w:val="24"/>
        </w:rPr>
        <w:t xml:space="preserve">3.4 </w:t>
      </w:r>
      <w:r w:rsidR="00003E36">
        <w:rPr>
          <w:rFonts w:cs="Times New Roman"/>
          <w:szCs w:val="24"/>
        </w:rPr>
        <w:tab/>
      </w:r>
      <w:r w:rsidRPr="00465302">
        <w:rPr>
          <w:rFonts w:cs="Times New Roman"/>
          <w:szCs w:val="24"/>
        </w:rPr>
        <w:t>All VDCs tested affected HUVEC tube formation</w:t>
      </w:r>
      <w:r>
        <w:rPr>
          <w:rFonts w:cs="Times New Roman"/>
          <w:szCs w:val="24"/>
        </w:rPr>
        <w:t>…</w:t>
      </w:r>
      <w:r w:rsidR="00003E36">
        <w:rPr>
          <w:rFonts w:cs="Times New Roman"/>
          <w:szCs w:val="24"/>
        </w:rPr>
        <w:t>……………………………………</w:t>
      </w:r>
      <w:r w:rsidR="003B47A8">
        <w:rPr>
          <w:rFonts w:cs="Times New Roman"/>
          <w:szCs w:val="24"/>
        </w:rPr>
        <w:t>.</w:t>
      </w:r>
      <w:r>
        <w:rPr>
          <w:rFonts w:cs="Times New Roman"/>
          <w:szCs w:val="24"/>
        </w:rPr>
        <w:t>53</w:t>
      </w:r>
    </w:p>
    <w:p w14:paraId="782BC0A1" w14:textId="2BA49C94" w:rsidR="00491CE2" w:rsidRDefault="00491CE2" w:rsidP="003B47A8">
      <w:pPr>
        <w:jc w:val="both"/>
        <w:rPr>
          <w:rFonts w:cs="Times New Roman"/>
          <w:szCs w:val="24"/>
        </w:rPr>
      </w:pPr>
      <w:r w:rsidRPr="00465302">
        <w:rPr>
          <w:rFonts w:cs="Times New Roman"/>
          <w:szCs w:val="24"/>
        </w:rPr>
        <w:t xml:space="preserve">3.5 </w:t>
      </w:r>
      <w:r w:rsidR="00003E36">
        <w:rPr>
          <w:rFonts w:cs="Times New Roman"/>
          <w:szCs w:val="24"/>
        </w:rPr>
        <w:tab/>
      </w:r>
      <w:r w:rsidRPr="00465302">
        <w:rPr>
          <w:rFonts w:cs="Times New Roman"/>
          <w:szCs w:val="24"/>
        </w:rPr>
        <w:t>The VDCs perturb HUVEC tube formation in a dose-dependent manner</w:t>
      </w:r>
      <w:r>
        <w:rPr>
          <w:rFonts w:cs="Times New Roman"/>
          <w:szCs w:val="24"/>
        </w:rPr>
        <w:t>…</w:t>
      </w:r>
      <w:r w:rsidR="00003E36">
        <w:rPr>
          <w:rFonts w:cs="Times New Roman"/>
          <w:szCs w:val="24"/>
        </w:rPr>
        <w:t>…………</w:t>
      </w:r>
      <w:r w:rsidR="003B47A8">
        <w:rPr>
          <w:rFonts w:cs="Times New Roman"/>
          <w:szCs w:val="24"/>
        </w:rPr>
        <w:t>...</w:t>
      </w:r>
      <w:r w:rsidR="00003E36">
        <w:rPr>
          <w:rFonts w:cs="Times New Roman"/>
          <w:szCs w:val="24"/>
        </w:rPr>
        <w:t>…</w:t>
      </w:r>
      <w:r>
        <w:rPr>
          <w:rFonts w:cs="Times New Roman"/>
          <w:szCs w:val="24"/>
        </w:rPr>
        <w:t>54</w:t>
      </w:r>
    </w:p>
    <w:p w14:paraId="4189E99B" w14:textId="2B98A51C" w:rsidR="00491CE2" w:rsidRDefault="00491CE2" w:rsidP="003B47A8">
      <w:pPr>
        <w:jc w:val="both"/>
        <w:rPr>
          <w:rFonts w:cs="Times New Roman"/>
          <w:szCs w:val="24"/>
        </w:rPr>
      </w:pPr>
      <w:r w:rsidRPr="00465302">
        <w:rPr>
          <w:rFonts w:cs="Times New Roman"/>
          <w:szCs w:val="24"/>
        </w:rPr>
        <w:t xml:space="preserve">3.6 </w:t>
      </w:r>
      <w:r w:rsidR="00003E36">
        <w:rPr>
          <w:rFonts w:cs="Times New Roman"/>
          <w:szCs w:val="24"/>
        </w:rPr>
        <w:tab/>
      </w:r>
      <w:r w:rsidRPr="00465302">
        <w:rPr>
          <w:rFonts w:cs="Times New Roman"/>
          <w:szCs w:val="24"/>
        </w:rPr>
        <w:t>VDCs reduced the total mesh area of HUVEC tube formation assay</w:t>
      </w:r>
      <w:r>
        <w:rPr>
          <w:rFonts w:cs="Times New Roman"/>
          <w:szCs w:val="24"/>
        </w:rPr>
        <w:t>…</w:t>
      </w:r>
      <w:r w:rsidR="00003E36">
        <w:rPr>
          <w:rFonts w:cs="Times New Roman"/>
          <w:szCs w:val="24"/>
        </w:rPr>
        <w:t>………………</w:t>
      </w:r>
      <w:r w:rsidR="003B47A8">
        <w:rPr>
          <w:rFonts w:cs="Times New Roman"/>
          <w:szCs w:val="24"/>
        </w:rPr>
        <w:t>…</w:t>
      </w:r>
      <w:r w:rsidR="00003E36">
        <w:rPr>
          <w:rFonts w:cs="Times New Roman"/>
          <w:szCs w:val="24"/>
        </w:rPr>
        <w:t>..</w:t>
      </w:r>
      <w:r>
        <w:rPr>
          <w:rFonts w:cs="Times New Roman"/>
          <w:szCs w:val="24"/>
        </w:rPr>
        <w:t>55</w:t>
      </w:r>
    </w:p>
    <w:p w14:paraId="62D3C8BB" w14:textId="6E4BAAB5" w:rsidR="00491CE2" w:rsidRDefault="00491CE2" w:rsidP="003B47A8">
      <w:pPr>
        <w:jc w:val="both"/>
        <w:rPr>
          <w:rFonts w:cs="Times New Roman"/>
          <w:szCs w:val="24"/>
        </w:rPr>
      </w:pPr>
      <w:r w:rsidRPr="00465302">
        <w:rPr>
          <w:rFonts w:cs="Times New Roman"/>
          <w:szCs w:val="24"/>
        </w:rPr>
        <w:t xml:space="preserve">3.7 </w:t>
      </w:r>
      <w:r w:rsidR="00003E36">
        <w:rPr>
          <w:rFonts w:cs="Times New Roman"/>
          <w:szCs w:val="24"/>
        </w:rPr>
        <w:tab/>
      </w:r>
      <w:r w:rsidRPr="00465302">
        <w:rPr>
          <w:rFonts w:cs="Times New Roman"/>
          <w:szCs w:val="24"/>
        </w:rPr>
        <w:t>VDCs disrupt HUVEC tube formation</w:t>
      </w:r>
      <w:r>
        <w:rPr>
          <w:rFonts w:cs="Times New Roman"/>
          <w:szCs w:val="24"/>
        </w:rPr>
        <w:t>…</w:t>
      </w:r>
      <w:r w:rsidR="00003E36">
        <w:rPr>
          <w:rFonts w:cs="Times New Roman"/>
          <w:szCs w:val="24"/>
        </w:rPr>
        <w:t>………………………………………………</w:t>
      </w:r>
      <w:r w:rsidR="003B47A8">
        <w:rPr>
          <w:rFonts w:cs="Times New Roman"/>
          <w:szCs w:val="24"/>
        </w:rPr>
        <w:t>.</w:t>
      </w:r>
      <w:r w:rsidR="00003E36">
        <w:rPr>
          <w:rFonts w:cs="Times New Roman"/>
          <w:szCs w:val="24"/>
        </w:rPr>
        <w:t>..</w:t>
      </w:r>
      <w:r>
        <w:rPr>
          <w:rFonts w:cs="Times New Roman"/>
          <w:szCs w:val="24"/>
        </w:rPr>
        <w:t>56</w:t>
      </w:r>
    </w:p>
    <w:p w14:paraId="71C89D93" w14:textId="7D63E845" w:rsidR="00491CE2" w:rsidRDefault="00491CE2" w:rsidP="003B47A8">
      <w:pPr>
        <w:jc w:val="both"/>
        <w:rPr>
          <w:rFonts w:cs="Times New Roman"/>
        </w:rPr>
      </w:pPr>
      <w:r w:rsidRPr="00465302">
        <w:rPr>
          <w:rFonts w:cs="Times New Roman"/>
        </w:rPr>
        <w:t xml:space="preserve">3.8 </w:t>
      </w:r>
      <w:r w:rsidR="00003E36">
        <w:rPr>
          <w:rFonts w:cs="Times New Roman"/>
        </w:rPr>
        <w:tab/>
      </w:r>
      <w:r w:rsidRPr="00465302">
        <w:rPr>
          <w:rFonts w:cs="Times New Roman"/>
          <w:i/>
          <w:iCs/>
        </w:rPr>
        <w:t>In vitro</w:t>
      </w:r>
      <w:r w:rsidRPr="00465302">
        <w:rPr>
          <w:rFonts w:cs="Times New Roman"/>
        </w:rPr>
        <w:t xml:space="preserve"> assay signatures for confirmed VDCs identified through univariate analysis</w:t>
      </w:r>
      <w:r w:rsidR="00003E36">
        <w:rPr>
          <w:rFonts w:cs="Times New Roman"/>
        </w:rPr>
        <w:t>…</w:t>
      </w:r>
      <w:r w:rsidR="003B47A8">
        <w:rPr>
          <w:rFonts w:cs="Times New Roman"/>
        </w:rPr>
        <w:t>..</w:t>
      </w:r>
      <w:r w:rsidR="00003E36">
        <w:rPr>
          <w:rFonts w:cs="Times New Roman"/>
        </w:rPr>
        <w:t>..</w:t>
      </w:r>
      <w:r>
        <w:rPr>
          <w:rFonts w:cs="Times New Roman"/>
        </w:rPr>
        <w:t>58</w:t>
      </w:r>
    </w:p>
    <w:p w14:paraId="5CEB9B1D" w14:textId="079EAC63" w:rsidR="0099784D" w:rsidRDefault="00491CE2" w:rsidP="003B47A8">
      <w:pPr>
        <w:jc w:val="both"/>
      </w:pPr>
      <w:r w:rsidRPr="00465302">
        <w:rPr>
          <w:rFonts w:cs="Times New Roman"/>
        </w:rPr>
        <w:t xml:space="preserve">3.9 </w:t>
      </w:r>
      <w:r w:rsidR="00003E36">
        <w:rPr>
          <w:rFonts w:cs="Times New Roman"/>
        </w:rPr>
        <w:tab/>
      </w:r>
      <w:r w:rsidRPr="00465302">
        <w:rPr>
          <w:rFonts w:cs="Times New Roman"/>
        </w:rPr>
        <w:t>Prioritizing predicted VDC chemicals to be tested based on their ToxPi scores</w:t>
      </w:r>
      <w:r>
        <w:rPr>
          <w:rFonts w:cs="Times New Roman"/>
        </w:rPr>
        <w:t>…</w:t>
      </w:r>
      <w:r w:rsidR="00003E36">
        <w:rPr>
          <w:rFonts w:cs="Times New Roman"/>
        </w:rPr>
        <w:t>……...</w:t>
      </w:r>
      <w:r w:rsidR="003B47A8">
        <w:rPr>
          <w:rFonts w:cs="Times New Roman"/>
        </w:rPr>
        <w:t>..</w:t>
      </w:r>
      <w:r>
        <w:rPr>
          <w:rFonts w:cs="Times New Roman"/>
        </w:rPr>
        <w:t>60</w:t>
      </w:r>
    </w:p>
    <w:p w14:paraId="430EE627" w14:textId="6F990898" w:rsidR="0099784D" w:rsidRDefault="0099784D" w:rsidP="00A5237A">
      <w:pPr>
        <w:jc w:val="both"/>
        <w:sectPr w:rsidR="0099784D" w:rsidSect="00DB0E8B">
          <w:footerReference w:type="default" r:id="rId8"/>
          <w:pgSz w:w="12240" w:h="15840"/>
          <w:pgMar w:top="1440" w:right="1440" w:bottom="1800" w:left="1440" w:header="720" w:footer="1080" w:gutter="0"/>
          <w:pgNumType w:fmt="lowerRoman" w:start="1"/>
          <w:cols w:space="720"/>
          <w:titlePg/>
          <w:docGrid w:linePitch="360"/>
        </w:sectPr>
      </w:pPr>
    </w:p>
    <w:p w14:paraId="2575E1AB" w14:textId="10AD4CC0" w:rsidR="00EC63F8" w:rsidRDefault="00EC63F8" w:rsidP="00A5237A">
      <w:pPr>
        <w:jc w:val="both"/>
      </w:pPr>
    </w:p>
    <w:p w14:paraId="04F4B7CC" w14:textId="39D0883F" w:rsidR="005158E4" w:rsidRDefault="005158E4" w:rsidP="00A5237A">
      <w:pPr>
        <w:jc w:val="both"/>
      </w:pPr>
    </w:p>
    <w:p w14:paraId="1007B55A" w14:textId="7FD847F0" w:rsidR="005158E4" w:rsidRDefault="005158E4" w:rsidP="00A5237A">
      <w:pPr>
        <w:jc w:val="both"/>
      </w:pPr>
    </w:p>
    <w:p w14:paraId="274CB1D5" w14:textId="656E9DBB" w:rsidR="00FB76DE" w:rsidRDefault="00FB76DE" w:rsidP="00A5237A">
      <w:pPr>
        <w:jc w:val="both"/>
      </w:pPr>
    </w:p>
    <w:p w14:paraId="5FA5ED7E" w14:textId="7B94DD73" w:rsidR="0056415A" w:rsidRDefault="0056415A" w:rsidP="00A5237A">
      <w:pPr>
        <w:jc w:val="both"/>
      </w:pPr>
    </w:p>
    <w:p w14:paraId="19008D73" w14:textId="77777777" w:rsidR="0056415A" w:rsidRDefault="0056415A" w:rsidP="00A5237A">
      <w:pPr>
        <w:jc w:val="both"/>
      </w:pPr>
    </w:p>
    <w:p w14:paraId="7B44F055" w14:textId="3BE94E43" w:rsidR="00FB76DE" w:rsidRDefault="00FB76DE" w:rsidP="00A5237A">
      <w:pPr>
        <w:jc w:val="both"/>
      </w:pPr>
    </w:p>
    <w:p w14:paraId="474C4686" w14:textId="77777777" w:rsidR="00A8192E" w:rsidRDefault="00A8192E" w:rsidP="00A5237A">
      <w:pPr>
        <w:jc w:val="both"/>
      </w:pPr>
    </w:p>
    <w:p w14:paraId="6983360C" w14:textId="2B6661EA" w:rsidR="00FB76DE" w:rsidRDefault="00FB76DE" w:rsidP="00A5237A">
      <w:pPr>
        <w:jc w:val="both"/>
      </w:pPr>
    </w:p>
    <w:p w14:paraId="7863C7F7" w14:textId="46D97214" w:rsidR="00D47BAC" w:rsidRPr="0099784D" w:rsidRDefault="00671A60" w:rsidP="00003E36">
      <w:pPr>
        <w:pStyle w:val="Heading1"/>
      </w:pPr>
      <w:bookmarkStart w:id="5" w:name="_Toc39502024"/>
      <w:r w:rsidRPr="0099784D">
        <w:t xml:space="preserve">CHAPTER 1: </w:t>
      </w:r>
      <w:r w:rsidR="00D47BAC" w:rsidRPr="0099784D">
        <w:t>INTRODUCTION</w:t>
      </w:r>
      <w:bookmarkEnd w:id="5"/>
    </w:p>
    <w:p w14:paraId="26FB3E4D" w14:textId="77777777" w:rsidR="00D47BAC" w:rsidRPr="006640EE" w:rsidRDefault="00D47BAC" w:rsidP="00A5237A">
      <w:pPr>
        <w:jc w:val="both"/>
      </w:pPr>
    </w:p>
    <w:p w14:paraId="0F91D549" w14:textId="7A37C63A" w:rsidR="00D47BAC" w:rsidRDefault="00D47BAC" w:rsidP="00A5237A">
      <w:pPr>
        <w:jc w:val="both"/>
      </w:pPr>
    </w:p>
    <w:p w14:paraId="48BCA5B7" w14:textId="67832E62" w:rsidR="00FB76DE" w:rsidRDefault="00FB76DE" w:rsidP="00A5237A">
      <w:pPr>
        <w:jc w:val="both"/>
      </w:pPr>
    </w:p>
    <w:p w14:paraId="2E975133" w14:textId="34FB32F2" w:rsidR="00FB76DE" w:rsidRDefault="00FB76DE" w:rsidP="00A5237A">
      <w:pPr>
        <w:jc w:val="both"/>
      </w:pPr>
    </w:p>
    <w:p w14:paraId="23DE4715" w14:textId="77777777" w:rsidR="00FB76DE" w:rsidRDefault="00FB76DE" w:rsidP="00A5237A">
      <w:pPr>
        <w:jc w:val="both"/>
      </w:pPr>
    </w:p>
    <w:p w14:paraId="68B005AB" w14:textId="77777777" w:rsidR="00D47BAC" w:rsidRDefault="00D47BAC" w:rsidP="00A5237A">
      <w:pPr>
        <w:jc w:val="both"/>
      </w:pPr>
    </w:p>
    <w:p w14:paraId="43D65B25" w14:textId="77777777" w:rsidR="00D47BAC" w:rsidRDefault="00D47BAC" w:rsidP="00A5237A">
      <w:pPr>
        <w:jc w:val="both"/>
      </w:pPr>
    </w:p>
    <w:p w14:paraId="1173751C" w14:textId="5AEB303D" w:rsidR="00D47BAC" w:rsidRDefault="00D47BAC" w:rsidP="00A5237A">
      <w:pPr>
        <w:jc w:val="both"/>
      </w:pPr>
    </w:p>
    <w:p w14:paraId="032C4080" w14:textId="78DFAC3C" w:rsidR="00946607" w:rsidRPr="004003F7" w:rsidRDefault="00946607">
      <w:pPr>
        <w:pStyle w:val="Heading2"/>
      </w:pPr>
      <w:bookmarkStart w:id="6" w:name="_Toc39502025"/>
      <w:bookmarkStart w:id="7" w:name="_Toc34376884"/>
      <w:bookmarkStart w:id="8" w:name="_Hlk35104917"/>
      <w:r w:rsidRPr="004003F7">
        <w:lastRenderedPageBreak/>
        <w:t>1.1 ENVIRONMENTAL TOXICANTS</w:t>
      </w:r>
      <w:bookmarkEnd w:id="6"/>
    </w:p>
    <w:p w14:paraId="53B31EFA" w14:textId="16778987" w:rsidR="00946607" w:rsidRPr="00465302" w:rsidRDefault="00946607" w:rsidP="00946607">
      <w:pPr>
        <w:pStyle w:val="NormalWeb"/>
        <w:spacing w:before="0" w:beforeAutospacing="0" w:after="240" w:afterAutospacing="0" w:line="480" w:lineRule="auto"/>
        <w:jc w:val="both"/>
        <w:rPr>
          <w:strike/>
        </w:rPr>
      </w:pPr>
      <w:r w:rsidRPr="00465302">
        <w:t xml:space="preserve">Environmental toxicants are synthetic or naturally occurring chemicals that can impair or damage biological systems and can cause serious health effects. Problems can develop from acute, chronic, or excessive exposure. With the production of new compounds in global manufacturing and the reduction in environmental regulatory agencies in some countries, the inherent risk to public health has increased. Exposure to environmental toxicants </w:t>
      </w:r>
      <w:r w:rsidR="006233A5" w:rsidRPr="00465302">
        <w:t xml:space="preserve">directly </w:t>
      </w:r>
      <w:r w:rsidRPr="00465302">
        <w:t xml:space="preserve">contributes to </w:t>
      </w:r>
      <w:r w:rsidR="006233A5" w:rsidRPr="00465302">
        <w:t>3</w:t>
      </w:r>
      <w:r w:rsidRPr="00465302">
        <w:t>% of birth defects observed</w:t>
      </w:r>
      <w:r w:rsidR="002E5067" w:rsidRPr="00465302">
        <w:t xml:space="preserve"> </w:t>
      </w:r>
      <w:r w:rsidR="002E5067" w:rsidRPr="00465302">
        <w:fldChar w:fldCharType="begin" w:fldLock="1"/>
      </w:r>
      <w:r w:rsidR="002E5067" w:rsidRPr="00465302">
        <w:instrText>ADDIN CSL_CITATION {"citationItems":[{"id":"ITEM-1","itemData":{"author":[{"dropping-particle":"","family":"Center for Disease Control and Prevention","given":"","non-dropping-particle":"","parse-names":false,"suffix":""}],"id":"ITEM-1","issued":{"date-parts":[["2020"]]},"title":"Facts about Birth Defects","type":"article-journal"},"uris":["http://www.mendeley.com/documents/?uuid=801d6cdc-2294-4cdf-9fe3-770a6038256b"]}],"mendeley":{"formattedCitation":"(Center for Disease Control and Prevention, 2020)","plainTextFormattedCitation":"(Center for Disease Control and Prevention, 2020)","previouslyFormattedCitation":"(Center for Disease Control and Prevention, 2020)"},"properties":{"noteIndex":0},"schema":"https://github.com/citation-style-language/schema/raw/master/csl-citation.json"}</w:instrText>
      </w:r>
      <w:r w:rsidR="002E5067" w:rsidRPr="00465302">
        <w:fldChar w:fldCharType="separate"/>
      </w:r>
      <w:r w:rsidR="002E5067" w:rsidRPr="00465302">
        <w:rPr>
          <w:noProof/>
        </w:rPr>
        <w:t>(Center for Disease Control and Prevention, 2020)</w:t>
      </w:r>
      <w:r w:rsidR="002E5067" w:rsidRPr="00465302">
        <w:fldChar w:fldCharType="end"/>
      </w:r>
      <w:r w:rsidRPr="00465302">
        <w:t>. United States Department of Health and Human Services has reported the commercial use of over 80,000 chemicals in the United States, but only about 2% of those have been assessed for their safety</w:t>
      </w:r>
      <w:r w:rsidR="002E5067" w:rsidRPr="00465302">
        <w:t xml:space="preserve"> </w:t>
      </w:r>
      <w:r w:rsidR="002E5067" w:rsidRPr="00465302">
        <w:fldChar w:fldCharType="begin" w:fldLock="1"/>
      </w:r>
      <w:r w:rsidR="002E5067" w:rsidRPr="00465302">
        <w:instrText>ADDIN CSL_CITATION {"citationItems":[{"id":"ITEM-1","itemData":{"author":[{"dropping-particle":"","family":"National Toxicology Program","given":"","non-dropping-particle":"","parse-names":false,"suffix":""}],"id":"ITEM-1","issued":{"date-parts":[["2020"]]},"title":"Toxicology in the 21st Century (Tox21)","type":"article-journal"},"uris":["http://www.mendeley.com/documents/?uuid=de19e31c-e078-4e90-ac74-ec4a9623e120"]}],"mendeley":{"formattedCitation":"(National Toxicology Program, 2020)","plainTextFormattedCitation":"(National Toxicology Program, 2020)","previouslyFormattedCitation":"(National Toxicology Program, 2020)"},"properties":{"noteIndex":0},"schema":"https://github.com/citation-style-language/schema/raw/master/csl-citation.json"}</w:instrText>
      </w:r>
      <w:r w:rsidR="002E5067" w:rsidRPr="00465302">
        <w:fldChar w:fldCharType="separate"/>
      </w:r>
      <w:r w:rsidR="002E5067" w:rsidRPr="00465302">
        <w:rPr>
          <w:noProof/>
        </w:rPr>
        <w:t>(National Toxicology Program, 2020)</w:t>
      </w:r>
      <w:r w:rsidR="002E5067" w:rsidRPr="00465302">
        <w:fldChar w:fldCharType="end"/>
      </w:r>
      <w:r w:rsidRPr="00465302">
        <w:t>. In 2018, over 3.8 billion pounds of chemicals were released into the environment</w:t>
      </w:r>
      <w:r w:rsidR="002E5067" w:rsidRPr="00465302">
        <w:t xml:space="preserve"> </w:t>
      </w:r>
      <w:r w:rsidR="002E5067" w:rsidRPr="00465302">
        <w:fldChar w:fldCharType="begin" w:fldLock="1"/>
      </w:r>
      <w:r w:rsidR="002E5067" w:rsidRPr="00465302">
        <w:instrText>ADDIN CSL_CITATION {"citationItems":[{"id":"ITEM-1","itemData":{"author":[{"dropping-particle":"","family":"Environmental Protection Agency","given":"","non-dropping-particle":"","parse-names":false,"suffix":""}],"container-title":"TRI National Analysis:Release of Chemicals","id":"ITEM-1","issue":"January","issued":{"date-parts":[["2018"]]},"page":"1-22","title":"Releases of Chemicals","type":"article-journal"},"uris":["http://www.mendeley.com/documents/?uuid=90431cfd-0df4-40d7-b07b-660b175c2560"]}],"mendeley":{"formattedCitation":"(Environmental Protection Agency, 2018)","plainTextFormattedCitation":"(Environmental Protection Agency, 2018)","previouslyFormattedCitation":"(Environmental Protection Agency, 2018)"},"properties":{"noteIndex":0},"schema":"https://github.com/citation-style-language/schema/raw/master/csl-citation.json"}</w:instrText>
      </w:r>
      <w:r w:rsidR="002E5067" w:rsidRPr="00465302">
        <w:fldChar w:fldCharType="separate"/>
      </w:r>
      <w:r w:rsidR="002E5067" w:rsidRPr="00465302">
        <w:rPr>
          <w:noProof/>
        </w:rPr>
        <w:t>(Environmental Protection Agency, 2018)</w:t>
      </w:r>
      <w:r w:rsidR="002E5067" w:rsidRPr="00465302">
        <w:fldChar w:fldCharType="end"/>
      </w:r>
      <w:r w:rsidRPr="00465302">
        <w:t xml:space="preserve">. </w:t>
      </w:r>
    </w:p>
    <w:p w14:paraId="19B84AAC" w14:textId="77777777" w:rsidR="00946607" w:rsidRPr="00465302" w:rsidRDefault="00946607" w:rsidP="00317481">
      <w:pPr>
        <w:pStyle w:val="Heading3"/>
      </w:pPr>
      <w:bookmarkStart w:id="9" w:name="_Toc39502026"/>
      <w:r w:rsidRPr="00465302">
        <w:t>1.1.1 Chemical Regulation</w:t>
      </w:r>
      <w:bookmarkEnd w:id="9"/>
    </w:p>
    <w:p w14:paraId="4E15578A" w14:textId="35A7B848" w:rsidR="00946607" w:rsidRPr="00465302" w:rsidRDefault="00946607" w:rsidP="00946607">
      <w:pPr>
        <w:pStyle w:val="NormalWeb"/>
        <w:spacing w:before="0" w:beforeAutospacing="0" w:after="240" w:afterAutospacing="0" w:line="480" w:lineRule="auto"/>
        <w:jc w:val="both"/>
      </w:pPr>
      <w:r w:rsidRPr="00465302">
        <w:t>Due to the growing concern about the exposure and potential impact of environmental toxicants, the U.S. Environmental Protection Agency (EPA) was formed in 1970</w:t>
      </w:r>
      <w:r w:rsidR="002E5067" w:rsidRPr="00465302">
        <w:t xml:space="preserve"> </w:t>
      </w:r>
      <w:r w:rsidR="002E5067" w:rsidRPr="00465302">
        <w:fldChar w:fldCharType="begin" w:fldLock="1"/>
      </w:r>
      <w:r w:rsidR="002E5067" w:rsidRPr="00465302">
        <w:instrText>ADDIN CSL_CITATION {"citationItems":[{"id":"ITEM-1","itemData":{"DOI":"10.17226/11970","ISBN":"978-0-309-15173-3","abstract":"Advances in molecular biology and toxicology are paving the way for major improvements in the evaluation of the hazards posed by the large number of chemicals found at low levels in the environment. The National Research Council was asked by the U.S. Environmental Protection Agency to review the state of the science and create a far-reaching vision for the future of toxicity testing. The book finds that developing, improving, and validating new laboratory tools based on recent scientific advances could significantly improve our ability to understand the hazards and risks posed by chemicals. This new knowledge would lead to much more informed environmental regulations and dramatically reduce the need for animal testing because the new tests would be based on human cells and cell components. Substantial scientific efforts and resources will be required to leverage these new technologies to realize the vision, but the result will be a more efficient, informative and less costly system for assessing the hazards posed by industrial chemicals and pesticides.","author":[{"dropping-particle":"","family":"National Research Council","given":"","non-dropping-particle":"","parse-names":false,"suffix":""}],"id":"ITEM-1","issued":{"date-parts":[["2007"]]},"language":"English","publisher":"The National Academies Press","publisher-place":"Washington, DC","title":"Toxicity Testing in the 21st Century: A Vision and a Strategy","type":"book"},"uris":["http://www.mendeley.com/documents/?uuid=e67dd169-4f3f-4cb6-99f4-9a6d10017f11"]}],"mendeley":{"formattedCitation":"(National Research Council, 2007)","plainTextFormattedCitation":"(National Research Council, 2007)","previouslyFormattedCitation":"(National Research Council, 2007)"},"properties":{"noteIndex":0},"schema":"https://github.com/citation-style-language/schema/raw/master/csl-citation.json"}</w:instrText>
      </w:r>
      <w:r w:rsidR="002E5067" w:rsidRPr="00465302">
        <w:fldChar w:fldCharType="separate"/>
      </w:r>
      <w:r w:rsidR="002E5067" w:rsidRPr="00465302">
        <w:rPr>
          <w:noProof/>
        </w:rPr>
        <w:t>(National Research Council, 2007)</w:t>
      </w:r>
      <w:r w:rsidR="002E5067" w:rsidRPr="00465302">
        <w:fldChar w:fldCharType="end"/>
      </w:r>
      <w:r w:rsidRPr="00465302">
        <w:t>. The EPA has established an environmental toxicants registration process to identify harmful chemicals to comply with state and federal laws. However, prior to 1976, exi</w:t>
      </w:r>
      <w:r w:rsidR="003D0348">
        <w:t>s</w:t>
      </w:r>
      <w:r w:rsidRPr="00465302">
        <w:t>ting industrial chemicals were not regulated and did not require toxicity testing</w:t>
      </w:r>
      <w:r w:rsidR="005A1250" w:rsidRPr="00465302">
        <w:t xml:space="preserve"> </w:t>
      </w:r>
      <w:r w:rsidR="00465302" w:rsidRPr="00465302">
        <w:fldChar w:fldCharType="begin" w:fldLock="1"/>
      </w:r>
      <w:r w:rsidR="00F63AEB">
        <w:instrText>ADDIN CSL_CITATION {"citationItems":[{"id":"ITEM-1","itemData":{"author":[{"dropping-particle":"","family":"Kraska","given":"R. C.","non-dropping-particle":"","parse-names":false,"suffix":""}],"container-title":"Regulatory Toxicology, 2nd Ed.,","id":"ITEM-1","issued":{"date-parts":[["2001"]]},"page":"244-276","title":"Industrial chemicals: Regulation of new and existing chemicals (The Toxic Substances Control Act and similar worldwide chemical control laws)","type":"chapter"},"uris":["http://www.mendeley.com/documents/?uuid=b5cf637d-07a2-41da-8df6-7e0926be8458"]}],"mendeley":{"formattedCitation":"(Kraska, 2001)","plainTextFormattedCitation":"(Kraska, 2001)","previouslyFormattedCitation":"(Kraska, 2001)"},"properties":{"noteIndex":0},"schema":"https://github.com/citation-style-language/schema/raw/master/csl-citation.json"}</w:instrText>
      </w:r>
      <w:r w:rsidR="00465302" w:rsidRPr="00465302">
        <w:fldChar w:fldCharType="separate"/>
      </w:r>
      <w:r w:rsidR="00465302" w:rsidRPr="00465302">
        <w:rPr>
          <w:noProof/>
        </w:rPr>
        <w:t>(Kraska, 2001)</w:t>
      </w:r>
      <w:r w:rsidR="00465302" w:rsidRPr="00465302">
        <w:fldChar w:fldCharType="end"/>
      </w:r>
      <w:r w:rsidRPr="00465302">
        <w:t>. By 2007, there were more than 10,000 compounds that required assessment</w:t>
      </w:r>
      <w:r w:rsidR="002E5067" w:rsidRPr="00465302">
        <w:t xml:space="preserve"> </w:t>
      </w:r>
      <w:r w:rsidR="002E5067" w:rsidRPr="00465302">
        <w:fldChar w:fldCharType="begin" w:fldLock="1"/>
      </w:r>
      <w:r w:rsidR="002E5067" w:rsidRPr="00465302">
        <w:instrText>ADDIN CSL_CITATION {"citationItems":[{"id":"ITEM-1","itemData":{"DOI":"10.1093/toxsci/kfl103","ISSN":"10966080","abstract":"The U.S. Environmental Protection Agency (EPA) is developing methods for utilizing computational chemistry, high-throughput screening (HTS), and various toxicogenomic technologies to predict potential for toxicity and prioritize limited testing resources toward chemicals that likely represent the greatest hazard to human health and the environment. This chemical prioritization research program, entitled ToxCast, is being initiated with the purpose of developing the ability to forecast toxicity based on bioactivity profiling. The proof-of-concept phase of ToxCast will focus upon chemicals with an existing, rich toxicological database in order to provide an interpretive context for the ToxCast data. This set of several hundred reference chemicals will represent numerous structural classes and phenotypic outcomes, including tumorigens, developmental and reproductive toxicants, neurotoxicants, and immunotoxicants. The ToxCast program will evaluate chemical properties and bioactivity profiles across a broad spectrum of data domains: physical-chemical, predicted biological activities based on existing structure-activity models, biochemical properties based on HTS assays, cell-based phenotypic assays, and genomic and metabolomic analyses of cells. These data will be generated through a series of external contracts, along with collaborations across EPA, with the National Toxicology Program, and with the National Institutes of Health Chemical Genomics Center. The resulting multidimensional data set provides an informatics challenge requiring appropriate computational methods for integrating various chemical, biological, and toxicological data into profiles and models predicting toxicity. © 2007 Oxford University Press.","author":[{"dropping-particle":"","family":"Dix","given":"David J.","non-dropping-particle":"","parse-names":false,"suffix":""},{"dropping-particle":"","family":"Houck","given":"Keith A.","non-dropping-particle":"","parse-names":false,"suffix":""},{"dropping-particle":"","family":"Martin","given":"Matthew T.","non-dropping-particle":"","parse-names":false,"suffix":""},{"dropping-particle":"","family":"Richard","given":"Ann M.","non-dropping-particle":"","parse-names":false,"suffix":""},{"dropping-particle":"","family":"Setzer","given":"R. Woodrow","non-dropping-particle":"","parse-names":false,"suffix":""},{"dropping-particle":"","family":"Kavlock","given":"Robert J.","non-dropping-particle":"","parse-names":false,"suffix":""}],"container-title":"Toxicological Sciences","id":"ITEM-1","issue":"1","issued":{"date-parts":[["2007"]]},"page":"5-12","title":"The toxcast program for prioritizing toxicity testing of environmental chemicals","type":"article-journal","volume":"95"},"uris":["http://www.mendeley.com/documents/?uuid=0275ece4-3f9e-4b5d-91b2-72aa57ec03e4"]}],"mendeley":{"formattedCitation":"(Dix &lt;i&gt;et al.&lt;/i&gt;, 2007)","plainTextFormattedCitation":"(Dix et al., 2007)","previouslyFormattedCitation":"(Dix &lt;i&gt;et al.&lt;/i&gt;, 2007)"},"properties":{"noteIndex":0},"schema":"https://github.com/citation-style-language/schema/raw/master/csl-citation.json"}</w:instrText>
      </w:r>
      <w:r w:rsidR="002E5067" w:rsidRPr="00465302">
        <w:fldChar w:fldCharType="separate"/>
      </w:r>
      <w:r w:rsidR="002E5067" w:rsidRPr="00465302">
        <w:rPr>
          <w:noProof/>
        </w:rPr>
        <w:t xml:space="preserve">(Dix </w:t>
      </w:r>
      <w:r w:rsidR="002E5067" w:rsidRPr="00465302">
        <w:rPr>
          <w:i/>
          <w:noProof/>
        </w:rPr>
        <w:t>et al.</w:t>
      </w:r>
      <w:r w:rsidR="002E5067" w:rsidRPr="00465302">
        <w:rPr>
          <w:noProof/>
        </w:rPr>
        <w:t>, 2007)</w:t>
      </w:r>
      <w:r w:rsidR="002E5067" w:rsidRPr="00465302">
        <w:fldChar w:fldCharType="end"/>
      </w:r>
      <w:r w:rsidRPr="00465302">
        <w:t>. The EPA requires the safety assessment of existing chemicals under the Toxic Substances Control Act (TSCA)</w:t>
      </w:r>
      <w:r w:rsidR="002E5067" w:rsidRPr="00465302">
        <w:t xml:space="preserve"> </w:t>
      </w:r>
      <w:r w:rsidR="002E5067" w:rsidRPr="00465302">
        <w:fldChar w:fldCharType="begin" w:fldLock="1"/>
      </w:r>
      <w:r w:rsidR="002E5067" w:rsidRPr="00465302">
        <w:instrText>ADDIN CSL_CITATION {"citationItems":[{"id":"ITEM-1","itemData":{"author":[{"dropping-particle":"","family":"Environmental Protection Agency","given":"","non-dropping-particle":"","parse-names":false,"suffix":""}],"container-title":"TRI National Analysis:Release of Chemicals","id":"ITEM-1","issue":"January","issued":{"date-parts":[["2018"]]},"page":"1-22","title":"Releases of Chemicals","type":"article-journal"},"uris":["http://www.mendeley.com/documents/?uuid=90431cfd-0df4-40d7-b07b-660b175c2560"]}],"mendeley":{"formattedCitation":"(Environmental Protection Agency, 2018)","plainTextFormattedCitation":"(Environmental Protection Agency, 2018)","previouslyFormattedCitation":"(Environmental Protection Agency, 2018)"},"properties":{"noteIndex":0},"schema":"https://github.com/citation-style-language/schema/raw/master/csl-citation.json"}</w:instrText>
      </w:r>
      <w:r w:rsidR="002E5067" w:rsidRPr="00465302">
        <w:fldChar w:fldCharType="separate"/>
      </w:r>
      <w:r w:rsidR="002E5067" w:rsidRPr="00465302">
        <w:rPr>
          <w:noProof/>
        </w:rPr>
        <w:t>(Environmental Protection Agency, 2018)</w:t>
      </w:r>
      <w:r w:rsidR="002E5067" w:rsidRPr="00465302">
        <w:fldChar w:fldCharType="end"/>
      </w:r>
      <w:r w:rsidRPr="00465302">
        <w:t>. The first step in assessing the safety of existing chemicals is structural-activity relationship analysis, which compares the structural relationship of chemicals with unknown biological activity to those with known activity</w:t>
      </w:r>
      <w:r w:rsidR="002E5067" w:rsidRPr="00465302">
        <w:t xml:space="preserve"> </w:t>
      </w:r>
      <w:r w:rsidR="002E5067" w:rsidRPr="00465302">
        <w:fldChar w:fldCharType="begin" w:fldLock="1"/>
      </w:r>
      <w:r w:rsidR="002E5067" w:rsidRPr="00465302">
        <w:instrText>ADDIN CSL_CITATION {"citationItems":[{"id":"ITEM-1","itemData":{"author":[{"dropping-particle":"","family":"Environmental Protection Agency","given":"","non-dropping-particle":"","parse-names":false,"suffix":""}],"container-title":"TRI National Analysis:Release of Chemicals","id":"ITEM-1","issue":"January","issued":{"date-parts":[["2018"]]},"page":"1-22","title":"Releases of Chemicals","type":"article-journal"},"uris":["http://www.mendeley.com/documents/?uuid=90431cfd-0df4-40d7-b07b-660b175c2560"]}],"mendeley":{"formattedCitation":"(Environmental Protection Agency, 2018)","plainTextFormattedCitation":"(Environmental Protection Agency, 2018)","previouslyFormattedCitation":"(Environmental Protection Agency, 2018)"},"properties":{"noteIndex":0},"schema":"https://github.com/citation-style-language/schema/raw/master/csl-citation.json"}</w:instrText>
      </w:r>
      <w:r w:rsidR="002E5067" w:rsidRPr="00465302">
        <w:fldChar w:fldCharType="separate"/>
      </w:r>
      <w:r w:rsidR="002E5067" w:rsidRPr="00465302">
        <w:rPr>
          <w:noProof/>
        </w:rPr>
        <w:t xml:space="preserve">(Environmental </w:t>
      </w:r>
      <w:r w:rsidR="002E5067" w:rsidRPr="00465302">
        <w:rPr>
          <w:noProof/>
        </w:rPr>
        <w:lastRenderedPageBreak/>
        <w:t>Protection Agency, 2018)</w:t>
      </w:r>
      <w:r w:rsidR="002E5067" w:rsidRPr="00465302">
        <w:fldChar w:fldCharType="end"/>
      </w:r>
      <w:r w:rsidRPr="00465302">
        <w:t>. To expedite the testing of environmental chemicals for environmental safety, the EPA initiated a research program entitled “ToxCast” (</w:t>
      </w:r>
      <w:r w:rsidR="007E4F02" w:rsidRPr="00465302">
        <w:t>T</w:t>
      </w:r>
      <w:r w:rsidRPr="00465302">
        <w:t xml:space="preserve">oxicity </w:t>
      </w:r>
      <w:r w:rsidR="007E4F02" w:rsidRPr="00465302">
        <w:t>F</w:t>
      </w:r>
      <w:r w:rsidRPr="00465302">
        <w:t>orecaster)</w:t>
      </w:r>
      <w:r w:rsidR="002E5067" w:rsidRPr="00465302">
        <w:t xml:space="preserve"> </w:t>
      </w:r>
      <w:r w:rsidR="002E5067" w:rsidRPr="00465302">
        <w:fldChar w:fldCharType="begin" w:fldLock="1"/>
      </w:r>
      <w:r w:rsidR="002E5067" w:rsidRPr="00465302">
        <w:instrText>ADDIN CSL_CITATION {"citationItems":[{"id":"ITEM-1","itemData":{"DOI":"10.1093/toxsci/kfl103","ISSN":"10966080","abstract":"The U.S. Environmental Protection Agency (EPA) is developing methods for utilizing computational chemistry, high-throughput screening (HTS), and various toxicogenomic technologies to predict potential for toxicity and prioritize limited testing resources toward chemicals that likely represent the greatest hazard to human health and the environment. This chemical prioritization research program, entitled ToxCast, is being initiated with the purpose of developing the ability to forecast toxicity based on bioactivity profiling. The proof-of-concept phase of ToxCast will focus upon chemicals with an existing, rich toxicological database in order to provide an interpretive context for the ToxCast data. This set of several hundred reference chemicals will represent numerous structural classes and phenotypic outcomes, including tumorigens, developmental and reproductive toxicants, neurotoxicants, and immunotoxicants. The ToxCast program will evaluate chemical properties and bioactivity profiles across a broad spectrum of data domains: physical-chemical, predicted biological activities based on existing structure-activity models, biochemical properties based on HTS assays, cell-based phenotypic assays, and genomic and metabolomic analyses of cells. These data will be generated through a series of external contracts, along with collaborations across EPA, with the National Toxicology Program, and with the National Institutes of Health Chemical Genomics Center. The resulting multidimensional data set provides an informatics challenge requiring appropriate computational methods for integrating various chemical, biological, and toxicological data into profiles and models predicting toxicity. © 2007 Oxford University Press.","author":[{"dropping-particle":"","family":"Dix","given":"David J.","non-dropping-particle":"","parse-names":false,"suffix":""},{"dropping-particle":"","family":"Houck","given":"Keith A.","non-dropping-particle":"","parse-names":false,"suffix":""},{"dropping-particle":"","family":"Martin","given":"Matthew T.","non-dropping-particle":"","parse-names":false,"suffix":""},{"dropping-particle":"","family":"Richard","given":"Ann M.","non-dropping-particle":"","parse-names":false,"suffix":""},{"dropping-particle":"","family":"Setzer","given":"R. Woodrow","non-dropping-particle":"","parse-names":false,"suffix":""},{"dropping-particle":"","family":"Kavlock","given":"Robert J.","non-dropping-particle":"","parse-names":false,"suffix":""}],"container-title":"Toxicological Sciences","id":"ITEM-1","issue":"1","issued":{"date-parts":[["2007"]]},"page":"5-12","title":"The toxcast program for prioritizing toxicity testing of environmental chemicals","type":"article-journal","volume":"95"},"uris":["http://www.mendeley.com/documents/?uuid=0275ece4-3f9e-4b5d-91b2-72aa57ec03e4"]},{"id":"ITEM-2","itemData":{"DOI":"10.1021/acs.chemrestox.6b00135","abstract":"The U.S. Environmental Protection Agency’s (EPA) ToxCast program is testing a large library of Agency-relevant chemicals using in vitro high-throughput screening (HTS) approaches in order to support development of improved toxicity prediction models. Launched in 2007, Phase I of the program screened 310 chemicals, mostly pesticides, across hundreds of ToxCast assay endpoints. In Phase II, the ToxCast library was expanded to 1878 chemicals, culminating in public release of screening data at the end of 2013. Subsequent expansion in Phase III has resulted in more than 3800 chemicals actively undergoing ToxCast screening, 96% of which are also being screened in the multi-Agency Tox21 project. The chemical library unpinning these efforts plays a central role in defining the scope and potential application of ToxCast HTS results. The history of the phased construction of EPA’s ToxCast library is reviewed here, followed by a survey of the library contents from several different vantage points. First, CAS Registry Numbers are used to assess ToxCast library coverage of important toxicity, regulatory, and exposure inventories. Structure-based representations of ToxCast chemicals are then used to compute physicochemical properties, substructural features, and structural alerts for toxicity and biotransformation. Cheminformatics approaches using these varied representations are applied to defining the boundaries of HTS testability, evaluating chemical diversity, and comparing the ToxCast library to potential target application inventories, such as used in EPA’s Endocrine Disruption Screening Program (EDSP). Through several examples, the ToxCast chemical library is demonstrated to provide excellent coverage of the knowledge domains and target inventories of potential interest to EPA. Furthermore, the varied representations and approaches presented here define local chemistry domains potentially worthy of further investigation (e.g., not currently covered in testing library, or defined by toxicity “alerts”) to strategically support data mining and predictive toxicology modeling moving forward.","author":[{"dropping-particle":"","family":"Richard","given":"Ann","non-dropping-particle":"","parse-names":false,"suffix":""},{"dropping-particle":"","family":"Judson","given":"Richard","non-dropping-particle":"","parse-names":false,"suffix":""},{"dropping-particle":"","family":"Houck","given":"Keith","non-dropping-particle":"","parse-names":false,"suffix":""},{"dropping-particle":"","family":"Grulke","given":"Christopher","non-dropping-particle":"","parse-names":false,"suffix":""},{"dropping-particle":"","family":"Volarath","given":"Patra","non-dropping-particle":"","parse-names":false,"suffix":""},{"dropping-particle":"","family":"Thillainadarajah","given":"Inthirany","non-dropping-particle":"","parse-names":false,"suffix":""},{"dropping-particle":"","family":"Yang","given":"Chihae","non-dropping-particle":"","parse-names":false,"suffix":""},{"dropping-particle":"","family":"Rathman","given":"James","non-dropping-particle":"","parse-names":false,"suffix":""},{"dropping-particle":"","family":"Martin","given":"Matthew","non-dropping-particle":"","parse-names":false,"suffix":""},{"dropping-particle":"","family":"Wambaugh","given":"John","non-dropping-particle":"","parse-names":false,"suffix":""},{"dropping-particle":"","family":"Knudsen","given":"Thomas","non-dropping-particle":"","parse-names":false,"suffix":""},{"dropping-particle":"","family":"Kancherla","given":"Jayaram","non-dropping-particle":"","parse-names":false,"suffix":""},{"dropping-particle":"","family":"Kamel","given":"Mansouri","non-dropping-particle":"","parse-names":false,"suffix":""},{"dropping-particle":"","family":"Patlewicz","given":"Grace","non-dropping-particle":"","parse-names":false,"suffix":""},{"dropping-particle":"","family":"Williams","given":"Antony","non-dropping-particle":"","parse-names":false,"suffix":""},{"dropping-particle":"","family":"Little","given":"Stephen","non-dropping-particle":"","parse-names":false,"suffix":""},{"dropping-particle":"","family":"Crofton","given":"Kevin","non-dropping-particle":"","parse-names":false,"suffix":""},{"dropping-particle":"","family":"Thomas","given":"Russell","non-dropping-particle":"","parse-names":false,"suffix":""}],"container-title":"Chemical Research in Toxicology","id":"ITEM-2","issued":{"date-parts":[["2016","7","1"]]},"title":"The ToxCast Chemical Landscape: Paving the Road to 21st Century Toxicology","type":"article-journal","volume":"29"},"uris":["http://www.mendeley.com/documents/?uuid=dea5c07c-8f28-485b-b68b-650ad14111ec"]}],"mendeley":{"formattedCitation":"(Dix &lt;i&gt;et al.&lt;/i&gt;, 2007; Richard &lt;i&gt;et al.&lt;/i&gt;, 2016)","plainTextFormattedCitation":"(Dix et al., 2007; Richard et al., 2016)","previouslyFormattedCitation":"(Dix &lt;i&gt;et al.&lt;/i&gt;, 2007; Richard &lt;i&gt;et al.&lt;/i&gt;, 2016)"},"properties":{"noteIndex":0},"schema":"https://github.com/citation-style-language/schema/raw/master/csl-citation.json"}</w:instrText>
      </w:r>
      <w:r w:rsidR="002E5067" w:rsidRPr="00465302">
        <w:fldChar w:fldCharType="separate"/>
      </w:r>
      <w:r w:rsidR="002E5067" w:rsidRPr="00465302">
        <w:rPr>
          <w:noProof/>
        </w:rPr>
        <w:t xml:space="preserve">(Dix </w:t>
      </w:r>
      <w:r w:rsidR="002E5067" w:rsidRPr="00465302">
        <w:rPr>
          <w:i/>
          <w:noProof/>
        </w:rPr>
        <w:t>et al.</w:t>
      </w:r>
      <w:r w:rsidR="002E5067" w:rsidRPr="00465302">
        <w:rPr>
          <w:noProof/>
        </w:rPr>
        <w:t xml:space="preserve">, 2007; Richard </w:t>
      </w:r>
      <w:r w:rsidR="002E5067" w:rsidRPr="00465302">
        <w:rPr>
          <w:i/>
          <w:noProof/>
        </w:rPr>
        <w:t>et al.</w:t>
      </w:r>
      <w:r w:rsidR="002E5067" w:rsidRPr="00465302">
        <w:rPr>
          <w:noProof/>
        </w:rPr>
        <w:t>, 2016)</w:t>
      </w:r>
      <w:r w:rsidR="002E5067" w:rsidRPr="00465302">
        <w:fldChar w:fldCharType="end"/>
      </w:r>
      <w:r w:rsidRPr="00465302">
        <w:t>. </w:t>
      </w:r>
    </w:p>
    <w:p w14:paraId="23CC25AC" w14:textId="77777777" w:rsidR="00946607" w:rsidRPr="00465302" w:rsidRDefault="00946607" w:rsidP="00317481">
      <w:pPr>
        <w:pStyle w:val="Heading3"/>
      </w:pPr>
      <w:bookmarkStart w:id="10" w:name="_Toc39502027"/>
      <w:r w:rsidRPr="00465302">
        <w:rPr>
          <w:rStyle w:val="Strong"/>
          <w:rFonts w:cs="Times New Roman"/>
          <w:b/>
        </w:rPr>
        <w:t>1.1.2 Toxic Substance Control Act</w:t>
      </w:r>
      <w:bookmarkEnd w:id="10"/>
    </w:p>
    <w:p w14:paraId="69CDF779" w14:textId="533EC255" w:rsidR="00946607" w:rsidRPr="00465302" w:rsidRDefault="00946607" w:rsidP="00946607">
      <w:pPr>
        <w:pStyle w:val="NormalWeb"/>
        <w:spacing w:before="0" w:beforeAutospacing="0" w:after="240" w:afterAutospacing="0" w:line="480" w:lineRule="auto"/>
        <w:jc w:val="both"/>
      </w:pPr>
      <w:r w:rsidRPr="00465302">
        <w:t>The Toxic Substance Control Act (TSCA) is a federal law that regulates industrial chemicals that have the potential to be harmful to humans or to the environment</w:t>
      </w:r>
      <w:r w:rsidR="002E5067" w:rsidRPr="00465302">
        <w:t xml:space="preserve"> </w:t>
      </w:r>
      <w:r w:rsidR="002E5067" w:rsidRPr="00465302">
        <w:fldChar w:fldCharType="begin" w:fldLock="1"/>
      </w:r>
      <w:r w:rsidR="002E5067" w:rsidRPr="00465302">
        <w:instrText>ADDIN CSL_CITATION {"citationItems":[{"id":"ITEM-1","itemData":{"author":[{"dropping-particle":"","family":"Environmental Protection Agency","given":"","non-dropping-particle":"","parse-names":false,"suffix":""}],"container-title":"TRI National Analysis:Release of Chemicals","id":"ITEM-1","issue":"January","issued":{"date-parts":[["2018"]]},"page":"1-22","title":"Releases of Chemicals","type":"article-journal"},"uris":["http://www.mendeley.com/documents/?uuid=90431cfd-0df4-40d7-b07b-660b175c2560"]}],"mendeley":{"formattedCitation":"(Environmental Protection Agency, 2018)","plainTextFormattedCitation":"(Environmental Protection Agency, 2018)","previouslyFormattedCitation":"(Environmental Protection Agency, 2018)"},"properties":{"noteIndex":0},"schema":"https://github.com/citation-style-language/schema/raw/master/csl-citation.json"}</w:instrText>
      </w:r>
      <w:r w:rsidR="002E5067" w:rsidRPr="00465302">
        <w:fldChar w:fldCharType="separate"/>
      </w:r>
      <w:r w:rsidR="002E5067" w:rsidRPr="00465302">
        <w:rPr>
          <w:noProof/>
        </w:rPr>
        <w:t>(Environmental Protection Agency, 2018)</w:t>
      </w:r>
      <w:r w:rsidR="002E5067" w:rsidRPr="00465302">
        <w:fldChar w:fldCharType="end"/>
      </w:r>
      <w:r w:rsidRPr="00465302">
        <w:t>. This law restricts the commercial production or import and export of industrial chemicals prior to EPA approval</w:t>
      </w:r>
      <w:r w:rsidR="002E5067" w:rsidRPr="00465302">
        <w:t xml:space="preserve"> </w:t>
      </w:r>
      <w:r w:rsidR="002E5067" w:rsidRPr="00465302">
        <w:fldChar w:fldCharType="begin" w:fldLock="1"/>
      </w:r>
      <w:r w:rsidR="002E5067" w:rsidRPr="00465302">
        <w:instrText>ADDIN CSL_CITATION {"citationItems":[{"id":"ITEM-1","itemData":{"author":[{"dropping-particle":"","family":"Environmental Protection Agency","given":"","non-dropping-particle":"","parse-names":false,"suffix":""}],"container-title":"TRI National Analysis:Release of Chemicals","id":"ITEM-1","issue":"January","issued":{"date-parts":[["2018"]]},"page":"1-22","title":"Releases of Chemicals","type":"article-journal"},"uris":["http://www.mendeley.com/documents/?uuid=90431cfd-0df4-40d7-b07b-660b175c2560"]}],"mendeley":{"formattedCitation":"(Environmental Protection Agency, 2018)","plainTextFormattedCitation":"(Environmental Protection Agency, 2018)","previouslyFormattedCitation":"(Environmental Protection Agency, 2018)"},"properties":{"noteIndex":0},"schema":"https://github.com/citation-style-language/schema/raw/master/csl-citation.json"}</w:instrText>
      </w:r>
      <w:r w:rsidR="002E5067" w:rsidRPr="00465302">
        <w:fldChar w:fldCharType="separate"/>
      </w:r>
      <w:r w:rsidR="002E5067" w:rsidRPr="00465302">
        <w:rPr>
          <w:noProof/>
        </w:rPr>
        <w:t>(Environmental Protection Agency, 2018)</w:t>
      </w:r>
      <w:r w:rsidR="002E5067" w:rsidRPr="00465302">
        <w:fldChar w:fldCharType="end"/>
      </w:r>
      <w:r w:rsidRPr="00465302">
        <w:t xml:space="preserve">. </w:t>
      </w:r>
    </w:p>
    <w:p w14:paraId="1D9BBB72" w14:textId="77777777" w:rsidR="00946607" w:rsidRPr="00465302" w:rsidRDefault="00946607" w:rsidP="00317481">
      <w:pPr>
        <w:pStyle w:val="Heading3"/>
      </w:pPr>
      <w:bookmarkStart w:id="11" w:name="_Toc39502028"/>
      <w:r w:rsidRPr="00465302">
        <w:t>1.1.3 ToxCast Program</w:t>
      </w:r>
      <w:bookmarkEnd w:id="11"/>
    </w:p>
    <w:p w14:paraId="7A72B9C3" w14:textId="606200F5" w:rsidR="00946607" w:rsidRPr="00465302" w:rsidRDefault="00946607" w:rsidP="00946607">
      <w:pPr>
        <w:pStyle w:val="NormalWeb"/>
        <w:spacing w:before="0" w:beforeAutospacing="0" w:after="240" w:afterAutospacing="0" w:line="480" w:lineRule="auto"/>
        <w:jc w:val="both"/>
      </w:pPr>
      <w:r w:rsidRPr="00465302">
        <w:t>In order to remedy the current limitations of toxicant screening, the EPA has initiated the ToxCast program</w:t>
      </w:r>
      <w:r w:rsidR="002E5067" w:rsidRPr="00465302">
        <w:t xml:space="preserve"> </w:t>
      </w:r>
      <w:r w:rsidR="002E5067" w:rsidRPr="00465302">
        <w:fldChar w:fldCharType="begin" w:fldLock="1"/>
      </w:r>
      <w:r w:rsidR="002E5067" w:rsidRPr="00465302">
        <w:instrText>ADDIN CSL_CITATION {"citationItems":[{"id":"ITEM-1","itemData":{"DOI":"10.1093/toxsci/kfl103","ISSN":"10966080","abstract":"The U.S. Environmental Protection Agency (EPA) is developing methods for utilizing computational chemistry, high-throughput screening (HTS), and various toxicogenomic technologies to predict potential for toxicity and prioritize limited testing resources toward chemicals that likely represent the greatest hazard to human health and the environment. This chemical prioritization research program, entitled ToxCast, is being initiated with the purpose of developing the ability to forecast toxicity based on bioactivity profiling. The proof-of-concept phase of ToxCast will focus upon chemicals with an existing, rich toxicological database in order to provide an interpretive context for the ToxCast data. This set of several hundred reference chemicals will represent numerous structural classes and phenotypic outcomes, including tumorigens, developmental and reproductive toxicants, neurotoxicants, and immunotoxicants. The ToxCast program will evaluate chemical properties and bioactivity profiles across a broad spectrum of data domains: physical-chemical, predicted biological activities based on existing structure-activity models, biochemical properties based on HTS assays, cell-based phenotypic assays, and genomic and metabolomic analyses of cells. These data will be generated through a series of external contracts, along with collaborations across EPA, with the National Toxicology Program, and with the National Institutes of Health Chemical Genomics Center. The resulting multidimensional data set provides an informatics challenge requiring appropriate computational methods for integrating various chemical, biological, and toxicological data into profiles and models predicting toxicity. © 2007 Oxford University Press.","author":[{"dropping-particle":"","family":"Dix","given":"David J.","non-dropping-particle":"","parse-names":false,"suffix":""},{"dropping-particle":"","family":"Houck","given":"Keith A.","non-dropping-particle":"","parse-names":false,"suffix":""},{"dropping-particle":"","family":"Martin","given":"Matthew T.","non-dropping-particle":"","parse-names":false,"suffix":""},{"dropping-particle":"","family":"Richard","given":"Ann M.","non-dropping-particle":"","parse-names":false,"suffix":""},{"dropping-particle":"","family":"Setzer","given":"R. Woodrow","non-dropping-particle":"","parse-names":false,"suffix":""},{"dropping-particle":"","family":"Kavlock","given":"Robert J.","non-dropping-particle":"","parse-names":false,"suffix":""}],"container-title":"Toxicological Sciences","id":"ITEM-1","issue":"1","issued":{"date-parts":[["2007"]]},"page":"5-12","title":"The toxcast program for prioritizing toxicity testing of environmental chemicals","type":"article-journal","volume":"95"},"uris":["http://www.mendeley.com/documents/?uuid=0275ece4-3f9e-4b5d-91b2-72aa57ec03e4"]},{"id":"ITEM-2","itemData":{"DOI":"10.1289/ehp.0901392","ISSN":"00916765","abstract":"Background: Chemical toxicity testing is being transformed by advances in biology and computer modeling, concerns over animal use, and the thousands of environmental chemicals lacking toxicity data. The U.S. Environmental Protection Agency's ToxCast program aims to address these concerns by screening and prioritizing chemicals for potential human toxicity using in vitro assays and in silico approaches. Objectives: This project aims to evaluate the use of in vitro assays for understanding the types of molecular and pathway perturbations caused by environmental chemicals and to build initial prioritization models of in vivo toxicity. Methods: We tested 309 mostly pesticide active chemicals in 467 assays across nine technologies, including high-throughput cell-free assays and cell-based assays, in multiple human primary cells and cell lines plus rat primary hepatocytes. Both individual and composite scores for effects on genes and pathways were analyzed. Results: Chemicals displayed a broad spectrum of activity at the molecular and pathway levels. We saw many expected interactions, including endocrine and xenobiotic metabolism enzyme activity. Chemicals ranged in promiscuity across pathways, from no activity to affecting dozens of pathways. We found a statistically significant inverse association between the number of pathways perturbed by a chemical at low in vitro concentrations and the lowest in vivo dose at which a chemical causes toxicity. We also found associations between a small set of in vitro assays and rodent liver lesion formation. Conclusions: This approach promises to provide meaningful data on the thousands of untested environmental chemicals and to guide targeted testing of environmental contaminants.","author":[{"dropping-particle":"","family":"Judson","given":"Richard S.","non-dropping-particle":"","parse-names":false,"suffix":""},{"dropping-particle":"","family":"Houck","given":"Keith A.","non-dropping-particle":"","parse-names":false,"suffix":""},{"dropping-particle":"","family":"Kavlock","given":"Robert J.","non-dropping-particle":"","parse-names":false,"suffix":""},{"dropping-particle":"","family":"Knudsen","given":"Thomas B.","non-dropping-particle":"","parse-names":false,"suffix":""},{"dropping-particle":"","family":"Martin","given":"Matthew T.","non-dropping-particle":"","parse-names":false,"suffix":""},{"dropping-particle":"","family":"Mortensen","given":"Holly M.","non-dropping-particle":"","parse-names":false,"suffix":""},{"dropping-particle":"","family":"Reif","given":"David M.","non-dropping-particle":"","parse-names":false,"suffix":""},{"dropping-particle":"","family":"Rotroff","given":"Daniel M.","non-dropping-particle":"","parse-names":false,"suffix":""},{"dropping-particle":"","family":"Shah","given":"Imran","non-dropping-particle":"","parse-names":false,"suffix":""},{"dropping-particle":"","family":"Richard","given":"Ann M.","non-dropping-particle":"","parse-names":false,"suffix":""},{"dropping-particle":"","family":"Dix","given":"David J.","non-dropping-particle":"","parse-names":false,"suffix":""}],"container-title":"Environmental Health Perspectives","id":"ITEM-2","issue":"4","issued":{"date-parts":[["2010"]]},"page":"485-492","title":"In vitro screening of environmental chemicals for targeted testing prioritization: The toxcast project","type":"article-journal","volume":"118"},"uris":["http://www.mendeley.com/documents/?uuid=3bb70142-ff0e-43e5-9911-56204f4cecc0"]}],"mendeley":{"formattedCitation":"(Dix &lt;i&gt;et al.&lt;/i&gt;, 2007; Judson &lt;i&gt;et al.&lt;/i&gt;, 2010)","plainTextFormattedCitation":"(Dix et al., 2007; Judson et al., 2010)","previouslyFormattedCitation":"(Dix &lt;i&gt;et al.&lt;/i&gt;, 2007; Judson &lt;i&gt;et al.&lt;/i&gt;, 2010)"},"properties":{"noteIndex":0},"schema":"https://github.com/citation-style-language/schema/raw/master/csl-citation.json"}</w:instrText>
      </w:r>
      <w:r w:rsidR="002E5067" w:rsidRPr="00465302">
        <w:fldChar w:fldCharType="separate"/>
      </w:r>
      <w:r w:rsidR="002E5067" w:rsidRPr="00465302">
        <w:rPr>
          <w:noProof/>
        </w:rPr>
        <w:t xml:space="preserve">(Dix </w:t>
      </w:r>
      <w:r w:rsidR="002E5067" w:rsidRPr="00465302">
        <w:rPr>
          <w:i/>
          <w:noProof/>
        </w:rPr>
        <w:t>et al.</w:t>
      </w:r>
      <w:r w:rsidR="002E5067" w:rsidRPr="00465302">
        <w:rPr>
          <w:noProof/>
        </w:rPr>
        <w:t xml:space="preserve">, 2007; Judson </w:t>
      </w:r>
      <w:r w:rsidR="002E5067" w:rsidRPr="00465302">
        <w:rPr>
          <w:i/>
          <w:noProof/>
        </w:rPr>
        <w:t>et al.</w:t>
      </w:r>
      <w:r w:rsidR="002E5067" w:rsidRPr="00465302">
        <w:rPr>
          <w:noProof/>
        </w:rPr>
        <w:t>, 2010)</w:t>
      </w:r>
      <w:r w:rsidR="002E5067" w:rsidRPr="00465302">
        <w:fldChar w:fldCharType="end"/>
      </w:r>
      <w:r w:rsidRPr="00465302">
        <w:t xml:space="preserve">. The ToxCast Program is an acumination of several integrated technologies that are used to determine the potential toxicity of </w:t>
      </w:r>
      <w:r w:rsidRPr="00465302">
        <w:rPr>
          <w:color w:val="000000"/>
          <w:shd w:val="clear" w:color="auto" w:fill="FFFFFF"/>
        </w:rPr>
        <w:t xml:space="preserve">chemicals in the </w:t>
      </w:r>
      <w:r w:rsidRPr="00465302">
        <w:t>TSCA data bank. Through its Computational Toxicology Research (CompTox) Program, EPA is attempting to identify and evaluate the safety of these chemicals by compiling structurally-similar and biologically active chemicals with those of known toxicants into an algorithm that will prioritize chemicals for testing based on their potential toxicity in humans</w:t>
      </w:r>
      <w:r w:rsidR="002E5067" w:rsidRPr="00465302">
        <w:t xml:space="preserve"> </w:t>
      </w:r>
      <w:r w:rsidR="002E5067" w:rsidRPr="00465302">
        <w:fldChar w:fldCharType="begin" w:fldLock="1"/>
      </w:r>
      <w:r w:rsidR="002E5067" w:rsidRPr="00465302">
        <w:instrText>ADDIN CSL_CITATION {"citationItems":[{"id":"ITEM-1","itemData":{"author":[{"dropping-particle":"","family":"Environmental Protection Agency","given":"","non-dropping-particle":"","parse-names":false,"suffix":""}],"container-title":"TRI National Analysis:Release of Chemicals","id":"ITEM-1","issue":"January","issued":{"date-parts":[["2018"]]},"page":"1-22","title":"Releases of Chemicals","type":"article-journal"},"uris":["http://www.mendeley.com/documents/?uuid=90431cfd-0df4-40d7-b07b-660b175c2560"]}],"mendeley":{"formattedCitation":"(Environmental Protection Agency, 2018)","plainTextFormattedCitation":"(Environmental Protection Agency, 2018)","previouslyFormattedCitation":"(Environmental Protection Agency, 2018)"},"properties":{"noteIndex":0},"schema":"https://github.com/citation-style-language/schema/raw/master/csl-citation.json"}</w:instrText>
      </w:r>
      <w:r w:rsidR="002E5067" w:rsidRPr="00465302">
        <w:fldChar w:fldCharType="separate"/>
      </w:r>
      <w:r w:rsidR="002E5067" w:rsidRPr="00465302">
        <w:rPr>
          <w:noProof/>
        </w:rPr>
        <w:t>(Environmental Protection Agency, 2018)</w:t>
      </w:r>
      <w:r w:rsidR="002E5067" w:rsidRPr="00465302">
        <w:fldChar w:fldCharType="end"/>
      </w:r>
      <w:r w:rsidRPr="00465302">
        <w:t>. This system can evaluate thousands of chemicals for potential toxicity and prioriti</w:t>
      </w:r>
      <w:r w:rsidR="003D0348">
        <w:t>ze</w:t>
      </w:r>
      <w:r w:rsidRPr="00465302">
        <w:t xml:space="preserve"> them for further </w:t>
      </w:r>
      <w:r w:rsidR="007E4F02" w:rsidRPr="00465302">
        <w:t>testing</w:t>
      </w:r>
      <w:r w:rsidRPr="00465302">
        <w:t>. ToxCast is a multi-year, multi-phase, automated high-throughput screening program used to determine the potential toxic activity of chemicals identified in the CompTox analysis</w:t>
      </w:r>
      <w:r w:rsidR="002E5067" w:rsidRPr="00465302">
        <w:t xml:space="preserve"> </w:t>
      </w:r>
      <w:r w:rsidR="002E5067" w:rsidRPr="00465302">
        <w:fldChar w:fldCharType="begin" w:fldLock="1"/>
      </w:r>
      <w:r w:rsidR="00822DA4" w:rsidRPr="00465302">
        <w:instrText>ADDIN CSL_CITATION {"citationItems":[{"id":"ITEM-1","itemData":{"author":[{"dropping-particle":"","family":"Environmental Protection Agency","given":"","non-dropping-particle":"","parse-names":false,"suffix":""}],"container-title":"TRI National Analysis:Release of Chemicals","id":"ITEM-1","issue":"January","issued":{"date-parts":[["2018"]]},"page":"1-22","title":"Releases of Chemicals","type":"article-journal"},"uris":["http://www.mendeley.com/documents/?uuid=90431cfd-0df4-40d7-b07b-660b175c2560"]}],"mendeley":{"formattedCitation":"(Environmental Protection Agency, 2018)","plainTextFormattedCitation":"(Environmental Protection Agency, 2018)","previouslyFormattedCitation":"(Environmental Protection Agency, 2018)"},"properties":{"noteIndex":0},"schema":"https://github.com/citation-style-language/schema/raw/master/csl-citation.json"}</w:instrText>
      </w:r>
      <w:r w:rsidR="002E5067" w:rsidRPr="00465302">
        <w:fldChar w:fldCharType="separate"/>
      </w:r>
      <w:r w:rsidR="002E5067" w:rsidRPr="00465302">
        <w:rPr>
          <w:noProof/>
        </w:rPr>
        <w:t>(Environmental Protection Agency, 2018)</w:t>
      </w:r>
      <w:r w:rsidR="002E5067" w:rsidRPr="00465302">
        <w:fldChar w:fldCharType="end"/>
      </w:r>
      <w:r w:rsidRPr="00465302">
        <w:t xml:space="preserve">. ToxCast was established to not only speed up the identification of environmental toxicants but also to limit the number of required laboratory animals used in classical toxicity screening. The initial phase </w:t>
      </w:r>
      <w:r w:rsidR="006F34E3">
        <w:t xml:space="preserve">(Phase I) </w:t>
      </w:r>
      <w:r w:rsidRPr="00465302">
        <w:t xml:space="preserve">of the </w:t>
      </w:r>
      <w:r w:rsidRPr="00465302">
        <w:lastRenderedPageBreak/>
        <w:t>ToxCast program screened 292 chemicals in over 700 high-throughput screening assays</w:t>
      </w:r>
      <w:r w:rsidR="00822DA4" w:rsidRPr="00465302">
        <w:t xml:space="preserve"> </w:t>
      </w:r>
      <w:r w:rsidR="00822DA4" w:rsidRPr="00465302">
        <w:fldChar w:fldCharType="begin" w:fldLock="1"/>
      </w:r>
      <w:r w:rsidR="00822DA4" w:rsidRPr="00465302">
        <w:instrText>ADDIN CSL_CITATION {"citationItems":[{"id":"ITEM-1","itemData":{"author":[{"dropping-particle":"","family":"Environmental Protection Agency","given":"","non-dropping-particle":"","parse-names":false,"suffix":""}],"container-title":"TRI National Analysis:Release of Chemicals","id":"ITEM-1","issue":"January","issued":{"date-parts":[["2018"]]},"page":"1-22","title":"Releases of Chemicals","type":"article-journal"},"uris":["http://www.mendeley.com/documents/?uuid=90431cfd-0df4-40d7-b07b-660b175c2560"]}],"mendeley":{"formattedCitation":"(Environmental Protection Agency, 2018)","plainTextFormattedCitation":"(Environmental Protection Agency, 2018)","previouslyFormattedCitation":"(Environmental Protection Agency, 2018)"},"properties":{"noteIndex":0},"schema":"https://github.com/citation-style-language/schema/raw/master/csl-citation.json"}</w:instrText>
      </w:r>
      <w:r w:rsidR="00822DA4" w:rsidRPr="00465302">
        <w:fldChar w:fldCharType="separate"/>
      </w:r>
      <w:r w:rsidR="00822DA4" w:rsidRPr="00465302">
        <w:rPr>
          <w:noProof/>
        </w:rPr>
        <w:t>(Environmental Protection Agency, 2018)</w:t>
      </w:r>
      <w:r w:rsidR="00822DA4" w:rsidRPr="00465302">
        <w:fldChar w:fldCharType="end"/>
      </w:r>
      <w:r w:rsidRPr="00465302">
        <w:t xml:space="preserve">. The majority of these chemicals were also evaluated in animal models which allowed the direct comparison of the ToxCast screening to the standard animal models. ToxCast Phase II and III resulted in the screening of over 4500 chemicals, and the results, which are </w:t>
      </w:r>
      <w:r w:rsidR="003D0348" w:rsidRPr="00465302">
        <w:t>publicly</w:t>
      </w:r>
      <w:r w:rsidRPr="00465302">
        <w:t xml:space="preserve"> available, have changed the way chemicals are identified and evaluated for human and environmental safety</w:t>
      </w:r>
      <w:r w:rsidR="00822DA4" w:rsidRPr="00465302">
        <w:t xml:space="preserve"> </w:t>
      </w:r>
      <w:r w:rsidR="00822DA4" w:rsidRPr="00465302">
        <w:fldChar w:fldCharType="begin" w:fldLock="1"/>
      </w:r>
      <w:r w:rsidR="00822DA4" w:rsidRPr="00465302">
        <w:instrText>ADDIN CSL_CITATION {"citationItems":[{"id":"ITEM-1","itemData":{"author":[{"dropping-particle":"","family":"Environmental Protection Agency","given":"","non-dropping-particle":"","parse-names":false,"suffix":""}],"container-title":"TRI National Analysis:Release of Chemicals","id":"ITEM-1","issue":"January","issued":{"date-parts":[["2018"]]},"page":"1-22","title":"Releases of Chemicals","type":"article-journal"},"uris":["http://www.mendeley.com/documents/?uuid=90431cfd-0df4-40d7-b07b-660b175c2560"]}],"mendeley":{"formattedCitation":"(Environmental Protection Agency, 2018)","plainTextFormattedCitation":"(Environmental Protection Agency, 2018)","previouslyFormattedCitation":"(Environmental Protection Agency, 2018)"},"properties":{"noteIndex":0},"schema":"https://github.com/citation-style-language/schema/raw/master/csl-citation.json"}</w:instrText>
      </w:r>
      <w:r w:rsidR="00822DA4" w:rsidRPr="00465302">
        <w:fldChar w:fldCharType="separate"/>
      </w:r>
      <w:r w:rsidR="00822DA4" w:rsidRPr="00465302">
        <w:rPr>
          <w:noProof/>
        </w:rPr>
        <w:t>(Environmental Protection Agency, 2018)</w:t>
      </w:r>
      <w:r w:rsidR="00822DA4" w:rsidRPr="00465302">
        <w:fldChar w:fldCharType="end"/>
      </w:r>
      <w:r w:rsidRPr="00465302">
        <w:t>.</w:t>
      </w:r>
    </w:p>
    <w:p w14:paraId="1E4D5445" w14:textId="77777777" w:rsidR="00946607" w:rsidRPr="00465302" w:rsidRDefault="00946607" w:rsidP="00317481">
      <w:pPr>
        <w:pStyle w:val="Heading3"/>
        <w:rPr>
          <w:color w:val="201F1E"/>
        </w:rPr>
      </w:pPr>
      <w:bookmarkStart w:id="12" w:name="_Toc39502029"/>
      <w:r w:rsidRPr="00465302">
        <w:rPr>
          <w:bdr w:val="none" w:sz="0" w:space="0" w:color="auto" w:frame="1"/>
        </w:rPr>
        <w:t>1.1.4 ToxPi GUI</w:t>
      </w:r>
      <w:bookmarkEnd w:id="12"/>
    </w:p>
    <w:p w14:paraId="17A69A3C" w14:textId="0F810F99" w:rsidR="00946607" w:rsidRPr="00465302" w:rsidRDefault="00946607" w:rsidP="00946607">
      <w:pPr>
        <w:pStyle w:val="xmsonormal"/>
        <w:shd w:val="clear" w:color="auto" w:fill="FFFFFF"/>
        <w:spacing w:before="0" w:beforeAutospacing="0" w:after="240" w:afterAutospacing="0" w:line="480" w:lineRule="auto"/>
        <w:jc w:val="both"/>
        <w:rPr>
          <w:color w:val="201F1E"/>
        </w:rPr>
      </w:pPr>
      <w:r w:rsidRPr="00465302">
        <w:rPr>
          <w:color w:val="202020"/>
          <w:bdr w:val="none" w:sz="0" w:space="0" w:color="auto" w:frame="1"/>
        </w:rPr>
        <w:t>The Toxicity Prioritization Index (ToxPi) graphical user interface (GUI) is an analytical framework developed by EPA that allows toxicity data from various sources or assays to be transformed into integrated, visual profiles that offers the most effective means of communicating complex data. In addition to this, ToxPi GUI has the ability to assess chemical safety by prioritizing the order of chemicals, as well as visualizing the contribution of each data source towards a chemical’s activity or risk profile</w:t>
      </w:r>
      <w:r w:rsidR="00822DA4" w:rsidRPr="00465302">
        <w:rPr>
          <w:color w:val="202020"/>
          <w:bdr w:val="none" w:sz="0" w:space="0" w:color="auto" w:frame="1"/>
        </w:rPr>
        <w:t xml:space="preserve"> </w:t>
      </w:r>
      <w:r w:rsidR="00822DA4" w:rsidRPr="00465302">
        <w:rPr>
          <w:color w:val="202020"/>
          <w:bdr w:val="none" w:sz="0" w:space="0" w:color="auto" w:frame="1"/>
        </w:rPr>
        <w:fldChar w:fldCharType="begin" w:fldLock="1"/>
      </w:r>
      <w:r w:rsidR="00822DA4" w:rsidRPr="00465302">
        <w:rPr>
          <w:color w:val="202020"/>
          <w:bdr w:val="none" w:sz="0" w:space="0" w:color="auto" w:frame="1"/>
        </w:rPr>
        <w:instrText>ADDIN CSL_CITATION {"citationItems":[{"id":"ITEM-1","itemData":{"DOI":"10.1186/s12859-018-2089-2","ISSN":"1471-2105","abstract":"BACKGROUND: Drawing integrated conclusions from diverse source data requires synthesis across multiple types of information. The ToxPi (Toxicological Prioritization Index) is an analytical framework that was developed to enable integration of multiple sources of evidence by transforming data into integrated, visual profiles. Methodological improvements have advanced ToxPi and expanded its applicability, necessitating a new, consolidated software platform to provide functionality, while preserving flexibility for future updates. RESULTS: We detail the implementation of a new graphical user interface for ToxPi (Toxicological Prioritization Index) that provides interactive visualization, analysis, reporting, and portability. The interface is deployed as a stand-alone, platform-independent Java application, with a modular design to accommodate inclusion of future analytics. The new ToxPi interface introduces several features, from flexible data import formats (including legacy formats that permit backward compatibility) to similarity-based clustering to options for high-resolution graphical output. CONCLUSIONS: We present the new ToxPi interface for dynamic exploration, visualization, and sharing of integrated data models. The ToxPi interface is freely-available as a single compressed download that includes the main Java executable, all libraries, example data files, and a complete user manual from http://toxpi.org .","author":[{"dropping-particle":"","family":"Marvel","given":"Skylar W","non-dropping-particle":"","parse-names":false,"suffix":""},{"dropping-particle":"","family":"To","given":"Kimberly","non-dropping-particle":"","parse-names":false,"suffix":""},{"dropping-particle":"","family":"Grimm","given":"Fabian A","non-dropping-particle":"","parse-names":false,"suffix":""},{"dropping-particle":"","family":"Wright","given":"Fred A","non-dropping-particle":"","parse-names":false,"suffix":""},{"dropping-particle":"","family":"Rusyn","given":"Ivan","non-dropping-particle":"","parse-names":false,"suffix":""},{"dropping-particle":"","family":"Reif","given":"David M","non-dropping-particle":"","parse-names":false,"suffix":""}],"container-title":"BMC bioinformatics","id":"ITEM-1","issue":"1","issued":{"date-parts":[["2018","3","5"]]},"language":"eng","page":"80","publisher":"BioMed Central","title":"ToxPi Graphical User Interface 2.0: Dynamic exploration, visualization, and sharing of integrated data models","type":"article-journal","volume":"19"},"uris":["http://www.mendeley.com/documents/?uuid=7a2593a6-00fb-4649-8637-5236534ca1c2"]}],"mendeley":{"formattedCitation":"(Marvel &lt;i&gt;et al.&lt;/i&gt;, 2018)","plainTextFormattedCitation":"(Marvel et al., 2018)","previouslyFormattedCitation":"(Marvel &lt;i&gt;et al.&lt;/i&gt;, 2018)"},"properties":{"noteIndex":0},"schema":"https://github.com/citation-style-language/schema/raw/master/csl-citation.json"}</w:instrText>
      </w:r>
      <w:r w:rsidR="00822DA4" w:rsidRPr="00465302">
        <w:rPr>
          <w:color w:val="202020"/>
          <w:bdr w:val="none" w:sz="0" w:space="0" w:color="auto" w:frame="1"/>
        </w:rPr>
        <w:fldChar w:fldCharType="separate"/>
      </w:r>
      <w:r w:rsidR="00822DA4" w:rsidRPr="00465302">
        <w:rPr>
          <w:noProof/>
          <w:color w:val="202020"/>
          <w:bdr w:val="none" w:sz="0" w:space="0" w:color="auto" w:frame="1"/>
        </w:rPr>
        <w:t xml:space="preserve">(Marvel </w:t>
      </w:r>
      <w:r w:rsidR="00822DA4" w:rsidRPr="00465302">
        <w:rPr>
          <w:i/>
          <w:noProof/>
          <w:color w:val="202020"/>
          <w:bdr w:val="none" w:sz="0" w:space="0" w:color="auto" w:frame="1"/>
        </w:rPr>
        <w:t>et al.</w:t>
      </w:r>
      <w:r w:rsidR="00822DA4" w:rsidRPr="00465302">
        <w:rPr>
          <w:noProof/>
          <w:color w:val="202020"/>
          <w:bdr w:val="none" w:sz="0" w:space="0" w:color="auto" w:frame="1"/>
        </w:rPr>
        <w:t>, 2018)</w:t>
      </w:r>
      <w:r w:rsidR="00822DA4" w:rsidRPr="00465302">
        <w:rPr>
          <w:color w:val="202020"/>
          <w:bdr w:val="none" w:sz="0" w:space="0" w:color="auto" w:frame="1"/>
        </w:rPr>
        <w:fldChar w:fldCharType="end"/>
      </w:r>
      <w:r w:rsidRPr="00465302">
        <w:rPr>
          <w:color w:val="202020"/>
          <w:bdr w:val="none" w:sz="0" w:space="0" w:color="auto" w:frame="1"/>
        </w:rPr>
        <w:t>. </w:t>
      </w:r>
    </w:p>
    <w:p w14:paraId="6D77A7FE" w14:textId="77777777" w:rsidR="00946607" w:rsidRPr="00465302" w:rsidRDefault="00946607" w:rsidP="00317481">
      <w:pPr>
        <w:pStyle w:val="Heading3"/>
      </w:pPr>
      <w:bookmarkStart w:id="13" w:name="_Toc39502030"/>
      <w:r w:rsidRPr="00465302">
        <w:t>1.1.5 Limitations of Current Toxicant Screening Methods</w:t>
      </w:r>
      <w:bookmarkEnd w:id="13"/>
    </w:p>
    <w:p w14:paraId="22749DF5" w14:textId="7F9D1D3F" w:rsidR="00946607" w:rsidRPr="00465302" w:rsidRDefault="00946607" w:rsidP="00946607">
      <w:pPr>
        <w:pStyle w:val="NormalWeb"/>
        <w:spacing w:before="0" w:beforeAutospacing="0" w:after="240" w:afterAutospacing="0" w:line="480" w:lineRule="auto"/>
        <w:jc w:val="both"/>
      </w:pPr>
      <w:r w:rsidRPr="00465302">
        <w:t xml:space="preserve">Traditional toxicology testing </w:t>
      </w:r>
      <w:r w:rsidRPr="00465302">
        <w:rPr>
          <w:color w:val="000000"/>
          <w:shd w:val="clear" w:color="auto" w:fill="FFFFFF"/>
        </w:rPr>
        <w:t xml:space="preserve">relies on specific toxicological endpoints that are determined through </w:t>
      </w:r>
      <w:r w:rsidRPr="00465302">
        <w:rPr>
          <w:rStyle w:val="Emphasis"/>
        </w:rPr>
        <w:t>in vivo</w:t>
      </w:r>
      <w:r w:rsidRPr="00465302">
        <w:t> and </w:t>
      </w:r>
      <w:r w:rsidRPr="00465302">
        <w:rPr>
          <w:rStyle w:val="Emphasis"/>
        </w:rPr>
        <w:t>in vitro</w:t>
      </w:r>
      <w:r w:rsidRPr="00465302">
        <w:t> testing. The current safety </w:t>
      </w:r>
      <w:r w:rsidRPr="00465302">
        <w:rPr>
          <w:rStyle w:val="Emphasis"/>
          <w:i w:val="0"/>
          <w:iCs w:val="0"/>
        </w:rPr>
        <w:t>evaluation</w:t>
      </w:r>
      <w:r w:rsidRPr="00465302">
        <w:t> of environmental toxicants involves multiple rounds of </w:t>
      </w:r>
      <w:r w:rsidRPr="00465302">
        <w:rPr>
          <w:rStyle w:val="Emphasis"/>
        </w:rPr>
        <w:t>in vitro</w:t>
      </w:r>
      <w:r w:rsidRPr="00465302">
        <w:t> biochemical and cell-based assays that focus on high-throughput screens using models that target specific candidate pathways. Although these </w:t>
      </w:r>
      <w:r w:rsidRPr="00465302">
        <w:rPr>
          <w:rStyle w:val="Emphasis"/>
        </w:rPr>
        <w:t>in vitro</w:t>
      </w:r>
      <w:r w:rsidRPr="00465302">
        <w:t> models are relatively fast, cost-effective, and have identified several potential biological drug targets, many of the effects found in the </w:t>
      </w:r>
      <w:r w:rsidRPr="00465302">
        <w:rPr>
          <w:rStyle w:val="Emphasis"/>
        </w:rPr>
        <w:t>in vitro</w:t>
      </w:r>
      <w:r w:rsidRPr="00465302">
        <w:t xml:space="preserve"> studies </w:t>
      </w:r>
      <w:r w:rsidR="00D4523F" w:rsidRPr="00465302">
        <w:t>are</w:t>
      </w:r>
      <w:r w:rsidRPr="00465302">
        <w:t xml:space="preserve"> not replicated when tested </w:t>
      </w:r>
      <w:r w:rsidRPr="00465302">
        <w:rPr>
          <w:rStyle w:val="Emphasis"/>
        </w:rPr>
        <w:t>in vivo,</w:t>
      </w:r>
      <w:r w:rsidRPr="00465302">
        <w:t> suggesting inefficacies in the </w:t>
      </w:r>
      <w:r w:rsidRPr="00465302">
        <w:rPr>
          <w:rStyle w:val="Emphasis"/>
          <w:i w:val="0"/>
          <w:iCs w:val="0"/>
        </w:rPr>
        <w:t>cell-based</w:t>
      </w:r>
      <w:r w:rsidRPr="00465302">
        <w:t> assays. In some cases, these studies have identified several potential biological</w:t>
      </w:r>
      <w:r w:rsidR="002851A4">
        <w:t>-</w:t>
      </w:r>
      <w:r w:rsidRPr="00465302">
        <w:t xml:space="preserve">targeting </w:t>
      </w:r>
      <w:r w:rsidR="006F34E3" w:rsidRPr="00465302">
        <w:t>drugs,</w:t>
      </w:r>
      <w:r w:rsidRPr="00465302">
        <w:t xml:space="preserve"> but these initial find</w:t>
      </w:r>
      <w:r w:rsidR="00D4523F" w:rsidRPr="00465302">
        <w:t>ings</w:t>
      </w:r>
      <w:r w:rsidRPr="00465302">
        <w:t xml:space="preserve"> often fail to produce </w:t>
      </w:r>
      <w:r w:rsidRPr="00465302">
        <w:lastRenderedPageBreak/>
        <w:t xml:space="preserve">satisfactory results in </w:t>
      </w:r>
      <w:r w:rsidRPr="00465302">
        <w:rPr>
          <w:i/>
        </w:rPr>
        <w:t>in vivo</w:t>
      </w:r>
      <w:r w:rsidRPr="00465302">
        <w:t xml:space="preserve"> testing since they lack relevant whole-organism metabolism and physiology</w:t>
      </w:r>
      <w:r w:rsidR="00D4523F" w:rsidRPr="00465302">
        <w:t>,</w:t>
      </w:r>
      <w:r w:rsidRPr="00465302">
        <w:t xml:space="preserve"> and are therefore not indicative of whole-organism </w:t>
      </w:r>
      <w:r w:rsidRPr="00465302">
        <w:rPr>
          <w:bCs/>
          <w:color w:val="222222"/>
          <w:shd w:val="clear" w:color="auto" w:fill="FFFFFF"/>
        </w:rPr>
        <w:t>pharmacokinetics or dynamics</w:t>
      </w:r>
      <w:r w:rsidRPr="00465302">
        <w:t>. On the other hand, </w:t>
      </w:r>
      <w:r w:rsidRPr="00465302">
        <w:rPr>
          <w:rStyle w:val="Emphasis"/>
        </w:rPr>
        <w:t>in vivo</w:t>
      </w:r>
      <w:r w:rsidRPr="00465302">
        <w:t> studies in mammalian animal models, such as rodents, typically takes over five years before a full quantifiable safety assessment can be completed, not to mention the extensive cost of these animal models</w:t>
      </w:r>
      <w:r w:rsidR="00822DA4" w:rsidRPr="00465302">
        <w:t xml:space="preserve"> </w:t>
      </w:r>
      <w:r w:rsidR="00822DA4" w:rsidRPr="00465302">
        <w:fldChar w:fldCharType="begin" w:fldLock="1"/>
      </w:r>
      <w:r w:rsidR="00822DA4" w:rsidRPr="00465302">
        <w:instrText>ADDIN CSL_CITATION {"citationItems":[{"id":"ITEM-1","itemData":{"DOI":"10.1093/toxsci/kfl103","ISSN":"10966080","abstract":"The U.S. Environmental Protection Agency (EPA) is developing methods for utilizing computational chemistry, high-throughput screening (HTS), and various toxicogenomic technologies to predict potential for toxicity and prioritize limited testing resources toward chemicals that likely represent the greatest hazard to human health and the environment. This chemical prioritization research program, entitled ToxCast, is being initiated with the purpose of developing the ability to forecast toxicity based on bioactivity profiling. The proof-of-concept phase of ToxCast will focus upon chemicals with an existing, rich toxicological database in order to provide an interpretive context for the ToxCast data. This set of several hundred reference chemicals will represent numerous structural classes and phenotypic outcomes, including tumorigens, developmental and reproductive toxicants, neurotoxicants, and immunotoxicants. The ToxCast program will evaluate chemical properties and bioactivity profiles across a broad spectrum of data domains: physical-chemical, predicted biological activities based on existing structure-activity models, biochemical properties based on HTS assays, cell-based phenotypic assays, and genomic and metabolomic analyses of cells. These data will be generated through a series of external contracts, along with collaborations across EPA, with the National Toxicology Program, and with the National Institutes of Health Chemical Genomics Center. The resulting multidimensional data set provides an informatics challenge requiring appropriate computational methods for integrating various chemical, biological, and toxicological data into profiles and models predicting toxicity. © 2007 Oxford University Press.","author":[{"dropping-particle":"","family":"Dix","given":"David J.","non-dropping-particle":"","parse-names":false,"suffix":""},{"dropping-particle":"","family":"Houck","given":"Keith A.","non-dropping-particle":"","parse-names":false,"suffix":""},{"dropping-particle":"","family":"Martin","given":"Matthew T.","non-dropping-particle":"","parse-names":false,"suffix":""},{"dropping-particle":"","family":"Richard","given":"Ann M.","non-dropping-particle":"","parse-names":false,"suffix":""},{"dropping-particle":"","family":"Setzer","given":"R. Woodrow","non-dropping-particle":"","parse-names":false,"suffix":""},{"dropping-particle":"","family":"Kavlock","given":"Robert J.","non-dropping-particle":"","parse-names":false,"suffix":""}],"container-title":"Toxicological Sciences","id":"ITEM-1","issue":"1","issued":{"date-parts":[["2007"]]},"page":"5-12","title":"The toxcast program for prioritizing toxicity testing of environmental chemicals","type":"article-journal","volume":"95"},"uris":["http://www.mendeley.com/documents/?uuid=0275ece4-3f9e-4b5d-91b2-72aa57ec03e4"]},{"id":"ITEM-2","itemData":{"DOI":"10.1289/ehp.1103412","ISSN":"00916765","abstract":"Background: Understanding health risks to embryonic development from exposure to environmental chemicals is a significant challenge given the diverse chemical landscape and paucity of data for most of these compounds. High-throughput screening (HTS) in the U.S. Environmental Protection Agency (EPA) ToxCast™ project provides vast data on an expanding chemical library currently consisting of &gt; 1,000 unique compounds across &gt; 500 in vitro assays in phase I (complete) and Phase II (under way). This public data set can be used to evaluate concentration-dependent effects on many diverse biological targets and build predictive models of prototypical toxicity pathways that can aid decision making for assessments of human developmental health and disease. Objective: We mined the ToxCast phase I data set to identify signatures for potential chemical disruption of blood vessel formation and remodeling. Methods: ToxCast phase I screened 309 chemicals using 467 HTS assays across nine assay technology platforms. The assays measured direct interactions between chemicals and molecular targets (receptors, enzymes), as well as downstream effects on reporter gene activity or cellular consequences. We ranked the chemicals according to individual vascular bioactivity score and visualized the ranking using ToxPi (Toxicological Priority Index) profiles. Results: Targets in inflammatory chemokine signaling, the vascular endothelial growth factor pathway, and the plasminogen-activating system were strongly perturbed by some chemicals, and we found positive correlations with developmental effects from the U.S. EPA ToxRefDB (Toxicological Reference Database) in vivo database containing prenatal rat and rabbit guideline studies. We observed distinctly different correlative patterns for chemicals with effects in rabbits versus rats, despite derivation of in vitro signatures based on human cells and cell-free biochemical targets, implying conservation but potentially differential contributions of developmental pathways among species. Follow-up analysis with antiangiogenic thalidomide analogs and additional in vitro vascular targets showed in vitro activity consistent with the most active environmental chemicals tested here. Conclusions: We predicted that blood vessel development is a target for environmental chemicals acting as putative vascular disruptor compounds (pVDCs) and identified potential species differences in sensitive vascular developmental pathways.","author":[{"dropping-particle":"","family":"Kleinstreuer","given":"Nicole C.","non-dropping-particle":"","parse-names":false,"suffix":""},{"dropping-particle":"","family":"Judson","given":"Richard S.","non-dropping-particle":"","parse-names":false,"suffix":""},{"dropping-particle":"","family":"Reif","given":"David M.","non-dropping-particle":"","parse-names":false,"suffix":""},{"dropping-particle":"","family":"Sipes","given":"Nisha S.","non-dropping-particle":"","parse-names":false,"suffix":""},{"dropping-particle":"V.","family":"Singh","given":"Amar","non-dropping-particle":"","parse-names":false,"suffix":""},{"dropping-particle":"","family":"Chandler","given":"Kelly J.","non-dropping-particle":"","parse-names":false,"suffix":""},{"dropping-particle":"","family":"DeWoskin","given":"Rob","non-dropping-particle":"","parse-names":false,"suffix":""},{"dropping-particle":"","family":"Dix","given":"David J.","non-dropping-particle":"","parse-names":false,"suffix":""},{"dropping-particle":"","family":"Kavlock","given":"Robert J.","non-dropping-particle":"","parse-names":false,"suffix":""},{"dropping-particle":"","family":"Knudsen","given":"Thomas B.","non-dropping-particle":"","parse-names":false,"suffix":""}],"container-title":"Environmental Health Perspectives","id":"ITEM-2","issue":"11","issued":{"date-parts":[["2011"]]},"page":"1596-1603","title":"Environmental impact on vascular development predicted by high-throughput screening","type":"article-journal","volume":"119"},"uris":["http://www.mendeley.com/documents/?uuid=b76d2ce6-cd5f-4007-98cb-da7c0517754a"]}],"mendeley":{"formattedCitation":"(Dix &lt;i&gt;et al.&lt;/i&gt;, 2007; Kleinstreuer &lt;i&gt;et al.&lt;/i&gt;, 2011)","plainTextFormattedCitation":"(Dix et al., 2007; Kleinstreuer et al., 2011)","previouslyFormattedCitation":"(Dix &lt;i&gt;et al.&lt;/i&gt;, 2007; Kleinstreuer &lt;i&gt;et al.&lt;/i&gt;, 2011)"},"properties":{"noteIndex":0},"schema":"https://github.com/citation-style-language/schema/raw/master/csl-citation.json"}</w:instrText>
      </w:r>
      <w:r w:rsidR="00822DA4" w:rsidRPr="00465302">
        <w:fldChar w:fldCharType="separate"/>
      </w:r>
      <w:r w:rsidR="00822DA4" w:rsidRPr="00465302">
        <w:rPr>
          <w:noProof/>
        </w:rPr>
        <w:t xml:space="preserve">(Dix </w:t>
      </w:r>
      <w:r w:rsidR="00822DA4" w:rsidRPr="00465302">
        <w:rPr>
          <w:i/>
          <w:noProof/>
        </w:rPr>
        <w:t>et al.</w:t>
      </w:r>
      <w:r w:rsidR="00822DA4" w:rsidRPr="00465302">
        <w:rPr>
          <w:noProof/>
        </w:rPr>
        <w:t xml:space="preserve">, 2007; Kleinstreuer </w:t>
      </w:r>
      <w:r w:rsidR="00822DA4" w:rsidRPr="00465302">
        <w:rPr>
          <w:i/>
          <w:noProof/>
        </w:rPr>
        <w:t>et al.</w:t>
      </w:r>
      <w:r w:rsidR="00822DA4" w:rsidRPr="00465302">
        <w:rPr>
          <w:noProof/>
        </w:rPr>
        <w:t>, 2011)</w:t>
      </w:r>
      <w:r w:rsidR="00822DA4" w:rsidRPr="00465302">
        <w:fldChar w:fldCharType="end"/>
      </w:r>
      <w:r w:rsidRPr="00465302">
        <w:t xml:space="preserve">. These factors limit the number of chemicals that can effectively be evaluated using traditional mammalian models. Although these cell-based and </w:t>
      </w:r>
      <w:r w:rsidRPr="00465302">
        <w:rPr>
          <w:color w:val="000000"/>
          <w:shd w:val="clear" w:color="auto" w:fill="FFFFFF"/>
        </w:rPr>
        <w:t>animal models have provided useful information pertaining to the toxicity of said chemicals, they are often not indicative of human metabolism and physiology, or they are expensive and low-throughput.</w:t>
      </w:r>
      <w:r w:rsidRPr="00465302">
        <w:t xml:space="preserve"> </w:t>
      </w:r>
      <w:r w:rsidRPr="00465302">
        <w:rPr>
          <w:color w:val="000000"/>
          <w:shd w:val="clear" w:color="auto" w:fill="FFFFFF"/>
        </w:rPr>
        <w:t xml:space="preserve">Given the sheer number of untested chemicals in the </w:t>
      </w:r>
      <w:r w:rsidRPr="00465302">
        <w:t xml:space="preserve">TSCA data bank currently, methodology and testing will take years to be established and new methodologies need to replace traditional animal toxicology testing. </w:t>
      </w:r>
    </w:p>
    <w:p w14:paraId="6EDC7C05" w14:textId="7EF34653" w:rsidR="00946607" w:rsidRPr="00465302" w:rsidRDefault="00946607">
      <w:pPr>
        <w:pStyle w:val="Heading2"/>
      </w:pPr>
      <w:bookmarkStart w:id="14" w:name="_Toc39502031"/>
      <w:r w:rsidRPr="00465302">
        <w:t>1.2 ZEBRAFISH (</w:t>
      </w:r>
      <w:r w:rsidRPr="00465302">
        <w:rPr>
          <w:rStyle w:val="Emphasis"/>
        </w:rPr>
        <w:t>Danio rerio</w:t>
      </w:r>
      <w:r w:rsidRPr="00465302">
        <w:t>)</w:t>
      </w:r>
      <w:bookmarkEnd w:id="14"/>
    </w:p>
    <w:p w14:paraId="4D4D2EFC" w14:textId="4977FAC3" w:rsidR="00946607" w:rsidRPr="00465302" w:rsidRDefault="00946607" w:rsidP="00946607">
      <w:pPr>
        <w:pStyle w:val="NormalWeb"/>
        <w:spacing w:before="0" w:beforeAutospacing="0" w:after="240" w:afterAutospacing="0" w:line="480" w:lineRule="auto"/>
        <w:jc w:val="both"/>
      </w:pPr>
      <w:r w:rsidRPr="00465302">
        <w:t>The zebrafish, </w:t>
      </w:r>
      <w:r w:rsidRPr="00465302">
        <w:rPr>
          <w:rStyle w:val="Emphasis"/>
        </w:rPr>
        <w:t>Danio rerio</w:t>
      </w:r>
      <w:r w:rsidR="00822DA4" w:rsidRPr="00465302">
        <w:rPr>
          <w:rStyle w:val="Emphasis"/>
        </w:rPr>
        <w:t xml:space="preserve"> </w:t>
      </w:r>
      <w:r w:rsidR="00822DA4" w:rsidRPr="00465302">
        <w:rPr>
          <w:rStyle w:val="Emphasis"/>
        </w:rPr>
        <w:fldChar w:fldCharType="begin" w:fldLock="1"/>
      </w:r>
      <w:r w:rsidR="00822DA4" w:rsidRPr="00465302">
        <w:rPr>
          <w:rStyle w:val="Emphasis"/>
        </w:rPr>
        <w:instrText>ADDIN CSL_CITATION {"citationItems":[{"id":"ITEM-1","itemData":{"author":[{"dropping-particle":"","family":"Hamilton","given":"Francis","non-dropping-particle":"","parse-names":false,"suffix":""}],"id":"ITEM-1","issued":{"date-parts":[["1822"]]},"note":"Atlas has no t.-p.","publisher":"Printed for A. Constable and company; [etc., etc.]","publisher-place":"Edinburgh :","title":"An account of the fishes found in the river Ganges and its branches","type":"book","volume":"Text"},"uris":["http://www.mendeley.com/documents/?uuid=879a5a32-2367-46e8-92de-8ff9e4c99fb3"]}],"mendeley":{"formattedCitation":"(Hamilton, 1822)","plainTextFormattedCitation":"(Hamilton, 1822)","previouslyFormattedCitation":"(Hamilton, 1822)"},"properties":{"noteIndex":0},"schema":"https://github.com/citation-style-language/schema/raw/master/csl-citation.json"}</w:instrText>
      </w:r>
      <w:r w:rsidR="00822DA4" w:rsidRPr="00465302">
        <w:rPr>
          <w:rStyle w:val="Emphasis"/>
        </w:rPr>
        <w:fldChar w:fldCharType="separate"/>
      </w:r>
      <w:r w:rsidR="00822DA4" w:rsidRPr="00465302">
        <w:rPr>
          <w:rStyle w:val="Emphasis"/>
          <w:i w:val="0"/>
          <w:noProof/>
        </w:rPr>
        <w:t>(Hamilton, 1822)</w:t>
      </w:r>
      <w:r w:rsidR="00822DA4" w:rsidRPr="00465302">
        <w:rPr>
          <w:rStyle w:val="Emphasis"/>
        </w:rPr>
        <w:fldChar w:fldCharType="end"/>
      </w:r>
      <w:r w:rsidRPr="00465302">
        <w:t>, is a freshwater fish that has emerged as a model organism for both genetic analyses and developmental biology of vertebrates because of its rapid development, small size, external fertilization</w:t>
      </w:r>
      <w:r w:rsidR="002851A4">
        <w:t>,</w:t>
      </w:r>
      <w:r w:rsidRPr="00465302">
        <w:t xml:space="preserve"> and transparency during early development</w:t>
      </w:r>
      <w:r w:rsidR="00822DA4" w:rsidRPr="00465302">
        <w:t xml:space="preserve"> </w:t>
      </w:r>
      <w:r w:rsidR="00822DA4" w:rsidRPr="00465302">
        <w:fldChar w:fldCharType="begin" w:fldLock="1"/>
      </w:r>
      <w:r w:rsidR="00822DA4" w:rsidRPr="00465302">
        <w:instrText>ADDIN CSL_CITATION {"citationItems":[{"id":"ITEM-1","itemData":{"DOI":"10.1111/j.1741-4520.2003.tb01036.x","ISSN":"09143505","abstract":"It is widely believed that embryos and infants during development are highly sensitive to chemicals that cause serious damage to growth. However, knowledge on the mechanisms of developmental toxicity is scarce. One reason for this is limited convenient model system other than organ cultures using rodents to study the various aspects of developmental toxicology. Cultured cells are not always adequate for this purpose, since events in morphogenesis are processed through interactions with other tissues. We focused on zebrafish embryo (Danio rerio), one of the most important organisms in developmental biology. Saturation mutagenesis, applied to drosophila and nematode to define the functions of genes, has been carried out in zebrafish but almost no other vertebrate, and several thousand lines are available due to the rapid growth and transparent body of this embryo. Enhanced databases for the genome and ESTs are available at websites with abundant genetic and biological background. By targeted gene knock-down with morpholino-modified antisense oligonucleotieds (morpholinos), the translation of a specific protein can be transiently blocked for several days. Many reporter systems in vivo have been established mainly as GFP-transgenic fish for environmental chemicals. Although several excellent studies have been performed with zebrafish embryos on the effects of chemicals, the developmental toxicology of 2,3,7,8-tetrachlorodibenzo-p-dioxin (TCDD) has been most extensively studied to date. We have found that TCDD induces apoptosis in dorsal midbrain with a concomitant decrease in local blood flow, using developing zebrafish. TCDD seems to produce oxidative stress through CYP1A induction in vascular endothelium, resulting in local circulation failure and apoptosis in the dorsal midbrain. In addition to applications in toxicology, an experimental system with zebrafish embryos could help to clarify the mechanism of congenital anomaly, which arises from genetic mutation.","author":[{"dropping-particle":"","family":"Teraoka","given":"Hiroki","non-dropping-particle":"","parse-names":false,"suffix":""},{"dropping-particle":"","family":"Dong","given":"W.","non-dropping-particle":"","parse-names":false,"suffix":""},{"dropping-particle":"","family":"Hiraga","given":"Takeo","non-dropping-particle":"","parse-names":false,"suffix":""}],"container-title":"Congenital anomalies","id":"ITEM-1","issue":"2","issued":{"date-parts":[["2003"]]},"page":"123-132","title":"Zebrafish as a novel experimental model for developmental toxicology.","type":"article-journal","volume":"43"},"uris":["http://www.mendeley.com/documents/?uuid=09c9a775-2da5-4f64-9d91-a7d434708053"]}],"mendeley":{"formattedCitation":"(Teraoka, Dong and Hiraga, 2003)","plainTextFormattedCitation":"(Teraoka, Dong and Hiraga, 2003)","previouslyFormattedCitation":"(Teraoka, Dong and Hiraga, 2003)"},"properties":{"noteIndex":0},"schema":"https://github.com/citation-style-language/schema/raw/master/csl-citation.json"}</w:instrText>
      </w:r>
      <w:r w:rsidR="00822DA4" w:rsidRPr="00465302">
        <w:fldChar w:fldCharType="separate"/>
      </w:r>
      <w:r w:rsidR="00822DA4" w:rsidRPr="00465302">
        <w:rPr>
          <w:noProof/>
        </w:rPr>
        <w:t>(Teraoka, Dong and Hiraga, 2003)</w:t>
      </w:r>
      <w:r w:rsidR="00822DA4" w:rsidRPr="00465302">
        <w:fldChar w:fldCharType="end"/>
      </w:r>
      <w:r w:rsidRPr="00465302">
        <w:t xml:space="preserve">. Zebrafish has a very rapid embryonic development, in which all major organs are formed 24 </w:t>
      </w:r>
      <w:r w:rsidR="000F0745">
        <w:t>h</w:t>
      </w:r>
      <w:r w:rsidR="006D4C50">
        <w:t>ours</w:t>
      </w:r>
      <w:r w:rsidRPr="00465302">
        <w:t xml:space="preserve"> post-fertilization (hpf)</w:t>
      </w:r>
      <w:r w:rsidR="00822DA4" w:rsidRPr="00465302">
        <w:t xml:space="preserve"> </w:t>
      </w:r>
      <w:r w:rsidR="00822DA4" w:rsidRPr="00465302">
        <w:fldChar w:fldCharType="begin" w:fldLock="1"/>
      </w:r>
      <w:r w:rsidR="00822DA4" w:rsidRPr="00465302">
        <w:instrText>ADDIN CSL_CITATION {"citationItems":[{"id":"ITEM-1","itemData":{"DOI":"10.1007/s10126-006-5139-0","ISBN":"1012600651390","ISSN":"14362228","abstract":"In recent years, the zebrafish has become one of the most prominent vertebrate model organisms used to study the genetics underlying development, normal body function, and disease. The growing interest in zebrafish research was paralleled by an increase in tools and methods available to study zebrafish. While zebrafish research initially centered on mutagenesis screens (forward genetics), recent years saw the establishment of reverse genetic methods (morpholino knock-down, TILLING). In addition, increasingly sophisticated protocols for generating transgenic zebrafish have been developed and microarrays are now available to characterize gene expression on a near genome-wide scale. The identification of loci underlying specific traits is aided by genetic, physical, and radiation hybrid maps of the zebrafish genome and the zebrafish genome project. As genomic resources for aquacultural species are increasingly being generated, a meaningful interaction between zebrafish and aquacultural research now appears to be possible and beneficial for both sides. In particular, research on nutrition and growth, stress, and disease resistance in the zebrafish can be expected to produce results applicable to aquacultural fish, for example, by improving husbandry and formulated feeds. Forward and reverse genetics approaches in the zebrafish, together with the known conservation of synteny between the species, offer the potential to identify and verify candidate genes for quantitative trait loci (QTLs) to be used in marker-assisted breeding. Moreover, some technologies from the zebrafish field such as TILLING may be directly transferable to aquacultural research and production. © Springer Science+Business Media, Inc. 2006.","author":[{"dropping-particle":"","family":"Dahm","given":"Ralf","non-dropping-particle":"","parse-names":false,"suffix":""},{"dropping-particle":"","family":"Geisler","given":"Robert","non-dropping-particle":"","parse-names":false,"suffix":""}],"container-title":"Marine Biotechnology","id":"ITEM-1","issue":"4","issued":{"date-parts":[["2006"]]},"page":"329-345","title":"Learning from small fry: The zebrafish as a genetic model organism for aquaculture fish species","type":"article-journal","volume":"8"},"uris":["http://www.mendeley.com/documents/?uuid=4c51fd90-4527-4ae3-8e1d-1f7c43eb1928"]}],"mendeley":{"formattedCitation":"(Dahm and Geisler, 2006)","plainTextFormattedCitation":"(Dahm and Geisler, 2006)","previouslyFormattedCitation":"(Dahm and Geisler, 2006)"},"properties":{"noteIndex":0},"schema":"https://github.com/citation-style-language/schema/raw/master/csl-citation.json"}</w:instrText>
      </w:r>
      <w:r w:rsidR="00822DA4" w:rsidRPr="00465302">
        <w:fldChar w:fldCharType="separate"/>
      </w:r>
      <w:r w:rsidR="00822DA4" w:rsidRPr="00465302">
        <w:rPr>
          <w:noProof/>
        </w:rPr>
        <w:t>(Dahm and Geisler, 2006)</w:t>
      </w:r>
      <w:r w:rsidR="00822DA4" w:rsidRPr="00465302">
        <w:fldChar w:fldCharType="end"/>
      </w:r>
      <w:r w:rsidRPr="00465302">
        <w:t>. Zebrafish reach sexual maturity in approximately three months and a healthy female can produce one hundred eggs a day</w:t>
      </w:r>
      <w:r w:rsidR="00822DA4" w:rsidRPr="00465302">
        <w:t xml:space="preserve"> </w:t>
      </w:r>
      <w:r w:rsidR="00822DA4" w:rsidRPr="00465302">
        <w:fldChar w:fldCharType="begin" w:fldLock="1"/>
      </w:r>
      <w:r w:rsidR="00822DA4" w:rsidRPr="00465302">
        <w:instrText>ADDIN CSL_CITATION {"citationItems":[{"id":"ITEM-1","itemData":{"DOI":"10.1093/toxsci/kfi110","ISSN":"10966080","abstract":"Zebrafish (Danio rerio) has been a prominent model vertebrate in a variety of biological disciplines. Substantial information gathered from developmental and genetic research, together with near-completion of the zebrafish genome project, has placed zebrafish in an attractive position for use as a toxicological model. Although still in its infancy, there is a clear potential for zebrafish to provide valuable new insights into chemical toxicity, drug discovery, and human disease using recent advances in forward and reverse genetic techniques coupled with large-scale, high-throughput screening. Here we present an overview of the rapidly increasing use of zebrafish in toxicology. Advantages of the zebrafish both in identifying endpoints of toxicity and in elucidating mechanisms of toxicity are highlighted. © The Author 2005. Published by Oxford University Press on behalf of the Society of Toxicology. All rights reserved.","author":[{"dropping-particle":"","family":"Hill","given":"Adrian J.","non-dropping-particle":"","parse-names":false,"suffix":""},{"dropping-particle":"","family":"Teraoka","given":"Hiroki","non-dropping-particle":"","parse-names":false,"suffix":""},{"dropping-particle":"","family":"Heideman","given":"Warren","non-dropping-particle":"","parse-names":false,"suffix":""},{"dropping-particle":"","family":"Peterson","given":"Richard E.","non-dropping-particle":"","parse-names":false,"suffix":""}],"container-title":"Toxicological Sciences","id":"ITEM-1","issue":"1","issued":{"date-parts":[["2005"]]},"page":"6-19","title":"Zebrafish as a model vertebrate for investigating chemical toxicity","type":"article-journal","volume":"86"},"uris":["http://www.mendeley.com/documents/?uuid=2085a4d5-b53b-4f62-972e-4018de7582f7"]}],"mendeley":{"formattedCitation":"(Hill &lt;i&gt;et al.&lt;/i&gt;, 2005)","plainTextFormattedCitation":"(Hill et al., 2005)","previouslyFormattedCitation":"(Hill &lt;i&gt;et al.&lt;/i&gt;, 2005)"},"properties":{"noteIndex":0},"schema":"https://github.com/citation-style-language/schema/raw/master/csl-citation.json"}</w:instrText>
      </w:r>
      <w:r w:rsidR="00822DA4" w:rsidRPr="00465302">
        <w:fldChar w:fldCharType="separate"/>
      </w:r>
      <w:r w:rsidR="00822DA4" w:rsidRPr="00465302">
        <w:rPr>
          <w:noProof/>
        </w:rPr>
        <w:t xml:space="preserve">(Hill </w:t>
      </w:r>
      <w:r w:rsidR="00822DA4" w:rsidRPr="00465302">
        <w:rPr>
          <w:i/>
          <w:noProof/>
        </w:rPr>
        <w:t>et al.</w:t>
      </w:r>
      <w:r w:rsidR="00822DA4" w:rsidRPr="00465302">
        <w:rPr>
          <w:noProof/>
        </w:rPr>
        <w:t>, 2005)</w:t>
      </w:r>
      <w:r w:rsidR="00822DA4" w:rsidRPr="00465302">
        <w:fldChar w:fldCharType="end"/>
      </w:r>
      <w:r w:rsidRPr="00465302">
        <w:t>. Since the embryos are completely transparent, they enable detailed live observations of developmental processes, especially since a vast number of transgenic lines expressing fluorescence in specific tissue or cell types are now available</w:t>
      </w:r>
      <w:r w:rsidR="00822DA4" w:rsidRPr="00465302">
        <w:t xml:space="preserve"> </w:t>
      </w:r>
      <w:r w:rsidR="00822DA4" w:rsidRPr="00465302">
        <w:fldChar w:fldCharType="begin" w:fldLock="1"/>
      </w:r>
      <w:r w:rsidR="00815A25" w:rsidRPr="00465302">
        <w:instrText>ADDIN CSL_CITATION {"citationItems":[{"id":"ITEM-1","itemData":{"DOI":"10.1111/j.1749-6632.2000.tb06875.x","ISSN":"1749-6632","abstract":"Abstract: Using the golden mutant zebrafish having a decrease in interfering pigmentation, we are developing transgenic lines in which DNA motifs that respond to selected environmental pollutants are capable of activating a reporter gene that can be easily assayed. We have begun with three response elements that recognize three important classes of foreign chemicals. Aromatic hydrocarbon response elements (AHREs) respond to numerous polycyclic hydrocarbons and halogenated coplanar molecules such as 2,3,7,8-tetrachlorodibenzo-p-dioxin (TCDD; dioxin) and polychlorinated biphenyls. Electrophile response elements (EPREs) respond to quinones and numerous other potent electrophilic oxidants. Metal response elements (MREs) respond to heavy metal cations such as mercury, copper, nickel, cadmium, and zinc. Soon, we will include estrogen response elements (EREs) to detect the effects of environmental endocrine disruptors, and retinoic acid response elements (RARE, RXRE) to detect the effects of retinoids in the environment. Each of these substances is known to be bioconcentrated in fish to varying degrees; for example, 10−17 M TCDD in a body of water becomes concentrated to approximately 10−12 M TCDD in a fish, where it would act upon the AHRE motif and turn on the luciferase (LUC) reporter gene. The living fish as a sentinel will not only be assayed intact in the luminometer, but-upon several days or weeks of depuration-would be usable again. To date, we have established that zebrafish transcription factors are able to recognize both mammalian and trout AHRE, EPRE, and MRE sequences in a dose-dependent and chemical-class-specific manner, and that expression of both the LUC and jellyfish green fluorescent protein (GFP) reporter genes is easily detected in zebrafish cell cultures and in the intact live zebrafish. Variations in sensitivity of this model system can be achieved by increasing the copy number of response elements and perhaps by altering the sequence of each core consensus response element and flanking regions. This transgenic technology should allow for a simple, exquisitely sensitive, and inexpensive assay for monitoring aquatic pollution. We have already initiated studies using sentinel zebrafish to monitor a public drinking water source.","author":[{"dropping-particle":"","family":"Carvan","given":"Michael J.","non-dropping-particle":"","parse-names":false,"suffix":""},{"dropping-particle":"","family":"Dalton","given":"Timothy P.","non-dropping-particle":"","parse-names":false,"suffix":""},{"dropping-particle":"","family":"Stuart","given":"Gary W.","non-dropping-particle":"","parse-names":false,"suffix":""},{"dropping-particle":"","family":"Nebert","given":"Daniel W.","non-dropping-particle":"","parse-names":false,"suffix":""}],"container-title":"Annals of the New York Academy of Sciences","id":"ITEM-1","issue":"1","issued":{"date-parts":[["2006"]]},"page":"133-147","title":"Transgenic Zebrafish as Sentinels for Aquatic Pollution","type":"article-journal","volume":"919"},"uris":["http://www.mendeley.com/documents/?uuid=5276f97a-ccb1-4382-89ad-6d684d97bc4f"]},{"id":"ITEM-2","itemData":{"DOI":"10.1210/en.2010-1257","ISSN":"00137227","abstract":"Estrogens regulate a diverse range of physiological processes and affect multiple tissues. Estrogen receptors (ERs) regulate transcription by binding to DNA at conserved estrogen response elements, and such elements have been used to report ER activity in cultured cells and in transgenic mice. We generated stable, transgenic zebrafish containing five consecutive elements upstream of a c-fos minimal promoter and green fluorescent protein (GFP) to visualize and quantify transcriptional activation in live larvae. Transgenic larvae show robust, dose-dependent estrogen-dependent fluorescent labeling in the liver, consistent with er gene expression, whereas ER antagonists inhibit GFP expression. The nonestrogenic steroids dexamethasone and progesterone fail to activate GFP, confirming ER selectivity. Natural and synthetic estrogens activated the transgene with varying potency, and two chemicals, genistein and bisphenol A, preferentially induce GFP expression in the heart. In adult fish, fluorescence was observed in estrogenic tissues such as the liver, ovary, pituitary gland, and brain. Individual estrogen-responsive neurons and their projections were visualized in the adult brain, and GFP-positive neurons increased in number after 17β-estradiol exposure. The transgenic estrogen-responsive zebrafish allow ER signaling to be monitored visually and serve as in vivo sentinels for detection of estrogenic compounds. Copyright © 2011 by The Endocrine Society.","author":[{"dropping-particle":"","family":"Gorelick","given":"Daniel A.","non-dropping-particle":"","parse-names":false,"suffix":""},{"dropping-particle":"","family":"Halpern","given":"Marnie E.","non-dropping-particle":"","parse-names":false,"suffix":""}],"container-title":"Endocrinology","id":"ITEM-2","issue":"7","issued":{"date-parts":[["2011"]]},"page":"2690-2703","title":"Visualization of estrogen receptor transcriptional activation in zebrafish","type":"article-journal","volume":"152"},"uris":["http://www.mendeley.com/documents/?uuid=8894f746-7d98-46db-ba75-6e8f2ad7c34b"]},{"id":"ITEM-3","itemData":{"DOI":"10.3109/10408444.2014.965805","ISSN":"1040-8444","author":[{"dropping-particle":"","family":"Lee","given":"Okhyun","non-dropping-particle":"","parse-names":false,"suffix":""},{"dropping-particle":"","family":"Green","given":"Jon M","non-dropping-particle":"","parse-names":false,"suffix":""},{"dropping-particle":"","family":"Tyler","given":"Charles R","non-dropping-particle":"","parse-names":false,"suffix":""}],"container-title":"Critical Reviews in Toxicology","id":"ITEM-3","issue":"2","issued":{"date-parts":[["2015","2","7"]]},"note":"doi: 10.3109/10408444.2014.965805","page":"124-141","publisher":"Taylor &amp; Francis","title":"Transgenic fish systems and their application in ecotoxicology","type":"article-journal","volume":"45"},"uris":["http://www.mendeley.com/documents/?uuid=8fa51673-fe3a-4566-9b05-783e2309e69e"]}],"mendeley":{"formattedCitation":"(Carvan &lt;i&gt;et al.&lt;/i&gt;, 2006; Gorelick and Halpern, 2011; Lee, Green and Tyler, 2015)","plainTextFormattedCitation":"(Carvan et al., 2006; Gorelick and Halpern, 2011; Lee, Green and Tyler, 2015)","previouslyFormattedCitation":"(Carvan &lt;i&gt;et al.&lt;/i&gt;, 2006; Gorelick and Halpern, 2011; Lee, Green and Tyler, 2015)"},"properties":{"noteIndex":0},"schema":"https://github.com/citation-style-language/schema/raw/master/csl-citation.json"}</w:instrText>
      </w:r>
      <w:r w:rsidR="00822DA4" w:rsidRPr="00465302">
        <w:fldChar w:fldCharType="separate"/>
      </w:r>
      <w:r w:rsidR="00815A25" w:rsidRPr="00465302">
        <w:rPr>
          <w:noProof/>
        </w:rPr>
        <w:t xml:space="preserve">(Carvan </w:t>
      </w:r>
      <w:r w:rsidR="00815A25" w:rsidRPr="00465302">
        <w:rPr>
          <w:i/>
          <w:noProof/>
        </w:rPr>
        <w:t>et al.</w:t>
      </w:r>
      <w:r w:rsidR="00815A25" w:rsidRPr="00465302">
        <w:rPr>
          <w:noProof/>
        </w:rPr>
        <w:t>, 2006; Gorelick and Halpern, 2011; Lee, Green and Tyler, 2015)</w:t>
      </w:r>
      <w:r w:rsidR="00822DA4" w:rsidRPr="00465302">
        <w:fldChar w:fldCharType="end"/>
      </w:r>
      <w:r w:rsidRPr="00465302">
        <w:t xml:space="preserve">. The availability of transgenic lines has </w:t>
      </w:r>
      <w:r w:rsidRPr="00465302">
        <w:lastRenderedPageBreak/>
        <w:t>also enabled the observation and characterization of specific perturbations caused</w:t>
      </w:r>
      <w:r w:rsidR="006F34E3">
        <w:t xml:space="preserve"> </w:t>
      </w:r>
      <w:r w:rsidRPr="00465302">
        <w:t>by environmental toxicants</w:t>
      </w:r>
      <w:r w:rsidR="00815A25" w:rsidRPr="00465302">
        <w:t xml:space="preserve"> </w:t>
      </w:r>
      <w:r w:rsidR="00815A25" w:rsidRPr="00465302">
        <w:fldChar w:fldCharType="begin" w:fldLock="1"/>
      </w:r>
      <w:r w:rsidR="00815A25" w:rsidRPr="00465302">
        <w:instrText>ADDIN CSL_CITATION {"citationItems":[{"id":"ITEM-1","itemData":{"DOI":"10.1111/j.1749-6632.2000.tb06875.x","ISSN":"1749-6632","abstract":"Abstract: Using the golden mutant zebrafish having a decrease in interfering pigmentation, we are developing transgenic lines in which DNA motifs that respond to selected environmental pollutants are capable of activating a reporter gene that can be easily assayed. We have begun with three response elements that recognize three important classes of foreign chemicals. Aromatic hydrocarbon response elements (AHREs) respond to numerous polycyclic hydrocarbons and halogenated coplanar molecules such as 2,3,7,8-tetrachlorodibenzo-p-dioxin (TCDD; dioxin) and polychlorinated biphenyls. Electrophile response elements (EPREs) respond to quinones and numerous other potent electrophilic oxidants. Metal response elements (MREs) respond to heavy metal cations such as mercury, copper, nickel, cadmium, and zinc. Soon, we will include estrogen response elements (EREs) to detect the effects of environmental endocrine disruptors, and retinoic acid response elements (RARE, RXRE) to detect the effects of retinoids in the environment. Each of these substances is known to be bioconcentrated in fish to varying degrees; for example, 10−17 M TCDD in a body of water becomes concentrated to approximately 10−12 M TCDD in a fish, where it would act upon the AHRE motif and turn on the luciferase (LUC) reporter gene. The living fish as a sentinel will not only be assayed intact in the luminometer, but-upon several days or weeks of depuration-would be usable again. To date, we have established that zebrafish transcription factors are able to recognize both mammalian and trout AHRE, EPRE, and MRE sequences in a dose-dependent and chemical-class-specific manner, and that expression of both the LUC and jellyfish green fluorescent protein (GFP) reporter genes is easily detected in zebrafish cell cultures and in the intact live zebrafish. Variations in sensitivity of this model system can be achieved by increasing the copy number of response elements and perhaps by altering the sequence of each core consensus response element and flanking regions. This transgenic technology should allow for a simple, exquisitely sensitive, and inexpensive assay for monitoring aquatic pollution. We have already initiated studies using sentinel zebrafish to monitor a public drinking water source.","author":[{"dropping-particle":"","family":"Carvan","given":"Michael J.","non-dropping-particle":"","parse-names":false,"suffix":""},{"dropping-particle":"","family":"Dalton","given":"Timothy P.","non-dropping-particle":"","parse-names":false,"suffix":""},{"dropping-particle":"","family":"Stuart","given":"Gary W.","non-dropping-particle":"","parse-names":false,"suffix":""},{"dropping-particle":"","family":"Nebert","given":"Daniel W.","non-dropping-particle":"","parse-names":false,"suffix":""}],"container-title":"Annals of the New York Academy of Sciences","id":"ITEM-1","issue":"1","issued":{"date-parts":[["2006"]]},"page":"133-147","title":"Transgenic Zebrafish as Sentinels for Aquatic Pollution","type":"article-journal","volume":"919"},"uris":["http://www.mendeley.com/documents/?uuid=5276f97a-ccb1-4382-89ad-6d684d97bc4f"]},{"id":"ITEM-2","itemData":{"DOI":"10.3109/10408444.2014.965805","ISSN":"1040-8444","author":[{"dropping-particle":"","family":"Lee","given":"Okhyun","non-dropping-particle":"","parse-names":false,"suffix":""},{"dropping-particle":"","family":"Green","given":"Jon M","non-dropping-particle":"","parse-names":false,"suffix":""},{"dropping-particle":"","family":"Tyler","given":"Charles R","non-dropping-particle":"","parse-names":false,"suffix":""}],"container-title":"Critical Reviews in Toxicology","id":"ITEM-2","issue":"2","issued":{"date-parts":[["2015","2","7"]]},"note":"doi: 10.3109/10408444.2014.965805","page":"124-141","publisher":"Taylor &amp; Francis","title":"Transgenic fish systems and their application in ecotoxicology","type":"article-journal","volume":"45"},"uris":["http://www.mendeley.com/documents/?uuid=8fa51673-fe3a-4566-9b05-783e2309e69e"]}],"mendeley":{"formattedCitation":"(Carvan &lt;i&gt;et al.&lt;/i&gt;, 2006; Lee, Green and Tyler, 2015)","plainTextFormattedCitation":"(Carvan et al., 2006; Lee, Green and Tyler, 2015)","previouslyFormattedCitation":"(Carvan &lt;i&gt;et al.&lt;/i&gt;, 2006; Lee, Green and Tyler, 2015)"},"properties":{"noteIndex":0},"schema":"https://github.com/citation-style-language/schema/raw/master/csl-citation.json"}</w:instrText>
      </w:r>
      <w:r w:rsidR="00815A25" w:rsidRPr="00465302">
        <w:fldChar w:fldCharType="separate"/>
      </w:r>
      <w:r w:rsidR="00815A25" w:rsidRPr="00465302">
        <w:rPr>
          <w:noProof/>
        </w:rPr>
        <w:t xml:space="preserve">(Carvan </w:t>
      </w:r>
      <w:r w:rsidR="00815A25" w:rsidRPr="00465302">
        <w:rPr>
          <w:i/>
          <w:noProof/>
        </w:rPr>
        <w:t>et al.</w:t>
      </w:r>
      <w:r w:rsidR="00815A25" w:rsidRPr="00465302">
        <w:rPr>
          <w:noProof/>
        </w:rPr>
        <w:t>, 2006; Lee, Green and Tyler, 2015)</w:t>
      </w:r>
      <w:r w:rsidR="00815A25" w:rsidRPr="00465302">
        <w:fldChar w:fldCharType="end"/>
      </w:r>
      <w:r w:rsidRPr="00465302">
        <w:t>. In addition to this, zebrafish can also be used to model human diseases since they not only share over 70% homology of the human protein-coding genes but also share over 80% of the human disease-associated genes</w:t>
      </w:r>
      <w:r w:rsidR="00815A25" w:rsidRPr="00465302">
        <w:t xml:space="preserve"> </w:t>
      </w:r>
      <w:r w:rsidR="00815A25" w:rsidRPr="00465302">
        <w:fldChar w:fldCharType="begin" w:fldLock="1"/>
      </w:r>
      <w:r w:rsidR="00815A25" w:rsidRPr="00465302">
        <w:instrText>ADDIN CSL_CITATION {"citationItems":[{"id":"ITEM-1","itemData":{"DOI":"10.1007/s40572-014-0029-5","ISSN":"2196-5412","abstract":"The evolutionary conservation of genomic, biochemical and developmental features between zebrafish and humans is gradually coming into focus with the end result that the zebrafish embryo model has emerged as a powerful tool for uncovering the effects of environmental exposures on a multitude of biological processes with direct relevance to human health. In this review, we highlight advances in automation, high-throughput (HT) screening, and analysis that leverage the power of the zebrafish embryo model for unparalleled advances in our understanding of how chemicals in our environment affect our health and wellbeing.","author":[{"dropping-particle":"","family":"Bugel","given":"Sean M","non-dropping-particle":"","parse-names":false,"suffix":""},{"dropping-particle":"","family":"Tanguay","given":"Robert L","non-dropping-particle":"","parse-names":false,"suffix":""},{"dropping-particle":"","family":"Planchart","given":"Antonio","non-dropping-particle":"","parse-names":false,"suffix":""}],"container-title":"Current environmental health reports","id":"ITEM-1","issue":"4","issued":{"date-parts":[["2014","9","7"]]},"language":"eng","page":"341-352","title":"Zebrafish: A marvel of high-throughput biology for 21(st) century toxicology","type":"article-journal","volume":"1"},"uris":["http://www.mendeley.com/documents/?uuid=fbda5147-d16a-4d4e-a309-466d30c615aa"]},{"id":"ITEM-2","itemData":{"DOI":"10.1111/j.1741-4520.2003.tb01036.x","ISSN":"09143505","abstract":"It is widely believed that embryos and infants during development are highly sensitive to chemicals that cause serious damage to growth. However, knowledge on the mechanisms of developmental toxicity is scarce. One reason for this is limited convenient model system other than organ cultures using rodents to study the various aspects of developmental toxicology. Cultured cells are not always adequate for this purpose, since events in morphogenesis are processed through interactions with other tissues. We focused on zebrafish embryo (Danio rerio), one of the most important organisms in developmental biology. Saturation mutagenesis, applied to drosophila and nematode to define the functions of genes, has been carried out in zebrafish but almost no other vertebrate, and several thousand lines are available due to the rapid growth and transparent body of this embryo. Enhanced databases for the genome and ESTs are available at websites with abundant genetic and biological background. By targeted gene knock-down with morpholino-modified antisense oligonucleotieds (morpholinos), the translation of a specific protein can be transiently blocked for several days. Many reporter systems in vivo have been established mainly as GFP-transgenic fish for environmental chemicals. Although several excellent studies have been performed with zebrafish embryos on the effects of chemicals, the developmental toxicology of 2,3,7,8-tetrachlorodibenzo-p-dioxin (TCDD) has been most extensively studied to date. We have found that TCDD induces apoptosis in dorsal midbrain with a concomitant decrease in local blood flow, using developing zebrafish. TCDD seems to produce oxidative stress through CYP1A induction in vascular endothelium, resulting in local circulation failure and apoptosis in the dorsal midbrain. In addition to applications in toxicology, an experimental system with zebrafish embryos could help to clarify the mechanism of congenital anomaly, which arises from genetic mutation.","author":[{"dropping-particle":"","family":"Teraoka","given":"Hiroki","non-dropping-particle":"","parse-names":false,"suffix":""},{"dropping-particle":"","family":"Dong","given":"W.","non-dropping-particle":"","parse-names":false,"suffix":""},{"dropping-particle":"","family":"Hiraga","given":"Takeo","non-dropping-particle":"","parse-names":false,"suffix":""}],"container-title":"Congenital anomalies","id":"ITEM-2","issue":"2","issued":{"date-parts":[["2003"]]},"page":"123-132","title":"Zebrafish as a novel experimental model for developmental toxicology.","type":"article-journal","volume":"43"},"uris":["http://www.mendeley.com/documents/?uuid=09c9a775-2da5-4f64-9d91-a7d434708053"]}],"mendeley":{"formattedCitation":"(Teraoka, Dong and Hiraga, 2003; Bugel, Tanguay and Planchart, 2014)","plainTextFormattedCitation":"(Teraoka, Dong and Hiraga, 2003; Bugel, Tanguay and Planchart, 2014)","previouslyFormattedCitation":"(Teraoka, Dong and Hiraga, 2003; Bugel, Tanguay and Planchart, 2014)"},"properties":{"noteIndex":0},"schema":"https://github.com/citation-style-language/schema/raw/master/csl-citation.json"}</w:instrText>
      </w:r>
      <w:r w:rsidR="00815A25" w:rsidRPr="00465302">
        <w:fldChar w:fldCharType="separate"/>
      </w:r>
      <w:r w:rsidR="00815A25" w:rsidRPr="00465302">
        <w:rPr>
          <w:noProof/>
        </w:rPr>
        <w:t>(Teraoka, Dong and Hiraga, 2003; Bugel, Tanguay and Planchart, 2014)</w:t>
      </w:r>
      <w:r w:rsidR="00815A25" w:rsidRPr="00465302">
        <w:fldChar w:fldCharType="end"/>
      </w:r>
      <w:r w:rsidRPr="00465302">
        <w:t>. Zebrafish also share with humans the same basic developmental processes and organ systems, such as the hematopoietic system, heart, liver, kidney, and blood-brain barrier</w:t>
      </w:r>
      <w:r w:rsidR="00815A25" w:rsidRPr="00465302">
        <w:t xml:space="preserve"> </w:t>
      </w:r>
      <w:r w:rsidR="00815A25" w:rsidRPr="00465302">
        <w:fldChar w:fldCharType="begin" w:fldLock="1"/>
      </w:r>
      <w:r w:rsidR="00815A25" w:rsidRPr="00465302">
        <w:instrText>ADDIN CSL_CITATION {"citationItems":[{"id":"ITEM-1","itemData":{"DOI":"10.1038/nrd4627","ISSN":"1474-1784","abstract":"Phenotypic screening has been one of the most effective approaches to drug discovery, but only a subset of disease-associated phenotypes can be modelled in cultured cells. Zebrafish exhibit a much broader range of disease-associated phenotypes, including disorders of physiology, metabolism and behaviour, while retaining the ability to be used for high-throughput applications.Zebrafish are phylogenetically more distant from humans than rodents are, but they possess orthologues of 82% of human disease-associated genes. In many cases, they exhibit physiological and pharmacological conservation that approaches (and occasionally surpasses) that of rodents.Zebrafish screens have discovered a few compounds that have made it to advanced preclinical and clinical trials, including new compound classes and repurposed drugs.Zebrafish have been used in several toxicology applications, including the screening of large compound collections for potential liabilities.Although target identification remains a challenge for phenotype-based small-molecule discovery, rich databases of zebrafish phenotypes have facilitated the identification of targets for several small molecules.Rapid advances in genome editing and high-throughput phenotyping point to promising new applications for zebrafish in drug discovery over the coming years, including the discovery of compounds that suppress disease phenotypes associated with specific human mutations.","author":[{"dropping-particle":"","family":"MacRae","given":"Calum A","non-dropping-particle":"","parse-names":false,"suffix":""},{"dropping-particle":"","family":"Peterson","given":"Randall T","non-dropping-particle":"","parse-names":false,"suffix":""}],"container-title":"Nature Reviews Drug Discovery","id":"ITEM-1","issue":"10","issued":{"date-parts":[["2015"]]},"page":"721-731","title":"Zebrafish as tools for drug discovery","type":"article-journal","volume":"14"},"uris":["http://www.mendeley.com/documents/?uuid=86222eb2-4fb0-4380-a7f1-e426bff74b07"]},{"id":"ITEM-2","itemData":{"DOI":"10.1016/0168-9525(94)90091-4","ISSN":"0168-9525","author":[{"dropping-particle":"","family":"Driever","given":"Wolfgang","non-dropping-particle":"","parse-names":false,"suffix":""},{"dropping-particle":"","family":"Stemple","given":"Derek","non-dropping-particle":"","parse-names":false,"suffix":""},{"dropping-particle":"","family":"Schier","given":"Alexander","non-dropping-particle":"","parse-names":false,"suffix":""},{"dropping-particle":"","family":"Solnica-Krezel","given":"Lilianna","non-dropping-particle":"","parse-names":false,"suffix":""}],"container-title":"Trends in Genetics","id":"ITEM-2","issue":"5","issued":{"date-parts":[["1994","5","1"]]},"note":"doi: 10.1016/0168-9525(94)90091-4","page":"152-159","publisher":"Elsevier","title":"Zebrafish: genetic tools for studying vertebrate development","type":"article-journal","volume":"10"},"uris":["http://www.mendeley.com/documents/?uuid=187c5814-22db-4ccd-82fb-2206c3b3e15d"]},{"id":"ITEM-3","itemData":{"DOI":"10.1093/toxsci/kfr220","ISSN":"1096-6080","abstract":"Environmental Protection Agency’s ToxCast project is profiling the in vitro bioactivity of chemicals to assess pathway-level and cell-based signatures that correlate with observed in vivo toxicity. We hypothesized that developmental toxicity in guideline animal studies captured in the ToxRefDB database would correlate with cell-based and cell-free in vitro high-throughput screening (HTS) data to reveal meaningful mechanistic relationships and provide models identifying chemicals with the potential to cause developmental toxicity. To test this hypothesis, we built statistical associations based on HTS and in vivo developmental toxicity data from ToxRefDB. Univariate associations were used to filter HTS assays based on statistical correlation with distinct in vivo endpoint. This revealed 423 total associations with distinctly different patterns for rat (301 associations) and rabbit (122 associations) across multiple HTS assay platforms. From these associations, linear discriminant analysis with cross-validation was used to build the models. Species-specific models of predicted developmental toxicity revealed strong balanced accuracy (&amp;gt; 70%) and unique correlations between assay targets such as transforming growth factor beta, retinoic acid receptor, and G-protein–coupled receptor signaling in the rat and inflammatory signals, such as interleukins (IL) (IL1a and IL8) and chemokines (CCL2), in the rabbit. Species-specific toxicity endpoints were associated with one another through common Gene Ontology biological processes, such as cleft palate to urogenital defects through placenta and embryonic development. This work indicates the utility of HTS assays for developing pathway-level models predictive of developmental toxicity.","author":[{"dropping-particle":"","family":"Sipes","given":"Nisha S","non-dropping-particle":"","parse-names":false,"suffix":""},{"dropping-particle":"","family":"Martin","given":"Matthew T","non-dropping-particle":"","parse-names":false,"suffix":""},{"dropping-particle":"","family":"Reif","given":"David M","non-dropping-particle":"","parse-names":false,"suffix":""},{"dropping-particle":"","family":"Kleinstreuer","given":"Nicole C","non-dropping-particle":"","parse-names":false,"suffix":""},{"dropping-particle":"","family":"Judson","given":"Richard S","non-dropping-particle":"","parse-names":false,"suffix":""},{"dropping-particle":"V","family":"Singh","given":"Amar","non-dropping-particle":"","parse-names":false,"suffix":""},{"dropping-particle":"","family":"Chandler","given":"Kelly J","non-dropping-particle":"","parse-names":false,"suffix":""},{"dropping-particle":"","family":"Dix","given":"David J","non-dropping-particle":"","parse-names":false,"suffix":""},{"dropping-particle":"","family":"Kavlock","given":"Robert J","non-dropping-particle":"","parse-names":false,"suffix":""},{"dropping-particle":"","family":"Knudsen","given":"Thomas B","non-dropping-particle":"","parse-names":false,"suffix":""}],"container-title":"Toxicological Sciences","id":"ITEM-3","issue":"1","issued":{"date-parts":[["2011","8","26"]]},"page":"109-127","title":"Predictive Models of Prenatal Developmental Toxicity from ToxCast High-Throughput Screening Data","type":"article-journal","volume":"124"},"uris":["http://www.mendeley.com/documents/?uuid=aff7afa7-b764-4f55-ac8c-91fe11d8f4a7"]},{"id":"ITEM-4","itemData":{"DOI":"10.1016/j.cub.2009.06.068","ISSN":"0960-9822","author":[{"dropping-particle":"","family":"Lieschke","given":"Graham J","non-dropping-particle":"","parse-names":false,"suffix":""},{"dropping-particle":"","family":"Trede","given":"Nikolaus S","non-dropping-particle":"","parse-names":false,"suffix":""}],"container-title":"Current Biology","id":"ITEM-4","issue":"16","issued":{"date-parts":[["2009","8","25"]]},"note":"doi: 10.1016/j.cub.2009.06.068","page":"R678-R682","publisher":"Elsevier","title":"Fish immunology","type":"article-journal","volume":"19"},"uris":["http://www.mendeley.com/documents/?uuid=06c6d1d9-840c-45c1-a102-6ddc5cdab1bb"]}],"mendeley":{"formattedCitation":"(Driever &lt;i&gt;et al.&lt;/i&gt;, 1994; Lieschke and Trede, 2009; Sipes &lt;i&gt;et al.&lt;/i&gt;, 2011; MacRae and Peterson, 2015)","plainTextFormattedCitation":"(Driever et al., 1994; Lieschke and Trede, 2009; Sipes et al., 2011; MacRae and Peterson, 2015)","previouslyFormattedCitation":"(Driever &lt;i&gt;et al.&lt;/i&gt;, 1994; Lieschke and Trede, 2009; Sipes &lt;i&gt;et al.&lt;/i&gt;, 2011; MacRae and Peterson, 2015)"},"properties":{"noteIndex":0},"schema":"https://github.com/citation-style-language/schema/raw/master/csl-citation.json"}</w:instrText>
      </w:r>
      <w:r w:rsidR="00815A25" w:rsidRPr="00465302">
        <w:fldChar w:fldCharType="separate"/>
      </w:r>
      <w:r w:rsidR="00815A25" w:rsidRPr="00465302">
        <w:rPr>
          <w:noProof/>
        </w:rPr>
        <w:t xml:space="preserve">(Driever </w:t>
      </w:r>
      <w:r w:rsidR="00815A25" w:rsidRPr="00465302">
        <w:rPr>
          <w:i/>
          <w:noProof/>
        </w:rPr>
        <w:t>et al.</w:t>
      </w:r>
      <w:r w:rsidR="00815A25" w:rsidRPr="00465302">
        <w:rPr>
          <w:noProof/>
        </w:rPr>
        <w:t xml:space="preserve">, 1994; Lieschke and Trede, 2009; Sipes </w:t>
      </w:r>
      <w:r w:rsidR="00815A25" w:rsidRPr="00465302">
        <w:rPr>
          <w:i/>
          <w:noProof/>
        </w:rPr>
        <w:t>et al.</w:t>
      </w:r>
      <w:r w:rsidR="00815A25" w:rsidRPr="00465302">
        <w:rPr>
          <w:noProof/>
        </w:rPr>
        <w:t>, 2011; MacRae and Peterson, 2015)</w:t>
      </w:r>
      <w:r w:rsidR="00815A25" w:rsidRPr="00465302">
        <w:fldChar w:fldCharType="end"/>
      </w:r>
      <w:r w:rsidRPr="00465302">
        <w:t>. Despite some major differences observed as a result of their adaptation to the aquatic environment, the cardiac electrophysiology of zebrafish, and not rodents, is more closely related to that of humans</w:t>
      </w:r>
      <w:r w:rsidR="00815A25" w:rsidRPr="00465302">
        <w:t xml:space="preserve"> </w:t>
      </w:r>
      <w:r w:rsidR="00815A25" w:rsidRPr="00465302">
        <w:fldChar w:fldCharType="begin" w:fldLock="1"/>
      </w:r>
      <w:r w:rsidR="00815A25" w:rsidRPr="00465302">
        <w:instrText>ADDIN CSL_CITATION {"citationItems":[{"id":"ITEM-1","itemData":{"DOI":"10.1038/nrd4627","ISSN":"1474-1784","abstract":"Phenotypic screening has been one of the most effective approaches to drug discovery, but only a subset of disease-associated phenotypes can be modelled in cultured cells. Zebrafish exhibit a much broader range of disease-associated phenotypes, including disorders of physiology, metabolism and behaviour, while retaining the ability to be used for high-throughput applications.Zebrafish are phylogenetically more distant from humans than rodents are, but they possess orthologues of 82% of human disease-associated genes. In many cases, they exhibit physiological and pharmacological conservation that approaches (and occasionally surpasses) that of rodents.Zebrafish screens have discovered a few compounds that have made it to advanced preclinical and clinical trials, including new compound classes and repurposed drugs.Zebrafish have been used in several toxicology applications, including the screening of large compound collections for potential liabilities.Although target identification remains a challenge for phenotype-based small-molecule discovery, rich databases of zebrafish phenotypes have facilitated the identification of targets for several small molecules.Rapid advances in genome editing and high-throughput phenotyping point to promising new applications for zebrafish in drug discovery over the coming years, including the discovery of compounds that suppress disease phenotypes associated with specific human mutations.","author":[{"dropping-particle":"","family":"MacRae","given":"Calum A","non-dropping-particle":"","parse-names":false,"suffix":""},{"dropping-particle":"","family":"Peterson","given":"Randall T","non-dropping-particle":"","parse-names":false,"suffix":""}],"container-title":"Nature Reviews Drug Discovery","id":"ITEM-1","issue":"10","issued":{"date-parts":[["2015"]]},"page":"721-731","title":"Zebrafish as tools for drug discovery","type":"article-journal","volume":"14"},"uris":["http://www.mendeley.com/documents/?uuid=86222eb2-4fb0-4380-a7f1-e426bff74b07"]}],"mendeley":{"formattedCitation":"(MacRae and Peterson, 2015)","plainTextFormattedCitation":"(MacRae and Peterson, 2015)","previouslyFormattedCitation":"(MacRae and Peterson, 2015)"},"properties":{"noteIndex":0},"schema":"https://github.com/citation-style-language/schema/raw/master/csl-citation.json"}</w:instrText>
      </w:r>
      <w:r w:rsidR="00815A25" w:rsidRPr="00465302">
        <w:fldChar w:fldCharType="separate"/>
      </w:r>
      <w:r w:rsidR="00815A25" w:rsidRPr="00465302">
        <w:rPr>
          <w:noProof/>
        </w:rPr>
        <w:t>(MacRae and Peterson, 2015)</w:t>
      </w:r>
      <w:r w:rsidR="00815A25" w:rsidRPr="00465302">
        <w:fldChar w:fldCharType="end"/>
      </w:r>
      <w:r w:rsidRPr="00465302">
        <w:t>. The zebrafish is also a reliable model to study drug and cellular metabolism owing to the expression of the full range of cytochrome P450 (Cyp) genes as well as the processes of adsorption, distribution, metabolism, and elimination being fairly well developed in this species</w:t>
      </w:r>
      <w:r w:rsidR="00815A25" w:rsidRPr="00465302">
        <w:t xml:space="preserve"> </w:t>
      </w:r>
      <w:r w:rsidR="00815A25" w:rsidRPr="00465302">
        <w:fldChar w:fldCharType="begin" w:fldLock="1"/>
      </w:r>
      <w:r w:rsidR="00815A25" w:rsidRPr="00465302">
        <w:instrText>ADDIN CSL_CITATION {"citationItems":[{"id":"ITEM-1","itemData":{"DOI":"10.1186/1471-2164-11-643","ISSN":"14712164","abstract":"Background: Increasing use of zebrafish in drug discovery and mechanistic toxicology demands knowledge of cytochrome P450 (CYP) gene regulation and function. CYP enzymes catalyze oxidative transformation leading to activation or inactivation of many endogenous and exogenous chemicals, with consequences for normal physiology and disease processes. Many CYPs potentially have roles in developmental specification, and many chemicals that cause developmental abnormalities are substrates for CYPs. Here we identify and annotate the full suite of CYP genes in zebrafish, compare these to the human CYP gene complement, and determine the expression of CYP genes during normal development.Results: Zebrafish have a total of 94 CYP genes, distributed among 18 gene families found also in mammals. There are 32 genes in CYP families 5 to 51, most of which are direct orthologs of human CYPs that are involved in endogenous functions including synthesis or inactivation of regulatory molecules. The high degree of sequence similarity suggests conservation of enzyme activities for these CYPs, confirmed in reports for some steroidogenic enzymes (e.g. CYP19, aromatase; CYP11A, P450scc; CYP17, steroid 17a-hydroxylase), and the CYP26 retinoic acid hydroxylases. Complexity is much greater in gene families 1, 2, and 3, which include CYPs prominent in metabolism of drugs and pollutants, as well as of endogenous substrates. There are orthologous relationships for some CYP1 s and some CYP3 s between zebrafish and human. In contrast, zebrafish have 47 CYP2 genes, compared to 16 in human, with only two (CYP2R1 and CYP2U1) recognized as orthologous based on sequence. Analysis of shared synteny identified CYP2 gene clusters evolutionarily related to mammalian CYP2 s, as well as unique clusters.Conclusions: Transcript profiling by microarray and quantitative PCR revealed that the majority of zebrafish CYP genes are expressed in embryos, with waves of expression of different sets of genes over the course of development. Transcripts of some CYP occur also in oocytes. The results provide a foundation for the use of zebrafish as a model in toxicological, pharmacological and chemical disease research. © 2010 Goldstone et al; licensee BioMed Central Ltd.","author":[{"dropping-particle":"V.","family":"Goldstone","given":"Jared","non-dropping-particle":"","parse-names":false,"suffix":""},{"dropping-particle":"","family":"McArthur","given":"Andrew G.","non-dropping-particle":"","parse-names":false,"suffix":""},{"dropping-particle":"","family":"Kubota","given":"Akira","non-dropping-particle":"","parse-names":false,"suffix":""},{"dropping-particle":"","family":"Zanette","given":"Juliano","non-dropping-particle":"","parse-names":false,"suffix":""},{"dropping-particle":"","family":"Parente","given":"Thiago","non-dropping-particle":"","parse-names":false,"suffix":""},{"dropping-particle":"","family":"Jönsson","given":"Maria E.","non-dropping-particle":"","parse-names":false,"suffix":""},{"dropping-particle":"","family":"Nelson","given":"David R.","non-dropping-particle":"","parse-names":false,"suffix":""},{"dropping-particle":"","family":"Stegeman","given":"John J.","non-dropping-particle":"","parse-names":false,"suffix":""}],"container-title":"BMC Genomics","id":"ITEM-1","issue":"1","issued":{"date-parts":[["2010"]]},"page":"643","publisher":"BioMed Central Ltd","title":"Identification and developmental expression of the full complement of Cytochrome P450 genes in Zebrafish","type":"article-journal","volume":"11"},"uris":["http://www.mendeley.com/documents/?uuid=f1852487-d2ba-479b-a626-88a20e03ee3f"]}],"mendeley":{"formattedCitation":"(Goldstone &lt;i&gt;et al.&lt;/i&gt;, 2010)","plainTextFormattedCitation":"(Goldstone et al., 2010)","previouslyFormattedCitation":"(Goldstone &lt;i&gt;et al.&lt;/i&gt;, 2010)"},"properties":{"noteIndex":0},"schema":"https://github.com/citation-style-language/schema/raw/master/csl-citation.json"}</w:instrText>
      </w:r>
      <w:r w:rsidR="00815A25" w:rsidRPr="00465302">
        <w:fldChar w:fldCharType="separate"/>
      </w:r>
      <w:r w:rsidR="00815A25" w:rsidRPr="00465302">
        <w:rPr>
          <w:noProof/>
        </w:rPr>
        <w:t xml:space="preserve">(Goldstone </w:t>
      </w:r>
      <w:r w:rsidR="00815A25" w:rsidRPr="00465302">
        <w:rPr>
          <w:i/>
          <w:noProof/>
        </w:rPr>
        <w:t>et al.</w:t>
      </w:r>
      <w:r w:rsidR="00815A25" w:rsidRPr="00465302">
        <w:rPr>
          <w:noProof/>
        </w:rPr>
        <w:t>, 2010)</w:t>
      </w:r>
      <w:r w:rsidR="00815A25" w:rsidRPr="00465302">
        <w:fldChar w:fldCharType="end"/>
      </w:r>
      <w:r w:rsidRPr="00465302">
        <w:t>. All of these features make it possible to model the health effects of environmental toxicants and their underlying mechanisms of action in zebrafish that could very well translate into mammalian systems</w:t>
      </w:r>
      <w:r w:rsidR="00815A25" w:rsidRPr="00465302">
        <w:t xml:space="preserve"> </w:t>
      </w:r>
      <w:r w:rsidR="00815A25" w:rsidRPr="00465302">
        <w:fldChar w:fldCharType="begin" w:fldLock="1"/>
      </w:r>
      <w:r w:rsidR="00815A25" w:rsidRPr="00465302">
        <w:instrText>ADDIN CSL_CITATION {"citationItems":[{"id":"ITEM-1","itemData":{"DOI":"10.1093/toxsci/kfi110","ISSN":"10966080","abstract":"Zebrafish (Danio rerio) has been a prominent model vertebrate in a variety of biological disciplines. Substantial information gathered from developmental and genetic research, together with near-completion of the zebrafish genome project, has placed zebrafish in an attractive position for use as a toxicological model. Although still in its infancy, there is a clear potential for zebrafish to provide valuable new insights into chemical toxicity, drug discovery, and human disease using recent advances in forward and reverse genetic techniques coupled with large-scale, high-throughput screening. Here we present an overview of the rapidly increasing use of zebrafish in toxicology. Advantages of the zebrafish both in identifying endpoints of toxicity and in elucidating mechanisms of toxicity are highlighted. © The Author 2005. Published by Oxford University Press on behalf of the Society of Toxicology. All rights reserved.","author":[{"dropping-particle":"","family":"Hill","given":"Adrian J.","non-dropping-particle":"","parse-names":false,"suffix":""},{"dropping-particle":"","family":"Teraoka","given":"Hiroki","non-dropping-particle":"","parse-names":false,"suffix":""},{"dropping-particle":"","family":"Heideman","given":"Warren","non-dropping-particle":"","parse-names":false,"suffix":""},{"dropping-particle":"","family":"Peterson","given":"Richard E.","non-dropping-particle":"","parse-names":false,"suffix":""}],"container-title":"Toxicological Sciences","id":"ITEM-1","issue":"1","issued":{"date-parts":[["2005"]]},"page":"6-19","title":"Zebrafish as a model vertebrate for investigating chemical toxicity","type":"article-journal","volume":"86"},"uris":["http://www.mendeley.com/documents/?uuid=2085a4d5-b53b-4f62-972e-4018de7582f7"]}],"mendeley":{"formattedCitation":"(Hill &lt;i&gt;et al.&lt;/i&gt;, 2005)","plainTextFormattedCitation":"(Hill et al., 2005)","previouslyFormattedCitation":"(Hill &lt;i&gt;et al.&lt;/i&gt;, 2005)"},"properties":{"noteIndex":0},"schema":"https://github.com/citation-style-language/schema/raw/master/csl-citation.json"}</w:instrText>
      </w:r>
      <w:r w:rsidR="00815A25" w:rsidRPr="00465302">
        <w:fldChar w:fldCharType="separate"/>
      </w:r>
      <w:r w:rsidR="00815A25" w:rsidRPr="00465302">
        <w:rPr>
          <w:noProof/>
        </w:rPr>
        <w:t xml:space="preserve">(Hill </w:t>
      </w:r>
      <w:r w:rsidR="00815A25" w:rsidRPr="00465302">
        <w:rPr>
          <w:i/>
          <w:noProof/>
        </w:rPr>
        <w:t>et al.</w:t>
      </w:r>
      <w:r w:rsidR="00815A25" w:rsidRPr="00465302">
        <w:rPr>
          <w:noProof/>
        </w:rPr>
        <w:t>, 2005)</w:t>
      </w:r>
      <w:r w:rsidR="00815A25" w:rsidRPr="00465302">
        <w:fldChar w:fldCharType="end"/>
      </w:r>
      <w:r w:rsidRPr="00465302">
        <w:t>. Such new model systems need to be implemented to more accurately assess the risk of emerging compounds.</w:t>
      </w:r>
    </w:p>
    <w:p w14:paraId="25104C1F" w14:textId="77777777" w:rsidR="00946607" w:rsidRPr="00465302" w:rsidRDefault="00946607" w:rsidP="00317481">
      <w:pPr>
        <w:pStyle w:val="Heading3"/>
      </w:pPr>
      <w:bookmarkStart w:id="15" w:name="_Toc39502032"/>
      <w:r w:rsidRPr="00465302">
        <w:t>1.2.1 Zebrafish as a High Throughput Screen Model</w:t>
      </w:r>
      <w:bookmarkEnd w:id="15"/>
      <w:r w:rsidRPr="00465302">
        <w:t> </w:t>
      </w:r>
    </w:p>
    <w:p w14:paraId="7D44FB2E" w14:textId="538AE7E0" w:rsidR="00946607" w:rsidRPr="00465302" w:rsidRDefault="00946607" w:rsidP="00946607">
      <w:pPr>
        <w:pStyle w:val="NormalWeb"/>
        <w:spacing w:before="0" w:beforeAutospacing="0" w:after="240" w:afterAutospacing="0" w:line="480" w:lineRule="auto"/>
        <w:jc w:val="both"/>
      </w:pPr>
      <w:r w:rsidRPr="00465302">
        <w:rPr>
          <w:rStyle w:val="Strong"/>
          <w:rFonts w:eastAsiaTheme="minorEastAsia"/>
          <w:b w:val="0"/>
          <w:bCs w:val="0"/>
        </w:rPr>
        <w:t>The zebrafish is highly amenable to high throughput screening due to its high fecundity, small size, rapid development, and suitability for live imaging. Due to these attributes, the zebrafish </w:t>
      </w:r>
      <w:r w:rsidRPr="00465302">
        <w:t>is being used as a first-pass screen to shortlist chemicals with the highest likelihood of posing risk to humans and which would require further mammalian testing</w:t>
      </w:r>
      <w:r w:rsidR="00815A25" w:rsidRPr="00465302">
        <w:t xml:space="preserve"> </w:t>
      </w:r>
      <w:r w:rsidR="00815A25" w:rsidRPr="00465302">
        <w:fldChar w:fldCharType="begin" w:fldLock="1"/>
      </w:r>
      <w:r w:rsidR="004727AC" w:rsidRPr="00465302">
        <w:instrText>ADDIN CSL_CITATION {"citationItems":[{"id":"ITEM-1","itemData":{"DOI":"10.1093/toxsci/kfl103","ISSN":"10966080","abstract":"The U.S. Environmental Protection Agency (EPA) is developing methods for utilizing computational chemistry, high-throughput screening (HTS), and various toxicogenomic technologies to predict potential for toxicity and prioritize limited testing resources toward chemicals that likely represent the greatest hazard to human health and the environment. This chemical prioritization research program, entitled ToxCast, is being initiated with the purpose of developing the ability to forecast toxicity based on bioactivity profiling. The proof-of-concept phase of ToxCast will focus upon chemicals with an existing, rich toxicological database in order to provide an interpretive context for the ToxCast data. This set of several hundred reference chemicals will represent numerous structural classes and phenotypic outcomes, including tumorigens, developmental and reproductive toxicants, neurotoxicants, and immunotoxicants. The ToxCast program will evaluate chemical properties and bioactivity profiles across a broad spectrum of data domains: physical-chemical, predicted biological activities based on existing structure-activity models, biochemical properties based on HTS assays, cell-based phenotypic assays, and genomic and metabolomic analyses of cells. These data will be generated through a series of external contracts, along with collaborations across EPA, with the National Toxicology Program, and with the National Institutes of Health Chemical Genomics Center. The resulting multidimensional data set provides an informatics challenge requiring appropriate computational methods for integrating various chemical, biological, and toxicological data into profiles and models predicting toxicity. © 2007 Oxford University Press.","author":[{"dropping-particle":"","family":"Dix","given":"David J.","non-dropping-particle":"","parse-names":false,"suffix":""},{"dropping-particle":"","family":"Houck","given":"Keith A.","non-dropping-particle":"","parse-names":false,"suffix":""},{"dropping-particle":"","family":"Martin","given":"Matthew T.","non-dropping-particle":"","parse-names":false,"suffix":""},{"dropping-particle":"","family":"Richard","given":"Ann M.","non-dropping-particle":"","parse-names":false,"suffix":""},{"dropping-particle":"","family":"Setzer","given":"R. Woodrow","non-dropping-particle":"","parse-names":false,"suffix":""},{"dropping-particle":"","family":"Kavlock","given":"Robert J.","non-dropping-particle":"","parse-names":false,"suffix":""}],"container-title":"Toxicological Sciences","id":"ITEM-1","issue":"1","issued":{"date-parts":[["2007"]]},"page":"5-12","title":"The toxcast program for prioritizing toxicity testing of environmental chemicals","type":"article-journal","volume":"95"},"uris":["http://www.mendeley.com/documents/?uuid=0275ece4-3f9e-4b5d-91b2-72aa57ec03e4"]}],"mendeley":{"formattedCitation":"(Dix &lt;i&gt;et al.&lt;/i&gt;, 2007)","plainTextFormattedCitation":"(Dix et al., 2007)","previouslyFormattedCitation":"(Dix &lt;i&gt;et al.&lt;/i&gt;, 2007)"},"properties":{"noteIndex":0},"schema":"https://github.com/citation-style-language/schema/raw/master/csl-citation.json"}</w:instrText>
      </w:r>
      <w:r w:rsidR="00815A25" w:rsidRPr="00465302">
        <w:fldChar w:fldCharType="separate"/>
      </w:r>
      <w:r w:rsidR="00815A25" w:rsidRPr="00465302">
        <w:rPr>
          <w:noProof/>
        </w:rPr>
        <w:t xml:space="preserve">(Dix </w:t>
      </w:r>
      <w:r w:rsidR="00815A25" w:rsidRPr="00465302">
        <w:rPr>
          <w:i/>
          <w:noProof/>
        </w:rPr>
        <w:t>et al.</w:t>
      </w:r>
      <w:r w:rsidR="00815A25" w:rsidRPr="00465302">
        <w:rPr>
          <w:noProof/>
        </w:rPr>
        <w:t>, 2007)</w:t>
      </w:r>
      <w:r w:rsidR="00815A25" w:rsidRPr="00465302">
        <w:fldChar w:fldCharType="end"/>
      </w:r>
      <w:r w:rsidRPr="00465302">
        <w:t>. Even r</w:t>
      </w:r>
      <w:r w:rsidRPr="00465302">
        <w:rPr>
          <w:rStyle w:val="Strong"/>
          <w:rFonts w:eastAsiaTheme="minorEastAsia"/>
          <w:b w:val="0"/>
          <w:bCs w:val="0"/>
        </w:rPr>
        <w:t xml:space="preserve">esearchers </w:t>
      </w:r>
      <w:r w:rsidRPr="00465302">
        <w:rPr>
          <w:rStyle w:val="Strong"/>
          <w:rFonts w:eastAsiaTheme="minorEastAsia"/>
          <w:b w:val="0"/>
          <w:bCs w:val="0"/>
        </w:rPr>
        <w:lastRenderedPageBreak/>
        <w:t>at the EPA have used the zebrafish developmental assay</w:t>
      </w:r>
      <w:r w:rsidRPr="00465302">
        <w:t xml:space="preserve"> to screen 1060 compounds from the ToxCast Phase I and II libraries for 18 different endpoints in </w:t>
      </w:r>
      <w:r w:rsidR="00F814BB">
        <w:t>five</w:t>
      </w:r>
      <w:r w:rsidRPr="00465302">
        <w:t xml:space="preserve"> </w:t>
      </w:r>
      <w:r w:rsidR="002023B2" w:rsidRPr="00465302">
        <w:t>days post fertilization (</w:t>
      </w:r>
      <w:r w:rsidRPr="00465302">
        <w:t>dpf</w:t>
      </w:r>
      <w:r w:rsidR="002023B2" w:rsidRPr="00465302">
        <w:t>)</w:t>
      </w:r>
      <w:r w:rsidRPr="00465302">
        <w:t xml:space="preserve"> zebrafish to add information to the toxicity assay database of the ToxCast library</w:t>
      </w:r>
      <w:r w:rsidR="004727AC" w:rsidRPr="00465302">
        <w:t xml:space="preserve"> </w:t>
      </w:r>
      <w:r w:rsidR="004727AC" w:rsidRPr="00465302">
        <w:fldChar w:fldCharType="begin" w:fldLock="1"/>
      </w:r>
      <w:r w:rsidR="004727AC" w:rsidRPr="00465302">
        <w:instrText>ADDIN CSL_CITATION {"citationItems":[{"id":"ITEM-1","itemData":{"DOI":"10.1016/J.REPROTOX.2011.10.018","ISSN":"0890-6238","abstract":"Zebrafish (Danio rerio) is an emerging toxicity screening model for both human health and ecology. As part of the Computational Toxicology Research Program of the U.S. EPA, the toxicity of the 309 ToxCast™ Phase I chemicals was assessed using a zebrafish screen for developmental toxicity. All exposures were by immersion from 6–8h post fertilization (hpf) to 5 days post fertilization (dpf); nominal concentration range of 1nM–80μM. On 6dpf larvae were assessed for death and overt structural defects. Results revealed that the majority (62%) of chemicals were toxic to the developing zebrafish; both toxicity incidence and potency was correlated with chemical class and hydrophobicity (logP); and inter-and intra-plate replicates showed good agreement. The zebrafish embryo screen, by providing an integrated model of the developing vertebrate, compliments the ToxCast assay portfolio and has the potential to provide information relative to overt and organismal toxicity.","author":[{"dropping-particle":"","family":"Padilla","given":"S.","non-dropping-particle":"","parse-names":false,"suffix":""},{"dropping-particle":"","family":"Corum","given":"D.","non-dropping-particle":"","parse-names":false,"suffix":""},{"dropping-particle":"","family":"Padnos","given":"B.","non-dropping-particle":"","parse-names":false,"suffix":""},{"dropping-particle":"","family":"Hunter","given":"D.L.","non-dropping-particle":"","parse-names":false,"suffix":""},{"dropping-particle":"","family":"Beam","given":"A.","non-dropping-particle":"","parse-names":false,"suffix":""},{"dropping-particle":"","family":"Houck","given":"K.A.","non-dropping-particle":"","parse-names":false,"suffix":""},{"dropping-particle":"","family":"Sipes","given":"N.","non-dropping-particle":"","parse-names":false,"suffix":""},{"dropping-particle":"","family":"Kleinstreuer","given":"N.","non-dropping-particle":"","parse-names":false,"suffix":""},{"dropping-particle":"","family":"Knudsen","given":"T.","non-dropping-particle":"","parse-names":false,"suffix":""},{"dropping-particle":"","family":"Dix","given":"D.J.","non-dropping-particle":"","parse-names":false,"suffix":""},{"dropping-particle":"","family":"Reif","given":"D.M.","non-dropping-particle":"","parse-names":false,"suffix":""}],"container-title":"Reproductive Toxicology","id":"ITEM-1","issue":"2","issued":{"date-parts":[["2012","4","1"]]},"page":"174-187","publisher":"Pergamon","title":"Zebrafish developmental screening of the ToxCast™ Phase I chemical library","type":"article-journal","volume":"33"},"uris":["http://www.mendeley.com/documents/?uuid=7f53081c-559d-3645-9255-dabced6d7faf"]},{"id":"ITEM-2","itemData":{"DOI":"10.1289/ehp.1002180","ISSN":"1552-9924","abstract":"BACKGROUND: The prioritization of chemicals for toxicity testing is a primary goal of the U.S. Environmental Protection Agency (EPA) ToxCast™ program. Phase I of ToxCast used a battery of 467 in vitro, high-throughput screening assays to assess 309 environmental chemicals. One important mode of action leading to toxicity is endocrine disruption, and the U.S. EPA's Endocrine Disruptor Screening Program (EDSP) has been charged with screening pesticide chemicals and environmental contaminants for their potential to affect the endocrine systems of humans and wildlife. OBJECTIVE: The goal of this study was to develop a flexible method to facilitate the rational prioritization of chemicals for further evaluation and demonstrate its application as a candidate decision-support tool for EDSP. METHODS: Focusing on estrogen, androgen, and thyroid pathways, we defined putative endocrine profiles and derived a relative rank or score for the entire ToxCast library of 309 unique chemicals. Effects on other nuclear receptors and xenobiotic metabolizing enzymes were also considered, as were pertinent chemical descriptors and pathways relevant to endocrine-mediated signaling. RESULTS: Combining multiple data sources into an overall, weight-of-evidence Toxicological Priority Index (ToxPi) score for prioritizing further chemical testing resulted in more robust conclusions than any single data source taken alone. CONCLUSIONS: Incorporating data from in vitro assays, chemical descriptors, and biological pathways in this prioritization schema provided a flexible, comprehensive visualization and ranking of each chemical's potential endocrine activity. Importantly, ToxPi profiles provide a transparent visualization of the relative contribution of all information sources to an overall priority ranking. The method developed here is readily adaptable to diverse chemical prioritization tasks.","author":[{"dropping-particle":"","family":"Reif","given":"David M","non-dropping-particle":"","parse-names":false,"suffix":""},{"dropping-particle":"","family":"Martin","given":"Matthew T","non-dropping-particle":"","parse-names":false,"suffix":""},{"dropping-particle":"","family":"Tan","given":"Shirlee W","non-dropping-particle":"","parse-names":false,"suffix":""},{"dropping-particle":"","family":"Houck","given":"Keith A","non-dropping-particle":"","parse-names":false,"suffix":""},{"dropping-particle":"","family":"Judson","given":"Richard S","non-dropping-particle":"","parse-names":false,"suffix":""},{"dropping-particle":"","family":"Richard","given":"Ann M","non-dropping-particle":"","parse-names":false,"suffix":""},{"dropping-particle":"","family":"Knudsen","given":"Thomas B","non-dropping-particle":"","parse-names":false,"suffix":""},{"dropping-particle":"","family":"Dix","given":"David J","non-dropping-particle":"","parse-names":false,"suffix":""},{"dropping-particle":"","family":"Kavlock","given":"Robert J","non-dropping-particle":"","parse-names":false,"suffix":""}],"container-title":"Environmental health perspectives","edition":"2010/09/08","id":"ITEM-2","issue":"12","issued":{"date-parts":[["2010","12"]]},"language":"eng","page":"1714-1720","publisher":"National Institute of Environmental Health Sciences","title":"Endocrine profiling and prioritization of environmental chemicals using ToxCast data","type":"article-journal","volume":"118"},"uris":["http://www.mendeley.com/documents/?uuid=a63fad8e-a146-4200-92c9-44557879bf61"]}],"mendeley":{"formattedCitation":"(Reif &lt;i&gt;et al.&lt;/i&gt;, 2010; Padilla &lt;i&gt;et al.&lt;/i&gt;, 2012)","plainTextFormattedCitation":"(Reif et al., 2010; Padilla et al., 2012)","previouslyFormattedCitation":"(Reif &lt;i&gt;et al.&lt;/i&gt;, 2010; Padilla &lt;i&gt;et al.&lt;/i&gt;, 2012)"},"properties":{"noteIndex":0},"schema":"https://github.com/citation-style-language/schema/raw/master/csl-citation.json"}</w:instrText>
      </w:r>
      <w:r w:rsidR="004727AC" w:rsidRPr="00465302">
        <w:fldChar w:fldCharType="separate"/>
      </w:r>
      <w:r w:rsidR="004727AC" w:rsidRPr="00465302">
        <w:rPr>
          <w:noProof/>
        </w:rPr>
        <w:t xml:space="preserve">(Reif </w:t>
      </w:r>
      <w:r w:rsidR="004727AC" w:rsidRPr="00465302">
        <w:rPr>
          <w:i/>
          <w:noProof/>
        </w:rPr>
        <w:t>et al.</w:t>
      </w:r>
      <w:r w:rsidR="004727AC" w:rsidRPr="00465302">
        <w:rPr>
          <w:noProof/>
        </w:rPr>
        <w:t xml:space="preserve">, 2010; Padilla </w:t>
      </w:r>
      <w:r w:rsidR="004727AC" w:rsidRPr="00465302">
        <w:rPr>
          <w:i/>
          <w:noProof/>
        </w:rPr>
        <w:t>et al.</w:t>
      </w:r>
      <w:r w:rsidR="004727AC" w:rsidRPr="00465302">
        <w:rPr>
          <w:noProof/>
        </w:rPr>
        <w:t>, 2012)</w:t>
      </w:r>
      <w:r w:rsidR="004727AC" w:rsidRPr="00465302">
        <w:fldChar w:fldCharType="end"/>
      </w:r>
      <w:r w:rsidRPr="00465302">
        <w:t xml:space="preserve">. Furthermore, in 2009, an international group of pharmaceutical companies formed a consortium to establish a zebrafish development assay to test whether </w:t>
      </w:r>
      <w:r w:rsidR="00F814BB">
        <w:t>ten</w:t>
      </w:r>
      <w:r w:rsidRPr="00465302">
        <w:t xml:space="preserve"> teratogenic compounds and </w:t>
      </w:r>
      <w:r w:rsidR="00F814BB">
        <w:t>ten</w:t>
      </w:r>
      <w:r w:rsidRPr="00465302">
        <w:t xml:space="preserve"> non-teratogens could be correctly distinguished and the results in zebrafish showed 60-70% concordance to mammalian data for the same compounds. A further 38 proprietary pharmaceutical compounds were tested in zebrafish by two independent laboratories and demonstrated a high concordance (79%) in their classifications</w:t>
      </w:r>
      <w:r w:rsidR="004727AC" w:rsidRPr="00465302">
        <w:t xml:space="preserve"> </w:t>
      </w:r>
      <w:r w:rsidR="004727AC" w:rsidRPr="00465302">
        <w:fldChar w:fldCharType="begin" w:fldLock="1"/>
      </w:r>
      <w:r w:rsidR="00CD0BB9" w:rsidRPr="00465302">
        <w:instrText>ADDIN CSL_CITATION {"citationItems":[{"id":"ITEM-1","itemData":{"DOI":"10.1016/j.reprotox.2011.12.004","ISSN":"08906238","abstract":"This report provides a progress update of a consortium effort to develop a harmonized zebrafish developmental toxicity assay. Twenty non-proprietary compounds (10 animal teratogens and 10 animal non-teratogens) were evaluated blinded in 4 laboratories. Zebrafish embryos from pond-derived and cultivated strain wild types were exposed to the test compounds for 5 days and subsequently evaluated for lethality and morphological changes. Each of the testing laboratories achieved similar overall concordance to the animal data (60-70%). Subsequent optimization procedures to improve the overall concordance focused on compound formulation and test concentration adjustments, chorion permeation and number of replicates. These optimized procedures were integrated into a revised protocol and all compounds were retested in one lab using embryos from pond-derived zebrafish and achieved 85% total concordance. To further assess assay performance, a study of additional compounds is currently in progress at two laboratories using embryos from pond-derived and cultivated-strain wild type zebrafish. © 2011 Elsevier Inc..","author":[{"dropping-particle":"","family":"Gustafson","given":"A. L.","non-dropping-particle":"","parse-names":false,"suffix":""},{"dropping-particle":"","family":"Stedman","given":"D. B.","non-dropping-particle":"","parse-names":false,"suffix":""},{"dropping-particle":"","family":"Ball","given":"J.","non-dropping-particle":"","parse-names":false,"suffix":""},{"dropping-particle":"","family":"Hillegass","given":"J. M.","non-dropping-particle":"","parse-names":false,"suffix":""},{"dropping-particle":"","family":"Flood","given":"A.","non-dropping-particle":"","parse-names":false,"suffix":""},{"dropping-particle":"","family":"Zhang","given":"C. X.","non-dropping-particle":"","parse-names":false,"suffix":""},{"dropping-particle":"","family":"Panzica-Kelly","given":"J.","non-dropping-particle":"","parse-names":false,"suffix":""},{"dropping-particle":"","family":"Cao","given":"J.","non-dropping-particle":"","parse-names":false,"suffix":""},{"dropping-particle":"","family":"Coburn","given":"A.","non-dropping-particle":"","parse-names":false,"suffix":""},{"dropping-particle":"","family":"Enright","given":"B. P.","non-dropping-particle":"","parse-names":false,"suffix":""},{"dropping-particle":"","family":"Tornesi","given":"M. B.","non-dropping-particle":"","parse-names":false,"suffix":""},{"dropping-particle":"","family":"Hetheridge","given":"M.","non-dropping-particle":"","parse-names":false,"suffix":""},{"dropping-particle":"","family":"Augustine-Rauch","given":"K. A.","non-dropping-particle":"","parse-names":false,"suffix":""}],"container-title":"Reproductive Toxicology","id":"ITEM-1","issue":"2","issued":{"date-parts":[["2012"]]},"page":"155-164","publisher":"Elsevier Inc.","title":"Inter-laboratory assessment of a harmonized zebrafish developmental toxicology assay - Progress report on phase I","type":"article-journal","volume":"33"},"uris":["http://www.mendeley.com/documents/?uuid=135da0bc-649d-484a-b9bc-edc4e99de274"]},{"id":"ITEM-2","itemData":{"DOI":"10.1093/toxsci/kfu017","ISSN":"10960929","abstract":"A consortium of biopharmaceutical companies previously developed an optimized Zebrafish developmental toxicity assay (ZEDTA) where chorionated embryos were exposed to non-proprietary test compounds from 5 to 6 h post fertilization and assessed for morphological integrity at 5 days post fertilization. With the original 20 test compounds, this achieved an overall predictive value for teratogenicity of 88% of mammalian in vivo outcome [Gustafson, A. L., Stedman, D. B., Ball, J., Hillegass, J. M., Flood, A., Zhang, C. X., Panzica-Kelly, J., Cao, J., Coburn, A., Enright, B. P., et al. (2012). Interlaboratory assessment of a harmonized Zebrafish developmental toxicology assay-Progress report on phase I. Reprod. Toxicol. 33, 155-164]. In the second phase of this project, 38 proprietary pharmaceutical compounds from four consortium members were evaluated in two laboratories using the optimized method using either pond-derived or cultivated-strain wild-type Zebrafish embryos at concentrations up to 100μM. Embryo uptake of all compounds was assessed using liquid chromatography-tandem mass spectrometry. Twenty eight of 38 compounds had a confirmed embryo uptake of &gt;5%, and with these compounds the ZEDTA achieved an overall predictive value of 82% and 65% at the two respective laboratories. When low-uptake compounds (≤ 5%) were retested with logarithmic concentrations up to 1000μM, the overall predictivity across all 38 compounds was 79% and 62% respectively, with the first laboratory achieving 74% sensitivity (teratogen detection) and 82% specificity (non-teratogen detection) and the second laboratory achieving 63% sensitivity (teratogen detection) and 62% specificity (non-teratogen detection). Subsequent data analyses showed that technical differences rather than strain differences were the primary contributor to interlaboratory differences in predictivity. Based on these results, the ZEDTA harmonized methodology is currently being used for compound assessment at lead optimization stage of development by 4/5 of the consortium companies. © The Author 2014. Published by Oxford University Press on behalf of the Society of Toxicology. All rights reserved.","author":[{"dropping-particle":"","family":"Ball","given":"Jonathan S.","non-dropping-particle":"","parse-names":false,"suffix":""},{"dropping-particle":"","family":"Stedman","given":"Donald B.","non-dropping-particle":"","parse-names":false,"suffix":""},{"dropping-particle":"","family":"Hillegass","given":"Jedd M.","non-dropping-particle":"","parse-names":false,"suffix":""},{"dropping-particle":"","family":"Zhang","given":"Cindy X.","non-dropping-particle":"","parse-names":false,"suffix":""},{"dropping-particle":"","family":"Panzica-kelly","given":"Julie","non-dropping-particle":"","parse-names":false,"suffix":""},{"dropping-particle":"","family":"Coburn","given":"Aleasha","non-dropping-particle":"","parse-names":false,"suffix":""},{"dropping-particle":"","family":"Enright","given":"Brian P.","non-dropping-particle":"","parse-names":false,"suffix":""},{"dropping-particle":"","family":"Tornesi","given":"Belen","non-dropping-particle":"","parse-names":false,"suffix":""},{"dropping-particle":"","family":"Amouzadeh","given":"Hamid R.","non-dropping-particle":"","parse-names":false,"suffix":""},{"dropping-particle":"","family":"Hetheridge","given":"Malcolm","non-dropping-particle":"","parse-names":false,"suffix":""},{"dropping-particle":"","family":"Gustafson","given":"Anne Lee","non-dropping-particle":"","parse-names":false,"suffix":""},{"dropping-particle":"","family":"Augustine-rauch","given":"Karen A.","non-dropping-particle":"","parse-names":false,"suffix":""}],"container-title":"Toxicological Sciences","id":"ITEM-2","issue":"1","issued":{"date-parts":[["2014"]]},"page":"210-219","title":"Fishing for teratogens: A consortium effort for a harmonized zebrafish developmental toxicology assay","type":"article-journal","volume":"139"},"uris":["http://www.mendeley.com/documents/?uuid=a1677796-4681-4ed4-85fd-f70338afe3d9"]}],"mendeley":{"formattedCitation":"(Gustafson &lt;i&gt;et al.&lt;/i&gt;, 2012; Ball &lt;i&gt;et al.&lt;/i&gt;, 2014)","plainTextFormattedCitation":"(Gustafson et al., 2012; Ball et al., 2014)","previouslyFormattedCitation":"(Gustafson &lt;i&gt;et al.&lt;/i&gt;, 2012; Ball &lt;i&gt;et al.&lt;/i&gt;, 2014)"},"properties":{"noteIndex":0},"schema":"https://github.com/citation-style-language/schema/raw/master/csl-citation.json"}</w:instrText>
      </w:r>
      <w:r w:rsidR="004727AC" w:rsidRPr="00465302">
        <w:fldChar w:fldCharType="separate"/>
      </w:r>
      <w:r w:rsidR="004727AC" w:rsidRPr="00465302">
        <w:rPr>
          <w:noProof/>
        </w:rPr>
        <w:t xml:space="preserve">(Gustafson </w:t>
      </w:r>
      <w:r w:rsidR="004727AC" w:rsidRPr="00465302">
        <w:rPr>
          <w:i/>
          <w:noProof/>
        </w:rPr>
        <w:t>et al.</w:t>
      </w:r>
      <w:r w:rsidR="004727AC" w:rsidRPr="00465302">
        <w:rPr>
          <w:noProof/>
        </w:rPr>
        <w:t xml:space="preserve">, 2012; Ball </w:t>
      </w:r>
      <w:r w:rsidR="004727AC" w:rsidRPr="00465302">
        <w:rPr>
          <w:i/>
          <w:noProof/>
        </w:rPr>
        <w:t>et al.</w:t>
      </w:r>
      <w:r w:rsidR="004727AC" w:rsidRPr="00465302">
        <w:rPr>
          <w:noProof/>
        </w:rPr>
        <w:t>, 2014)</w:t>
      </w:r>
      <w:r w:rsidR="004727AC" w:rsidRPr="00465302">
        <w:fldChar w:fldCharType="end"/>
      </w:r>
      <w:r w:rsidRPr="00465302">
        <w:t>. Thus, efforts to build databases and develop assays to predict human toxicity have capitalized on the use of zebrafish as a quick, medium to high-throughput </w:t>
      </w:r>
      <w:r w:rsidRPr="00465302">
        <w:rPr>
          <w:rStyle w:val="Emphasis"/>
        </w:rPr>
        <w:t>in vivo</w:t>
      </w:r>
      <w:r w:rsidRPr="00465302">
        <w:t xml:space="preserve"> system to accurately predict human toxicity. </w:t>
      </w:r>
    </w:p>
    <w:p w14:paraId="5A64FD35" w14:textId="77777777" w:rsidR="00946607" w:rsidRPr="00465302" w:rsidRDefault="00946607" w:rsidP="00317481">
      <w:pPr>
        <w:pStyle w:val="Heading3"/>
      </w:pPr>
      <w:bookmarkStart w:id="16" w:name="_Toc39502033"/>
      <w:r w:rsidRPr="00465302">
        <w:t>1.2.2 Zebrafish Lateral Line</w:t>
      </w:r>
      <w:bookmarkEnd w:id="16"/>
    </w:p>
    <w:p w14:paraId="6F52D0DD" w14:textId="12EE4ECD" w:rsidR="00946607" w:rsidRPr="00465302" w:rsidRDefault="00946607" w:rsidP="00242745">
      <w:pPr>
        <w:spacing w:before="0" w:line="480" w:lineRule="auto"/>
        <w:jc w:val="both"/>
        <w:rPr>
          <w:rFonts w:cs="Times New Roman"/>
          <w:szCs w:val="24"/>
        </w:rPr>
      </w:pPr>
      <w:r w:rsidRPr="00465302">
        <w:rPr>
          <w:rFonts w:cs="Times New Roman"/>
          <w:szCs w:val="24"/>
        </w:rPr>
        <w:t>The zebrafish lateral line is made up of mechanosensory organs called neuromasts which function to keep the fish oriented in response to water currents. The mature neuromast contains a group of hair-cells in the center which are surrounded by support cells which are then surrounded by mantle cells</w:t>
      </w:r>
      <w:r w:rsidR="00CD0BB9" w:rsidRPr="00465302">
        <w:rPr>
          <w:rFonts w:cs="Times New Roman"/>
          <w:szCs w:val="24"/>
        </w:rPr>
        <w:t xml:space="preserve"> </w:t>
      </w:r>
      <w:r w:rsidR="00CD0BB9" w:rsidRPr="00465302">
        <w:rPr>
          <w:rFonts w:cs="Times New Roman"/>
          <w:szCs w:val="24"/>
        </w:rPr>
        <w:fldChar w:fldCharType="begin" w:fldLock="1"/>
      </w:r>
      <w:r w:rsidR="00CD0BB9" w:rsidRPr="00465302">
        <w:rPr>
          <w:rFonts w:cs="Times New Roman"/>
          <w:szCs w:val="24"/>
        </w:rPr>
        <w:instrText>ADDIN CSL_CITATION {"citationItems":[{"id":"ITEM-1","itemData":{"DOI":"10.1002/neu.10123","ISSN":"00223034","abstract":"The zebrafish is an especially attractive model for the study of the development and function of the vertebrate inner ear. It combines rapid and accessible embryogenesis with a host of genetic and genomic tools for systematic gene discovery and analysis. A large collection of mutations affecting development and function of the ear and a related sensory system, the lateral line, have been isolated; several of these have now been cloned, and at least five provide models for human deafness disorders. Disruption of multiple genes, using both forward and reverse genetic approaches, has established key players - both signaling molecules and autonomous factors - responsible for induction and specification of the otic placode. Vestibular and auditory defects have been detected in adult animals, making the zebrafish a useful system in which to tackle the genetic causes of late onset deafness and vestibular disease. © 2002 Wiley Periodicals, Inc.","author":[{"dropping-particle":"","family":"Whitfield","given":"Tanya T.","non-dropping-particle":"","parse-names":false,"suffix":""}],"container-title":"Journal of Neurobiology","id":"ITEM-1","issue":"2","issued":{"date-parts":[["2002"]]},"page":"157-171","title":"Zebrafish as a model for hearing and deafness","type":"article-journal","volume":"53"},"uris":["http://www.mendeley.com/documents/?uuid=9bd33496-338c-4344-bad5-6d783d3bba97"]}],"mendeley":{"formattedCitation":"(Whitfield, 2002)","plainTextFormattedCitation":"(Whitfield, 2002)","previouslyFormattedCitation":"(Whitfield, 2002)"},"properties":{"noteIndex":0},"schema":"https://github.com/citation-style-language/schema/raw/master/csl-citation.json"}</w:instrText>
      </w:r>
      <w:r w:rsidR="00CD0BB9" w:rsidRPr="00465302">
        <w:rPr>
          <w:rFonts w:cs="Times New Roman"/>
          <w:szCs w:val="24"/>
        </w:rPr>
        <w:fldChar w:fldCharType="separate"/>
      </w:r>
      <w:r w:rsidR="00CD0BB9" w:rsidRPr="00465302">
        <w:rPr>
          <w:rFonts w:cs="Times New Roman"/>
          <w:noProof/>
          <w:szCs w:val="24"/>
        </w:rPr>
        <w:t>(Whitfield, 2002)</w:t>
      </w:r>
      <w:r w:rsidR="00CD0BB9" w:rsidRPr="00465302">
        <w:rPr>
          <w:rFonts w:cs="Times New Roman"/>
          <w:szCs w:val="24"/>
        </w:rPr>
        <w:fldChar w:fldCharType="end"/>
      </w:r>
      <w:r w:rsidRPr="00465302">
        <w:rPr>
          <w:rFonts w:cs="Times New Roman"/>
          <w:szCs w:val="24"/>
        </w:rPr>
        <w:t>. The neuromasts are deposited in a reproducible pattern on the surface of the body making them easily accessible for chemical exposure</w:t>
      </w:r>
      <w:r w:rsidR="00CD0BB9" w:rsidRPr="00465302">
        <w:rPr>
          <w:rFonts w:cs="Times New Roman"/>
          <w:szCs w:val="24"/>
        </w:rPr>
        <w:t xml:space="preserve"> </w:t>
      </w:r>
      <w:r w:rsidR="00CD0BB9" w:rsidRPr="00465302">
        <w:rPr>
          <w:rFonts w:cs="Times New Roman"/>
          <w:szCs w:val="24"/>
        </w:rPr>
        <w:fldChar w:fldCharType="begin" w:fldLock="1"/>
      </w:r>
      <w:r w:rsidR="00CD0BB9" w:rsidRPr="00465302">
        <w:rPr>
          <w:rFonts w:cs="Times New Roman"/>
          <w:szCs w:val="24"/>
        </w:rPr>
        <w:instrText>ADDIN CSL_CITATION {"citationItems":[{"id":"ITEM-1","itemData":{"DOI":"10.1007/s10162-008-0118-y","ISBN":"1206616415","ISSN":"15253961","abstract":"The zebrafish is a valuable model for studying hair cell development, structure, genetics, and behavior. Zebrafish and other aquatic vertebrates have hair cells on their body surface organized into a sensory system called the lateral line. These hair cells are highly accessible and easily visualized using fluorescent dyes. Morphological and functional similarities to mammalian hair cells of the inner ear make the zebrafish a powerful preparation for studying hair cell toxicity. The ototoxic potential of drugs has historically been uncovered by anecdotal reports that have led to more formal investigation. Currently, no standard screen for ototoxicity exists in drug development. Thus, for the vast majority of Food and Drug Association (FDA)-approved drugs, the ototoxic potential remains unknown. In this study, we used 5-day-old zebrafish larvae to screen a library of 1,040 FDA-approved drugs and bioactives (NINDS Custom Collection II) for ototoxic effects in hair cells of the lateral line. Hair cell nuclei were selectively labeled using a fluorescent vital dye. For the initial screen, fish were exposed to drugs from the library at a 100-μM concentration for 1 h in 96-well tissue culture plates. Hair cell viability was assessed in vivo using fluorescence microscopy. One thousand forty drugs were rapidly screened for ototoxic effects. Seven known ototoxic drugs included in the library, including neomycin and cisplatin, were positively identified using these methods, as proof of concept. Fourteen compounds without previously known ototoxicity were discovered to be selectively toxic to hair cells. Dose-response curves for all 21 ototoxic compounds were determined by quantifying hair cell survival as a function of drug concentration. Dose-response relationships in the mammalian inner ear for two of the compounds without known ototoxicity, pentamidine isethionate and propantheline bromide, were then examined using in vitro preparations of the adult mouse utricle. Significant dose-dependent hair cell loss in the mouse utricle was demonstrated for both compounds. This study represents an important step in validating the use of the zebrafish lateral line as a screening tool for the identification of potentially ototoxic drugs. © 2008 Association for Research in Otolaryngology.","author":[{"dropping-particle":"","family":"Chiu","given":"Lynn L.","non-dropping-particle":"","parse-names":false,"suffix":""},{"dropping-particle":"","family":"Cunningham","given":"Lisa L.","non-dropping-particle":"","parse-names":false,"suffix":""},{"dropping-particle":"","family":"Raible","given":"David W.","non-dropping-particle":"","parse-names":false,"suffix":""},{"dropping-particle":"","family":"Rubel","given":"Edwin W.","non-dropping-particle":"","parse-names":false,"suffix":""},{"dropping-particle":"","family":"Ou","given":"Henry C.","non-dropping-particle":"","parse-names":false,"suffix":""}],"container-title":"JARO - Journal of the Association for Research in Otolaryngology","id":"ITEM-1","issue":"2","issued":{"date-parts":[["2008"]]},"page":"178-190","title":"Using the zebrafish lateral line to screen for ototoxicity","type":"article-journal","volume":"9"},"uris":["http://www.mendeley.com/documents/?uuid=2483789c-47a9-409d-8eec-292321c0ec1e"]}],"mendeley":{"formattedCitation":"(Chiu &lt;i&gt;et al.&lt;/i&gt;, 2008)","plainTextFormattedCitation":"(Chiu et al., 2008)","previouslyFormattedCitation":"(Chiu &lt;i&gt;et al.&lt;/i&gt;, 2008)"},"properties":{"noteIndex":0},"schema":"https://github.com/citation-style-language/schema/raw/master/csl-citation.json"}</w:instrText>
      </w:r>
      <w:r w:rsidR="00CD0BB9" w:rsidRPr="00465302">
        <w:rPr>
          <w:rFonts w:cs="Times New Roman"/>
          <w:szCs w:val="24"/>
        </w:rPr>
        <w:fldChar w:fldCharType="separate"/>
      </w:r>
      <w:r w:rsidR="00CD0BB9" w:rsidRPr="00465302">
        <w:rPr>
          <w:rFonts w:cs="Times New Roman"/>
          <w:noProof/>
          <w:szCs w:val="24"/>
        </w:rPr>
        <w:t xml:space="preserve">(Chiu </w:t>
      </w:r>
      <w:r w:rsidR="00CD0BB9" w:rsidRPr="00465302">
        <w:rPr>
          <w:rFonts w:cs="Times New Roman"/>
          <w:i/>
          <w:noProof/>
          <w:szCs w:val="24"/>
        </w:rPr>
        <w:t>et al.</w:t>
      </w:r>
      <w:r w:rsidR="00CD0BB9" w:rsidRPr="00465302">
        <w:rPr>
          <w:rFonts w:cs="Times New Roman"/>
          <w:noProof/>
          <w:szCs w:val="24"/>
        </w:rPr>
        <w:t>, 2008)</w:t>
      </w:r>
      <w:r w:rsidR="00CD0BB9" w:rsidRPr="00465302">
        <w:rPr>
          <w:rFonts w:cs="Times New Roman"/>
          <w:szCs w:val="24"/>
        </w:rPr>
        <w:fldChar w:fldCharType="end"/>
      </w:r>
      <w:r w:rsidRPr="00465302">
        <w:rPr>
          <w:rFonts w:cs="Times New Roman"/>
          <w:szCs w:val="24"/>
        </w:rPr>
        <w:t xml:space="preserve">. In addition, there are several transgenic lines, such as the GW57A that express GFP in the support cells of the neuromasts, or the </w:t>
      </w:r>
      <w:r w:rsidR="009A0B96">
        <w:rPr>
          <w:rFonts w:cs="Times New Roman"/>
          <w:i/>
          <w:iCs/>
          <w:szCs w:val="24"/>
        </w:rPr>
        <w:t>T</w:t>
      </w:r>
      <w:r w:rsidRPr="00DD79FA">
        <w:rPr>
          <w:rFonts w:cs="Times New Roman"/>
          <w:i/>
          <w:iCs/>
          <w:szCs w:val="24"/>
        </w:rPr>
        <w:t>g</w:t>
      </w:r>
      <w:r w:rsidR="002851A4">
        <w:rPr>
          <w:rFonts w:cs="Times New Roman"/>
          <w:szCs w:val="24"/>
        </w:rPr>
        <w:t xml:space="preserve"> </w:t>
      </w:r>
      <w:r w:rsidRPr="00DD79FA">
        <w:rPr>
          <w:rFonts w:cs="Times New Roman"/>
          <w:i/>
          <w:iCs/>
          <w:szCs w:val="24"/>
        </w:rPr>
        <w:t>(cldnb:GFP)</w:t>
      </w:r>
      <w:r w:rsidRPr="00465302">
        <w:rPr>
          <w:rFonts w:cs="Times New Roman"/>
          <w:szCs w:val="24"/>
        </w:rPr>
        <w:t xml:space="preserve"> which expresses GFP in the migrating primordium as well as in the mature neuromasts, </w:t>
      </w:r>
      <w:r w:rsidR="002023B2" w:rsidRPr="00465302">
        <w:rPr>
          <w:rFonts w:cs="Times New Roman"/>
          <w:szCs w:val="24"/>
        </w:rPr>
        <w:t>allowing</w:t>
      </w:r>
      <w:r w:rsidRPr="00465302">
        <w:rPr>
          <w:rFonts w:cs="Times New Roman"/>
          <w:szCs w:val="24"/>
        </w:rPr>
        <w:t xml:space="preserve"> for live imaging</w:t>
      </w:r>
      <w:r w:rsidR="00CD0BB9" w:rsidRPr="00465302">
        <w:rPr>
          <w:rFonts w:cs="Times New Roman"/>
          <w:szCs w:val="24"/>
        </w:rPr>
        <w:t xml:space="preserve"> </w:t>
      </w:r>
      <w:r w:rsidR="00CD0BB9" w:rsidRPr="00465302">
        <w:rPr>
          <w:rFonts w:cs="Times New Roman"/>
          <w:szCs w:val="24"/>
        </w:rPr>
        <w:fldChar w:fldCharType="begin" w:fldLock="1"/>
      </w:r>
      <w:r w:rsidR="00CD0BB9" w:rsidRPr="00465302">
        <w:rPr>
          <w:rFonts w:cs="Times New Roman"/>
          <w:szCs w:val="24"/>
        </w:rPr>
        <w:instrText>ADDIN CSL_CITATION {"citationItems":[{"id":"ITEM-1","itemData":{"DOI":"10.1242/bio.012112","ISSN":"20466390","abstract":"Animals have evolved two general strategies to counter injury and maintain physiological function. The most prevalent is protection by isolating vital organs into body cavities. However, protection is not optimal for sensory systems because their external components need to be exposed to the environment to fulfill their receptive function. Thus, a common strategy to maintain sensory abilities against persistent environmental insult involves repair and regeneration. However, whether age or frequent injuries affect the regenerative capacity of sensory organs remains unknown. We have found that neuromasts of the zebrafish lateral line regenerate mechanosensory hair cells after recurrent severe injuries and in adulthood. Moreover, neuromasts can reverse transient imbalances of Notch signaling that result in defective organ proportions during repair. Our results reveal inextinguishable hair-cell regeneration in the lateral line, and suggest that the neuromast epithelium is formed by plastic territories that are maintained by continuous intercellular communication.","author":[{"dropping-particle":"","family":"Pinto-Teixeira","given":"Filipe","non-dropping-particle":"","parse-names":false,"suffix":""},{"dropping-particle":"","family":"Viader-Llargués","given":"Oriol","non-dropping-particle":"","parse-names":false,"suffix":""},{"dropping-particle":"","family":"Torres-Mejía","given":"Elen","non-dropping-particle":"","parse-names":false,"suffix":""},{"dropping-particle":"","family":"Turan","given":"Melissa","non-dropping-particle":"","parse-names":false,"suffix":""},{"dropping-particle":"","family":"González-Gualda","given":"Estela","non-dropping-particle":"","parse-names":false,"suffix":""},{"dropping-particle":"","family":"Pola-Morell","given":"Laura","non-dropping-particle":"","parse-names":false,"suffix":""},{"dropping-particle":"","family":"Loṕez-Schier","given":"Hernań","non-dropping-particle":"","parse-names":false,"suffix":""}],"container-title":"Biology Open","id":"ITEM-1","issue":"7","issued":{"date-parts":[["2015"]]},"page":"903-909","title":"Inexhaustible hair-cell regeneration in young and aged zebrafish","type":"article-journal","volume":"4"},"uris":["http://www.mendeley.com/documents/?uuid=51a0827c-7fa2-4d19-9a18-b2c3c6ccf595"]},{"id":"ITEM-2","itemData":{"DOI":"10.1016/j.devcel.2006.02.019","ISSN":"1534-5807","author":[{"dropping-particle":"","family":"Haas","given":"Petra","non-dropping-particle":"","parse-names":false,"suffix":""},{"dropping-particle":"","family":"Gilmour","given":"Darren","non-dropping-particle":"","parse-names":false,"suffix":""}],"container-title":"Developmental Cell","id":"ITEM-2","issue":"5","issued":{"date-parts":[["2006","5","1"]]},"note":"doi: 10.1016/j.devcel.2006.02.019","page":"673-680","publisher":"Elsevier","title":"Chemokine Signaling Mediates Self-Organizing Tissue Migration in the Zebrafish Lateral Line","type":"article-journal","volume":"10"},"uris":["http://www.mendeley.com/documents/?uuid=60f51d58-7c3f-4986-a97c-749e538e9ff9"]}],"mendeley":{"formattedCitation":"(Haas and Gilmour, 2006; Pinto-Teixeira &lt;i&gt;et al.&lt;/i&gt;, 2015)","plainTextFormattedCitation":"(Haas and Gilmour, 2006; Pinto-Teixeira et al., 2015)","previouslyFormattedCitation":"(Haas and Gilmour, 2006; Pinto-Teixeira &lt;i&gt;et al.&lt;/i&gt;, 2015)"},"properties":{"noteIndex":0},"schema":"https://github.com/citation-style-language/schema/raw/master/csl-citation.json"}</w:instrText>
      </w:r>
      <w:r w:rsidR="00CD0BB9" w:rsidRPr="00465302">
        <w:rPr>
          <w:rFonts w:cs="Times New Roman"/>
          <w:szCs w:val="24"/>
        </w:rPr>
        <w:fldChar w:fldCharType="separate"/>
      </w:r>
      <w:r w:rsidR="00CD0BB9" w:rsidRPr="00465302">
        <w:rPr>
          <w:rFonts w:cs="Times New Roman"/>
          <w:noProof/>
          <w:szCs w:val="24"/>
        </w:rPr>
        <w:t xml:space="preserve">(Haas and Gilmour, 2006; Pinto-Teixeira </w:t>
      </w:r>
      <w:r w:rsidR="00CD0BB9" w:rsidRPr="00465302">
        <w:rPr>
          <w:rFonts w:cs="Times New Roman"/>
          <w:i/>
          <w:noProof/>
          <w:szCs w:val="24"/>
        </w:rPr>
        <w:t xml:space="preserve">et </w:t>
      </w:r>
      <w:r w:rsidR="00CD0BB9" w:rsidRPr="00465302">
        <w:rPr>
          <w:rFonts w:cs="Times New Roman"/>
          <w:i/>
          <w:noProof/>
          <w:szCs w:val="24"/>
        </w:rPr>
        <w:lastRenderedPageBreak/>
        <w:t>al.</w:t>
      </w:r>
      <w:r w:rsidR="00CD0BB9" w:rsidRPr="00465302">
        <w:rPr>
          <w:rFonts w:cs="Times New Roman"/>
          <w:noProof/>
          <w:szCs w:val="24"/>
        </w:rPr>
        <w:t>, 2015)</w:t>
      </w:r>
      <w:r w:rsidR="00CD0BB9" w:rsidRPr="00465302">
        <w:rPr>
          <w:rFonts w:cs="Times New Roman"/>
          <w:szCs w:val="24"/>
        </w:rPr>
        <w:fldChar w:fldCharType="end"/>
      </w:r>
      <w:r w:rsidRPr="00465302">
        <w:rPr>
          <w:rFonts w:cs="Times New Roman"/>
          <w:szCs w:val="24"/>
        </w:rPr>
        <w:t xml:space="preserve">. Therefore, the hair cells in the zebrafish lateral line can be rapidly screened for toxic effects from targeted chemical(s). </w:t>
      </w:r>
    </w:p>
    <w:p w14:paraId="57239CBA" w14:textId="63D4F632" w:rsidR="00946607" w:rsidRPr="00465302" w:rsidRDefault="00946607" w:rsidP="00946607">
      <w:pPr>
        <w:spacing w:line="480" w:lineRule="auto"/>
        <w:jc w:val="both"/>
        <w:rPr>
          <w:rFonts w:cs="Times New Roman"/>
          <w:szCs w:val="24"/>
        </w:rPr>
      </w:pPr>
      <w:r w:rsidRPr="00465302">
        <w:rPr>
          <w:rFonts w:cs="Times New Roman"/>
          <w:szCs w:val="24"/>
        </w:rPr>
        <w:t>The zebrafish lateral line is an excellent system to study mammalian inner ear hair cell toxicity because the hair cell structure, function, and development is well conserved between the two including the cilia being organized with specific cell polarity and mechanotransduction</w:t>
      </w:r>
      <w:r w:rsidR="00CD0BB9" w:rsidRPr="00465302">
        <w:rPr>
          <w:rFonts w:cs="Times New Roman"/>
          <w:szCs w:val="24"/>
        </w:rPr>
        <w:t xml:space="preserve"> </w:t>
      </w:r>
      <w:r w:rsidR="00CD0BB9" w:rsidRPr="00465302">
        <w:rPr>
          <w:rFonts w:cs="Times New Roman"/>
          <w:szCs w:val="24"/>
        </w:rPr>
        <w:fldChar w:fldCharType="begin" w:fldLock="1"/>
      </w:r>
      <w:r w:rsidR="00CD0BB9" w:rsidRPr="00465302">
        <w:rPr>
          <w:rFonts w:cs="Times New Roman"/>
          <w:szCs w:val="24"/>
        </w:rPr>
        <w:instrText>ADDIN CSL_CITATION {"citationItems":[{"id":"ITEM-1","itemData":{"DOI":"10.1016/j.brainres.2009.02.028","ISSN":"1872-6240","abstract":"Death of mechanosensory cells in the inner ear results in two profound disabilities: hearing loss and balance disorders. Although mammals lack the capacity to regenerate hair cells, recent studies in mice and other rodents have offered valuable insight into strategies for stimulating hair cell regeneration in mammals. Investigations of model organisms that retain the ability to form new hair cells after embryogenesis, such as fish and birds, are equally important and have provided clues as to the cellular and molecular mechanisms that may block hair cell regeneration in mammals. Here, we summarize studies on hair cell regeneration in the chicken and the zebrafish, discuss specific advantages of each model, and propose future directions for the use of non-mammalian models in understanding hair cell regeneration.","author":[{"dropping-particle":"","family":"Brignull","given":"Heather R","non-dropping-particle":"","parse-names":false,"suffix":""},{"dropping-particle":"","family":"Raible","given":"David W","non-dropping-particle":"","parse-names":false,"suffix":""},{"dropping-particle":"","family":"Stone","given":"Jennifer S","non-dropping-particle":"","parse-names":false,"suffix":""}],"container-title":"Brain research","edition":"2009/02/24","id":"ITEM-1","issued":{"date-parts":[["2009","6","24"]]},"language":"eng","page":"12-23","title":"Feathers and fins: non-mammalian models for hair cell regeneration","type":"article-journal","volume":"1277"},"uris":["http://www.mendeley.com/documents/?uuid=7d03ed6a-3fc9-43f5-aeb4-7daadc512e47"]}],"mendeley":{"formattedCitation":"(Brignull, Raible and Stone, 2009)","plainTextFormattedCitation":"(Brignull, Raible and Stone, 2009)","previouslyFormattedCitation":"(Brignull, Raible and Stone, 2009)"},"properties":{"noteIndex":0},"schema":"https://github.com/citation-style-language/schema/raw/master/csl-citation.json"}</w:instrText>
      </w:r>
      <w:r w:rsidR="00CD0BB9" w:rsidRPr="00465302">
        <w:rPr>
          <w:rFonts w:cs="Times New Roman"/>
          <w:szCs w:val="24"/>
        </w:rPr>
        <w:fldChar w:fldCharType="separate"/>
      </w:r>
      <w:r w:rsidR="00CD0BB9" w:rsidRPr="00465302">
        <w:rPr>
          <w:rFonts w:cs="Times New Roman"/>
          <w:noProof/>
          <w:szCs w:val="24"/>
        </w:rPr>
        <w:t>(Brignull, Raible and Stone, 2009)</w:t>
      </w:r>
      <w:r w:rsidR="00CD0BB9" w:rsidRPr="00465302">
        <w:rPr>
          <w:rFonts w:cs="Times New Roman"/>
          <w:szCs w:val="24"/>
        </w:rPr>
        <w:fldChar w:fldCharType="end"/>
      </w:r>
      <w:r w:rsidRPr="00465302">
        <w:rPr>
          <w:rFonts w:cs="Times New Roman"/>
          <w:szCs w:val="24"/>
        </w:rPr>
        <w:t>. Even the functional mechanisms are conserved at the cellular level since several orthologs of human deafness genes identified in zebrafish also disrupted lateral line hair cell function</w:t>
      </w:r>
      <w:r w:rsidR="00CD0BB9" w:rsidRPr="00465302">
        <w:rPr>
          <w:rFonts w:cs="Times New Roman"/>
          <w:szCs w:val="24"/>
        </w:rPr>
        <w:t xml:space="preserve"> </w:t>
      </w:r>
      <w:r w:rsidR="00CD0BB9" w:rsidRPr="00465302">
        <w:rPr>
          <w:rFonts w:cs="Times New Roman"/>
          <w:szCs w:val="24"/>
        </w:rPr>
        <w:fldChar w:fldCharType="begin" w:fldLock="1"/>
      </w:r>
      <w:r w:rsidR="00CD0BB9" w:rsidRPr="00465302">
        <w:rPr>
          <w:rFonts w:cs="Times New Roman"/>
          <w:szCs w:val="24"/>
        </w:rPr>
        <w:instrText>ADDIN CSL_CITATION {"citationItems":[{"id":"ITEM-1","itemData":{"DOI":"10.1016/j.brainres.2009.02.028","ISSN":"1872-6240","abstract":"Death of mechanosensory cells in the inner ear results in two profound disabilities: hearing loss and balance disorders. Although mammals lack the capacity to regenerate hair cells, recent studies in mice and other rodents have offered valuable insight into strategies for stimulating hair cell regeneration in mammals. Investigations of model organisms that retain the ability to form new hair cells after embryogenesis, such as fish and birds, are equally important and have provided clues as to the cellular and molecular mechanisms that may block hair cell regeneration in mammals. Here, we summarize studies on hair cell regeneration in the chicken and the zebrafish, discuss specific advantages of each model, and propose future directions for the use of non-mammalian models in understanding hair cell regeneration.","author":[{"dropping-particle":"","family":"Brignull","given":"Heather R","non-dropping-particle":"","parse-names":false,"suffix":""},{"dropping-particle":"","family":"Raible","given":"David W","non-dropping-particle":"","parse-names":false,"suffix":""},{"dropping-particle":"","family":"Stone","given":"Jennifer S","non-dropping-particle":"","parse-names":false,"suffix":""}],"container-title":"Brain research","edition":"2009/02/24","id":"ITEM-1","issued":{"date-parts":[["2009","6","24"]]},"language":"eng","page":"12-23","title":"Feathers and fins: non-mammalian models for hair cell regeneration","type":"article-journal","volume":"1277"},"uris":["http://www.mendeley.com/documents/?uuid=7d03ed6a-3fc9-43f5-aeb4-7daadc512e47"]},{"id":"ITEM-2","itemData":{"DOI":"10.1146/annurev.genet.39.073003.105049","ISSN":"0066-4197","abstract":"AbstractThe zebrafish is an excellent model system for studying the molecular basis of inner ear development and function. The eggs develop ex utero and the ear is transparent for the first few weeks of life. Forward genetic screens and antisense technology have helped to elucidate the signaling pathways and molecules required for inner ear development and function. This review addresses the most recent advances in our understanding of how the ear forms and discusses the molecules in hair cells that are essential for sensing sound and movement in the zebrafish.","author":[{"dropping-particle":"","family":"Nicolson","given":"Teresa","non-dropping-particle":"","parse-names":false,"suffix":""}],"container-title":"Annual Review of Genetics","id":"ITEM-2","issue":"1","issued":{"date-parts":[["2005","11","14"]]},"note":"doi: 10.1146/annurev.genet.39.073003.105049","page":"9-22","publisher":"Annual Reviews","title":"The Genetics of Hearing and Balance in Zebrafish","type":"article-journal","volume":"39"},"uris":["http://www.mendeley.com/documents/?uuid=5d340d1c-30fc-4a42-8724-eb992954a791"]}],"mendeley":{"formattedCitation":"(Nicolson, 2005; Brignull, Raible and Stone, 2009)","plainTextFormattedCitation":"(Nicolson, 2005; Brignull, Raible and Stone, 2009)","previouslyFormattedCitation":"(Nicolson, 2005; Brignull, Raible and Stone, 2009)"},"properties":{"noteIndex":0},"schema":"https://github.com/citation-style-language/schema/raw/master/csl-citation.json"}</w:instrText>
      </w:r>
      <w:r w:rsidR="00CD0BB9" w:rsidRPr="00465302">
        <w:rPr>
          <w:rFonts w:cs="Times New Roman"/>
          <w:szCs w:val="24"/>
        </w:rPr>
        <w:fldChar w:fldCharType="separate"/>
      </w:r>
      <w:r w:rsidR="00CD0BB9" w:rsidRPr="00465302">
        <w:rPr>
          <w:rFonts w:cs="Times New Roman"/>
          <w:noProof/>
          <w:szCs w:val="24"/>
        </w:rPr>
        <w:t>(Nicolson, 2005; Brignull, Raible and Stone, 2009)</w:t>
      </w:r>
      <w:r w:rsidR="00CD0BB9" w:rsidRPr="00465302">
        <w:rPr>
          <w:rFonts w:cs="Times New Roman"/>
          <w:szCs w:val="24"/>
        </w:rPr>
        <w:fldChar w:fldCharType="end"/>
      </w:r>
      <w:r w:rsidRPr="00465302">
        <w:rPr>
          <w:rFonts w:cs="Times New Roman"/>
          <w:szCs w:val="24"/>
        </w:rPr>
        <w:t>. It has also been demonstrated that several ototoxic drugs identified in mammals and patients, such as aminoglycoside antibiotics like neomycin, and metal-based drugs like platinum drugs used for cancer, cause dose-dependent neuromast hair cell death</w:t>
      </w:r>
      <w:r w:rsidR="00CD0BB9" w:rsidRPr="00465302">
        <w:rPr>
          <w:rFonts w:cs="Times New Roman"/>
          <w:szCs w:val="24"/>
        </w:rPr>
        <w:t xml:space="preserve"> </w:t>
      </w:r>
      <w:r w:rsidR="00CD0BB9" w:rsidRPr="00465302">
        <w:rPr>
          <w:rFonts w:cs="Times New Roman"/>
          <w:szCs w:val="24"/>
        </w:rPr>
        <w:fldChar w:fldCharType="begin" w:fldLock="1"/>
      </w:r>
      <w:r w:rsidR="00CD0BB9" w:rsidRPr="00465302">
        <w:rPr>
          <w:rFonts w:cs="Times New Roman"/>
          <w:szCs w:val="24"/>
        </w:rPr>
        <w:instrText>ADDIN CSL_CITATION {"citationItems":[{"id":"ITEM-1","itemData":{"DOI":"10.1016/j.brainres.2009.02.028","ISSN":"1872-6240","abstract":"Death of mechanosensory cells in the inner ear results in two profound disabilities: hearing loss and balance disorders. Although mammals lack the capacity to regenerate hair cells, recent studies in mice and other rodents have offered valuable insight into strategies for stimulating hair cell regeneration in mammals. Investigations of model organisms that retain the ability to form new hair cells after embryogenesis, such as fish and birds, are equally important and have provided clues as to the cellular and molecular mechanisms that may block hair cell regeneration in mammals. Here, we summarize studies on hair cell regeneration in the chicken and the zebrafish, discuss specific advantages of each model, and propose future directions for the use of non-mammalian models in understanding hair cell regeneration.","author":[{"dropping-particle":"","family":"Brignull","given":"Heather R","non-dropping-particle":"","parse-names":false,"suffix":""},{"dropping-particle":"","family":"Raible","given":"David W","non-dropping-particle":"","parse-names":false,"suffix":""},{"dropping-particle":"","family":"Stone","given":"Jennifer S","non-dropping-particle":"","parse-names":false,"suffix":""}],"container-title":"Brain research","edition":"2009/02/24","id":"ITEM-1","issued":{"date-parts":[["2009","6","24"]]},"language":"eng","page":"12-23","title":"Feathers and fins: non-mammalian models for hair cell regeneration","type":"article-journal","volume":"1277"},"uris":["http://www.mendeley.com/documents/?uuid=7d03ed6a-3fc9-43f5-aeb4-7daadc512e47"]},{"id":"ITEM-2","itemData":{"DOI":"10.1523/JNEUROSCI.3905-11.2012","ISSN":"02706474","abstract":"The external location of the zebrafish lateral line makes it a powerful model for studying mechanosensory hair cell regeneration.Wehave developed a chemical screen to identify FDA-approved drugs and biologically active compounds that modulate hair cell regeneration in zebrafish. Of the 1680 compounds evaluated, we identified two enhancers and six inhibitors of regeneration. The two enhancers, dexamethasone and prednisolone, are synthetic glucocorticoids that potentiated hair cell numbers during regeneration and also induced hair cell addition in the absence of damage. BrdU analysis confirmed that the extra hair cells arose from mitotic activity. We found that dexamethasone and prednisolone, like other glucocorticoids, suppress zebrafish caudal fin regeneration, indicating that hair cell regeneration occurs by a distinctly different process. Further analyses of the regeneration inhibitors revealed that two of the six, flubendazole and topotecan, significantly suppress hair cell regeneration by preventing proliferation of hair cell precursors. Flubendazole halted support cell division in M-phase, possibly by interfering with normal microtubule activity. Topotecan, a topoisomerase inhibitor, killed both hair cells and proliferating hair cell precursors. A third inhibitor, fulvestrant, moderately delayed hair cell regeneration by reducing support cell proliferation. Our observation that hair cells do not regenerate when support cell proliferation is impeded confirms previous observations that cell division is the primary route for hair cell regeneration after neomycin treatment in zebrafish. © 2012 the authors.","author":[{"dropping-particle":"","family":"Namdaran","given":"Parhum","non-dropping-particle":"","parse-names":false,"suffix":""},{"dropping-particle":"","family":"Reinhart","given":"Katherine E.","non-dropping-particle":"","parse-names":false,"suffix":""},{"dropping-particle":"","family":"Owens","given":"Kelly N.","non-dropping-particle":"","parse-names":false,"suffix":""},{"dropping-particle":"","family":"Raible","given":"David W.","non-dropping-particle":"","parse-names":false,"suffix":""},{"dropping-particle":"","family":"Rubel","given":"Edwin W.","non-dropping-particle":"","parse-names":false,"suffix":""}],"container-title":"Journal of Neuroscience","id":"ITEM-2","issue":"10","issued":{"date-parts":[["2012"]]},"page":"3516-3528","title":"Identification of modulators of hair cell regeneration in the zebrafish lateral line","type":"article-journal","volume":"32"},"uris":["http://www.mendeley.com/documents/?uuid=1fb4619a-04ca-4d79-93dc-63db98fd7273"]}],"mendeley":{"formattedCitation":"(Brignull, Raible and Stone, 2009; Namdaran &lt;i&gt;et al.&lt;/i&gt;, 2012)","plainTextFormattedCitation":"(Brignull, Raible and Stone, 2009; Namdaran et al., 2012)","previouslyFormattedCitation":"(Brignull, Raible and Stone, 2009; Namdaran &lt;i&gt;et al.&lt;/i&gt;, 2012)"},"properties":{"noteIndex":0},"schema":"https://github.com/citation-style-language/schema/raw/master/csl-citation.json"}</w:instrText>
      </w:r>
      <w:r w:rsidR="00CD0BB9" w:rsidRPr="00465302">
        <w:rPr>
          <w:rFonts w:cs="Times New Roman"/>
          <w:szCs w:val="24"/>
        </w:rPr>
        <w:fldChar w:fldCharType="separate"/>
      </w:r>
      <w:r w:rsidR="00CD0BB9" w:rsidRPr="00465302">
        <w:rPr>
          <w:rFonts w:cs="Times New Roman"/>
          <w:noProof/>
          <w:szCs w:val="24"/>
        </w:rPr>
        <w:t xml:space="preserve">(Brignull, Raible and Stone, 2009; Namdaran </w:t>
      </w:r>
      <w:r w:rsidR="00CD0BB9" w:rsidRPr="00465302">
        <w:rPr>
          <w:rFonts w:cs="Times New Roman"/>
          <w:i/>
          <w:noProof/>
          <w:szCs w:val="24"/>
        </w:rPr>
        <w:t>et al.</w:t>
      </w:r>
      <w:r w:rsidR="00CD0BB9" w:rsidRPr="00465302">
        <w:rPr>
          <w:rFonts w:cs="Times New Roman"/>
          <w:noProof/>
          <w:szCs w:val="24"/>
        </w:rPr>
        <w:t>, 2012)</w:t>
      </w:r>
      <w:r w:rsidR="00CD0BB9" w:rsidRPr="00465302">
        <w:rPr>
          <w:rFonts w:cs="Times New Roman"/>
          <w:szCs w:val="24"/>
        </w:rPr>
        <w:fldChar w:fldCharType="end"/>
      </w:r>
      <w:r w:rsidRPr="00465302">
        <w:rPr>
          <w:rFonts w:cs="Times New Roman"/>
          <w:szCs w:val="24"/>
        </w:rPr>
        <w:t xml:space="preserve">. </w:t>
      </w:r>
      <w:r w:rsidR="00964DD4" w:rsidRPr="00465302">
        <w:rPr>
          <w:rFonts w:cs="Times New Roman"/>
          <w:szCs w:val="24"/>
        </w:rPr>
        <w:t>The PLL and its development is further described in Chapter 2.</w:t>
      </w:r>
    </w:p>
    <w:p w14:paraId="0C4081E3" w14:textId="77777777" w:rsidR="00946607" w:rsidRPr="00465302" w:rsidRDefault="00946607" w:rsidP="00317481">
      <w:pPr>
        <w:pStyle w:val="Heading3"/>
      </w:pPr>
      <w:bookmarkStart w:id="17" w:name="_Toc39502034"/>
      <w:r w:rsidRPr="00465302">
        <w:t>1.2.3 Zebrafish Vascular System</w:t>
      </w:r>
      <w:bookmarkEnd w:id="17"/>
    </w:p>
    <w:p w14:paraId="21C38DAD" w14:textId="4B522BD7" w:rsidR="00946607" w:rsidRPr="00465302" w:rsidRDefault="00946607" w:rsidP="00242745">
      <w:pPr>
        <w:spacing w:before="0" w:line="480" w:lineRule="auto"/>
        <w:jc w:val="both"/>
        <w:rPr>
          <w:rFonts w:cs="Times New Roman"/>
          <w:szCs w:val="24"/>
        </w:rPr>
      </w:pPr>
      <w:r w:rsidRPr="00465302">
        <w:rPr>
          <w:rFonts w:cs="Times New Roman"/>
          <w:szCs w:val="24"/>
        </w:rPr>
        <w:t xml:space="preserve">Zebrafish are a great model system to study vascular development and perturbations </w:t>
      </w:r>
      <w:r w:rsidRPr="00465302">
        <w:rPr>
          <w:rFonts w:cs="Times New Roman"/>
          <w:i/>
          <w:iCs/>
          <w:szCs w:val="24"/>
        </w:rPr>
        <w:t>in vivo</w:t>
      </w:r>
      <w:r w:rsidRPr="00465302">
        <w:rPr>
          <w:rFonts w:cs="Times New Roman"/>
          <w:szCs w:val="24"/>
        </w:rPr>
        <w:t xml:space="preserve"> owing to its ability for other organs and tissues to continue developing normally for several days in the embryos even when the cardiovascular system is disrupted by chemical exposure, whereas such disruptions are fatal to mammalian embryos</w:t>
      </w:r>
      <w:r w:rsidR="00CD0BB9" w:rsidRPr="00465302">
        <w:rPr>
          <w:rFonts w:cs="Times New Roman"/>
          <w:szCs w:val="24"/>
        </w:rPr>
        <w:t xml:space="preserve"> </w:t>
      </w:r>
      <w:r w:rsidR="00CD0BB9" w:rsidRPr="00465302">
        <w:rPr>
          <w:rFonts w:cs="Times New Roman"/>
          <w:szCs w:val="24"/>
        </w:rPr>
        <w:fldChar w:fldCharType="begin" w:fldLock="1"/>
      </w:r>
      <w:r w:rsidR="00CD0BB9" w:rsidRPr="00465302">
        <w:rPr>
          <w:rFonts w:cs="Times New Roman"/>
          <w:szCs w:val="24"/>
        </w:rPr>
        <w:instrText>ADDIN CSL_CITATION {"citationItems":[{"id":"ITEM-1","itemData":{"DOI":"10.1101/cshperspect.a006684","ISSN":"2157-1422","abstract":"The zebrafish has emerged as an excellent vertebrate model system for studying blood and lymphatic vascular development. The small size, external and rapid development, and optical transparency of zebrafish embryos are some of the advantages the zebrafish model system offers. Multiple well-established techniques have been developed for imaging and functionally manipulating vascular tissues in zebrafish embryos, expanding on and amplifying these basic advantages and accelerating use of this model system for studying vascular development. In the past decade, studies performed using zebrafish as a model system have provided many novel insights into vascular development. In this article we discuss the amenability of this model system for studying blood vessel development and review contributions made by this system to our understanding of vascular development.","author":[{"dropping-particle":"V","family":"Gore","given":"Aniket","non-dropping-particle":"","parse-names":false,"suffix":""},{"dropping-particle":"","family":"Monzo","given":"Kathryn","non-dropping-particle":"","parse-names":false,"suffix":""},{"dropping-particle":"","family":"Cha","given":"Young R","non-dropping-particle":"","parse-names":false,"suffix":""},{"dropping-particle":"","family":"Pan","given":"Weijun","non-dropping-particle":"","parse-names":false,"suffix":""},{"dropping-particle":"","family":"Weinstein","given":"Brant M","non-dropping-particle":"","parse-names":false,"suffix":""}],"container-title":"Cold Spring Harbor perspectives in medicine","id":"ITEM-1","issue":"5","issued":{"date-parts":[["2012","5"]]},"language":"eng","page":"a006684-a006684","publisher":"Cold Spring Harbor Laboratory Press","title":"Vascular development in the zebrafish","type":"article-journal","volume":"2"},"uris":["http://www.mendeley.com/documents/?uuid=bd851a62-937f-4905-95aa-bb77654b599e"]},{"id":"ITEM-2","itemData":{"DOI":"10.1016/j.devcel.2017.08.015","ISSN":"18781551","abstract":"Our vasculature plays diverse and critical roles in homeostasis and disease. In recent decades, the use of zebrafish has driven our understanding of vascular development into new areas, identifying new genes and mechanisms controlling vessel formation and allowing unprecedented observation of the cellular and molecular events that shape the developing vasculature. Here, we highlight key mechanisms controlling formation of the zebrafish vasculature and investigate how knowledge from this highly tractable model system has informed our understanding of vascular disease in humans. Hogan and Schulte-Merker present a review discussing formation of the zebrafish vasculature. They highlight both the genes and mechanisms controlling vessel formation and connect this to the use of this model system for the study of vascular disease.","author":[{"dropping-particle":"","family":"Hogan","given":"Benjamin M.","non-dropping-particle":"","parse-names":false,"suffix":""},{"dropping-particle":"","family":"Schulte-Merker","given":"Stefan","non-dropping-particle":"","parse-names":false,"suffix":""}],"container-title":"Developmental Cell","id":"ITEM-2","issue":"6","issued":{"date-parts":[["2017"]]},"page":"567-583","publisher":"Elsevier","title":"How to Plumb a Pisces: Understanding Vascular Development and Disease Using Zebrafish Embryos","type":"article-journal","volume":"42"},"uris":["http://www.mendeley.com/documents/?uuid=66785479-57fc-4f07-94fa-1c8da264f66a"]}],"mendeley":{"formattedCitation":"(Gore &lt;i&gt;et al.&lt;/i&gt;, 2012; Hogan and Schulte-Merker, 2017)","plainTextFormattedCitation":"(Gore et al., 2012; Hogan and Schulte-Merker, 2017)","previouslyFormattedCitation":"(Gore &lt;i&gt;et al.&lt;/i&gt;, 2012; Hogan and Schulte-Merker, 2017)"},"properties":{"noteIndex":0},"schema":"https://github.com/citation-style-language/schema/raw/master/csl-citation.json"}</w:instrText>
      </w:r>
      <w:r w:rsidR="00CD0BB9" w:rsidRPr="00465302">
        <w:rPr>
          <w:rFonts w:cs="Times New Roman"/>
          <w:szCs w:val="24"/>
        </w:rPr>
        <w:fldChar w:fldCharType="separate"/>
      </w:r>
      <w:r w:rsidR="00CD0BB9" w:rsidRPr="00465302">
        <w:rPr>
          <w:rFonts w:cs="Times New Roman"/>
          <w:noProof/>
          <w:szCs w:val="24"/>
        </w:rPr>
        <w:t xml:space="preserve">(Gore </w:t>
      </w:r>
      <w:r w:rsidR="00CD0BB9" w:rsidRPr="00465302">
        <w:rPr>
          <w:rFonts w:cs="Times New Roman"/>
          <w:i/>
          <w:noProof/>
          <w:szCs w:val="24"/>
        </w:rPr>
        <w:t>et al.</w:t>
      </w:r>
      <w:r w:rsidR="00CD0BB9" w:rsidRPr="00465302">
        <w:rPr>
          <w:rFonts w:cs="Times New Roman"/>
          <w:noProof/>
          <w:szCs w:val="24"/>
        </w:rPr>
        <w:t>, 2012; Hogan and Schulte-Merker, 2017)</w:t>
      </w:r>
      <w:r w:rsidR="00CD0BB9" w:rsidRPr="00465302">
        <w:rPr>
          <w:rFonts w:cs="Times New Roman"/>
          <w:szCs w:val="24"/>
        </w:rPr>
        <w:fldChar w:fldCharType="end"/>
      </w:r>
      <w:r w:rsidRPr="00465302">
        <w:rPr>
          <w:rFonts w:cs="Times New Roman"/>
          <w:szCs w:val="24"/>
        </w:rPr>
        <w:t>. It is believed that the early fish embryo survives without a vasculature because its small size allows for oxygen diffusion to all cells. This trait allows for the identification of specific disruptors of the vascular system. Furthermore, zebrafish and mammals express a common set of early hematopoietic and endothelial cell genes</w:t>
      </w:r>
      <w:r w:rsidR="002023B2" w:rsidRPr="00465302">
        <w:rPr>
          <w:rFonts w:cs="Times New Roman"/>
          <w:szCs w:val="24"/>
        </w:rPr>
        <w:t>,</w:t>
      </w:r>
      <w:r w:rsidRPr="00465302">
        <w:rPr>
          <w:rFonts w:cs="Times New Roman"/>
          <w:szCs w:val="24"/>
        </w:rPr>
        <w:t xml:space="preserve"> such as stem cell leukemia (scl) and vascular endothelial growth factor receptor 2 (vegfr2)</w:t>
      </w:r>
      <w:r w:rsidR="00CD0BB9" w:rsidRPr="00465302">
        <w:rPr>
          <w:rFonts w:cs="Times New Roman"/>
          <w:szCs w:val="24"/>
        </w:rPr>
        <w:t xml:space="preserve"> </w:t>
      </w:r>
      <w:r w:rsidR="00CD0BB9" w:rsidRPr="00465302">
        <w:rPr>
          <w:rFonts w:cs="Times New Roman"/>
          <w:szCs w:val="24"/>
        </w:rPr>
        <w:fldChar w:fldCharType="begin" w:fldLock="1"/>
      </w:r>
      <w:r w:rsidR="00CD0BB9" w:rsidRPr="00465302">
        <w:rPr>
          <w:rFonts w:cs="Times New Roman"/>
          <w:szCs w:val="24"/>
        </w:rPr>
        <w:instrText>ADDIN CSL_CITATION {"citationItems":[{"id":"ITEM-1","itemData":{"DOI":"10.1101/cshperspect.a006684","ISSN":"2157-1422","abstract":"The zebrafish has emerged as an excellent vertebrate model system for studying blood and lymphatic vascular development. The small size, external and rapid development, and optical transparency of zebrafish embryos are some of the advantages the zebrafish model system offers. Multiple well-established techniques have been developed for imaging and functionally manipulating vascular tissues in zebrafish embryos, expanding on and amplifying these basic advantages and accelerating use of this model system for studying vascular development. In the past decade, studies performed using zebrafish as a model system have provided many novel insights into vascular development. In this article we discuss the amenability of this model system for studying blood vessel development and review contributions made by this system to our understanding of vascular development.","author":[{"dropping-particle":"V","family":"Gore","given":"Aniket","non-dropping-particle":"","parse-names":false,"suffix":""},{"dropping-particle":"","family":"Monzo","given":"Kathryn","non-dropping-particle":"","parse-names":false,"suffix":""},{"dropping-particle":"","family":"Cha","given":"Young R","non-dropping-particle":"","parse-names":false,"suffix":""},{"dropping-particle":"","family":"Pan","given":"Weijun","non-dropping-particle":"","parse-names":false,"suffix":""},{"dropping-particle":"","family":"Weinstein","given":"Brant M","non-dropping-particle":"","parse-names":false,"suffix":""}],"container-title":"Cold Spring Harbor perspectives in medicine","id":"ITEM-1","issue":"5","issued":{"date-parts":[["2012","5"]]},"language":"eng","page":"a006684-a006684","publisher":"Cold Spring Harbor Laboratory Press","title":"Vascular development in the zebrafish","type":"article-journal","volume":"2"},"uris":["http://www.mendeley.com/documents/?uuid=bd851a62-937f-4905-95aa-bb77654b599e"]},{"id":"ITEM-2","itemData":{"DOI":"10.1016/B978-0-12-386930-2.00005-7","ISBN":"9780123869302","ISSN":"18771173","abstract":"The zebrafish has recently emerged as an important animal model to study the formation of the vertebrate vascular network. The small size, optical translucency, and genetic tractability of the zebrafish embryo, in combination with an abundance of fluorescent transgenic lines which permit direct visualization of in vivo vessel formation, have greatly advanced our understanding of vascular biology. Widespread adoption of this powerful system has led to many important discoveries in relation to the mechanisms that underlie blood vessel formation. This review highlights the contribution of the zebrafish system to the current understanding of blood vessel formation and the use of zebrafish to model human vascular disease. © 2014 Elsevier Inc.","author":[{"dropping-particle":"","family":"Wilkinson","given":"Robert N.","non-dropping-particle":"","parse-names":false,"suffix":""},{"dropping-particle":"","family":"Eeden","given":"Fredericus J.M.","non-dropping-particle":"Van","parse-names":false,"suffix":""}],"container-title":"Progress in Molecular Biology and Translational Science","edition":"1","id":"ITEM-2","issued":{"date-parts":[["2014"]]},"number-of-pages":"93-122","publisher":"Elsevier Inc.","title":"The zebrafish as a model of vascular development and disease","type":"book","volume":"124"},"uris":["http://www.mendeley.com/documents/?uuid=dc156427-39c7-4b00-8ac1-c07d5b7ccdd3"]}],"mendeley":{"formattedCitation":"(Gore &lt;i&gt;et al.&lt;/i&gt;, 2012; Wilkinson and Van Eeden, 2014)","plainTextFormattedCitation":"(Gore et al., 2012; Wilkinson and Van Eeden, 2014)","previouslyFormattedCitation":"(Gore &lt;i&gt;et al.&lt;/i&gt;, 2012; Wilkinson and Van Eeden, 2014)"},"properties":{"noteIndex":0},"schema":"https://github.com/citation-style-language/schema/raw/master/csl-citation.json"}</w:instrText>
      </w:r>
      <w:r w:rsidR="00CD0BB9" w:rsidRPr="00465302">
        <w:rPr>
          <w:rFonts w:cs="Times New Roman"/>
          <w:szCs w:val="24"/>
        </w:rPr>
        <w:fldChar w:fldCharType="separate"/>
      </w:r>
      <w:r w:rsidR="00CD0BB9" w:rsidRPr="00465302">
        <w:rPr>
          <w:rFonts w:cs="Times New Roman"/>
          <w:noProof/>
          <w:szCs w:val="24"/>
        </w:rPr>
        <w:t xml:space="preserve">(Gore </w:t>
      </w:r>
      <w:r w:rsidR="00CD0BB9" w:rsidRPr="00465302">
        <w:rPr>
          <w:rFonts w:cs="Times New Roman"/>
          <w:i/>
          <w:noProof/>
          <w:szCs w:val="24"/>
        </w:rPr>
        <w:t>et al.</w:t>
      </w:r>
      <w:r w:rsidR="00CD0BB9" w:rsidRPr="00465302">
        <w:rPr>
          <w:rFonts w:cs="Times New Roman"/>
          <w:noProof/>
          <w:szCs w:val="24"/>
        </w:rPr>
        <w:t>, 2012; Wilkinson and Van Eeden, 2014)</w:t>
      </w:r>
      <w:r w:rsidR="00CD0BB9" w:rsidRPr="00465302">
        <w:rPr>
          <w:rFonts w:cs="Times New Roman"/>
          <w:szCs w:val="24"/>
        </w:rPr>
        <w:fldChar w:fldCharType="end"/>
      </w:r>
      <w:r w:rsidRPr="00465302">
        <w:rPr>
          <w:rFonts w:cs="Times New Roman"/>
          <w:szCs w:val="24"/>
        </w:rPr>
        <w:t xml:space="preserve">. The rapid </w:t>
      </w:r>
      <w:r w:rsidRPr="00465302">
        <w:rPr>
          <w:rFonts w:cs="Times New Roman"/>
          <w:szCs w:val="24"/>
        </w:rPr>
        <w:lastRenderedPageBreak/>
        <w:t>development of the vascular system, where circulation has already begun by two dpf and the availability of several transgenic lines expressing fluorescence in the vasculature, also make it a promising model system for chemical screens or study of vascular development</w:t>
      </w:r>
      <w:r w:rsidR="00CD0BB9" w:rsidRPr="00465302">
        <w:rPr>
          <w:rFonts w:cs="Times New Roman"/>
          <w:szCs w:val="24"/>
        </w:rPr>
        <w:t xml:space="preserve"> </w:t>
      </w:r>
      <w:r w:rsidR="00CD0BB9" w:rsidRPr="00465302">
        <w:rPr>
          <w:rFonts w:cs="Times New Roman"/>
          <w:szCs w:val="24"/>
        </w:rPr>
        <w:fldChar w:fldCharType="begin" w:fldLock="1"/>
      </w:r>
      <w:r w:rsidR="00CD0BB9" w:rsidRPr="00465302">
        <w:rPr>
          <w:rFonts w:cs="Times New Roman"/>
          <w:szCs w:val="24"/>
        </w:rPr>
        <w:instrText>ADDIN CSL_CITATION {"citationItems":[{"id":"ITEM-1","itemData":{"DOI":"10.1006/dbio.2000.9995","ISSN":"00121606","abstract":"We have used confocal microangiography to examine and describe the vascular anatomy of the developing zebrafish, Danio rerio. This method and the profound optical clarity of zebrafish embryos make it possible to view the entire developing vasculature with unprecedented resolution. A staged series of three-dimensional images of the vascular system were collected beginning shortly after the onset of circulation at 1 day postfertilization through early- to midlarval stages at approximately 7 days postfertilization. Blood vessels in every region of the animal were imaged at each stage, and detailed \"wiring patterns\" were derived describing the interconnections between every major vessel. We present an overview of these data here in this paper and in an accompanying Web site \"The interactive atlas of zebrafish vascular anatomy\" online at (http://eclipse.nichd.nih.gov/nichd/lmg/redirect.html). We find a highly dynamic but also highly stereotypic pattern of vascular connections, with different sets of primitive embryonic vessels severing connections and rewiring in new configurations according to a reproducible plan. We also find that despite variation in the details of the vascular anatomy, the basic vascular plan of the developing zebrafish shows strong similarity to that of other vertebrates. This atlas will provide an invaluable foundation for future genetic and experimental studies of vascular development in the zebrafish.","author":[{"dropping-particle":"","family":"Isogai","given":"Sumio","non-dropping-particle":"","parse-names":false,"suffix":""},{"dropping-particle":"","family":"Horiguchi","given":"Masaharu","non-dropping-particle":"","parse-names":false,"suffix":""},{"dropping-particle":"","family":"Weinstein","given":"Brant M.","non-dropping-particle":"","parse-names":false,"suffix":""}],"container-title":"Developmental Biology","id":"ITEM-1","issue":"2","issued":{"date-parts":[["2001"]]},"page":"278-301","title":"The vascular anatomy of the developing zebrafish: An atlas of embryonic and early larval development","type":"article-journal","volume":"230"},"uris":["http://www.mendeley.com/documents/?uuid=5d256fbf-cfeb-4df8-99b6-197e88363afa"]},{"id":"ITEM-2","itemData":{"DOI":"10.1101/cshperspect.a006684","ISSN":"2157-1422","abstract":"The zebrafish has emerged as an excellent vertebrate model system for studying blood and lymphatic vascular development. The small size, external and rapid development, and optical transparency of zebrafish embryos are some of the advantages the zebrafish model system offers. Multiple well-established techniques have been developed for imaging and functionally manipulating vascular tissues in zebrafish embryos, expanding on and amplifying these basic advantages and accelerating use of this model system for studying vascular development. In the past decade, studies performed using zebrafish as a model system have provided many novel insights into vascular development. In this article we discuss the amenability of this model system for studying blood vessel development and review contributions made by this system to our understanding of vascular development.","author":[{"dropping-particle":"V","family":"Gore","given":"Aniket","non-dropping-particle":"","parse-names":false,"suffix":""},{"dropping-particle":"","family":"Monzo","given":"Kathryn","non-dropping-particle":"","parse-names":false,"suffix":""},{"dropping-particle":"","family":"Cha","given":"Young R","non-dropping-particle":"","parse-names":false,"suffix":""},{"dropping-particle":"","family":"Pan","given":"Weijun","non-dropping-particle":"","parse-names":false,"suffix":""},{"dropping-particle":"","family":"Weinstein","given":"Brant M","non-dropping-particle":"","parse-names":false,"suffix":""}],"container-title":"Cold Spring Harbor perspectives in medicine","id":"ITEM-2","issue":"5","issued":{"date-parts":[["2012","5"]]},"language":"eng","page":"a006684-a006684","publisher":"Cold Spring Harbor Laboratory Press","title":"Vascular development in the zebrafish","type":"article-journal","volume":"2"},"uris":["http://www.mendeley.com/documents/?uuid=bd851a62-937f-4905-95aa-bb77654b599e"]},{"id":"ITEM-3","itemData":{"DOI":"10.1016/B978-0-12-386930-2.00005-7","ISBN":"9780123869302","ISSN":"18771173","abstract":"The zebrafish has recently emerged as an important animal model to study the formation of the vertebrate vascular network. The small size, optical translucency, and genetic tractability of the zebrafish embryo, in combination with an abundance of fluorescent transgenic lines which permit direct visualization of in vivo vessel formation, have greatly advanced our understanding of vascular biology. Widespread adoption of this powerful system has led to many important discoveries in relation to the mechanisms that underlie blood vessel formation. This review highlights the contribution of the zebrafish system to the current understanding of blood vessel formation and the use of zebrafish to model human vascular disease. © 2014 Elsevier Inc.","author":[{"dropping-particle":"","family":"Wilkinson","given":"Robert N.","non-dropping-particle":"","parse-names":false,"suffix":""},{"dropping-particle":"","family":"Eeden","given":"Fredericus J.M.","non-dropping-particle":"Van","parse-names":false,"suffix":""}],"container-title":"Progress in Molecular Biology and Translational Science","edition":"1","id":"ITEM-3","issued":{"date-parts":[["2014"]]},"number-of-pages":"93-122","publisher":"Elsevier Inc.","title":"The zebrafish as a model of vascular development and disease","type":"book","volume":"124"},"uris":["http://www.mendeley.com/documents/?uuid=dc156427-39c7-4b00-8ac1-c07d5b7ccdd3"]}],"mendeley":{"formattedCitation":"(Isogai, Horiguchi and Weinstein, 2001; Gore &lt;i&gt;et al.&lt;/i&gt;, 2012; Wilkinson and Van Eeden, 2014)","plainTextFormattedCitation":"(Isogai, Horiguchi and Weinstein, 2001; Gore et al., 2012; Wilkinson and Van Eeden, 2014)","previouslyFormattedCitation":"(Isogai, Horiguchi and Weinstein, 2001; Gore &lt;i&gt;et al.&lt;/i&gt;, 2012; Wilkinson and Van Eeden, 2014)"},"properties":{"noteIndex":0},"schema":"https://github.com/citation-style-language/schema/raw/master/csl-citation.json"}</w:instrText>
      </w:r>
      <w:r w:rsidR="00CD0BB9" w:rsidRPr="00465302">
        <w:rPr>
          <w:rFonts w:cs="Times New Roman"/>
          <w:szCs w:val="24"/>
        </w:rPr>
        <w:fldChar w:fldCharType="separate"/>
      </w:r>
      <w:r w:rsidR="00CD0BB9" w:rsidRPr="00465302">
        <w:rPr>
          <w:rFonts w:cs="Times New Roman"/>
          <w:noProof/>
          <w:szCs w:val="24"/>
        </w:rPr>
        <w:t xml:space="preserve">(Isogai, Horiguchi and Weinstein, 2001; Gore </w:t>
      </w:r>
      <w:r w:rsidR="00CD0BB9" w:rsidRPr="00465302">
        <w:rPr>
          <w:rFonts w:cs="Times New Roman"/>
          <w:i/>
          <w:noProof/>
          <w:szCs w:val="24"/>
        </w:rPr>
        <w:t>et al.</w:t>
      </w:r>
      <w:r w:rsidR="00CD0BB9" w:rsidRPr="00465302">
        <w:rPr>
          <w:rFonts w:cs="Times New Roman"/>
          <w:noProof/>
          <w:szCs w:val="24"/>
        </w:rPr>
        <w:t>, 2012; Wilkinson and Van Eeden, 2014)</w:t>
      </w:r>
      <w:r w:rsidR="00CD0BB9" w:rsidRPr="00465302">
        <w:rPr>
          <w:rFonts w:cs="Times New Roman"/>
          <w:szCs w:val="24"/>
        </w:rPr>
        <w:fldChar w:fldCharType="end"/>
      </w:r>
      <w:r w:rsidRPr="00465302">
        <w:rPr>
          <w:rFonts w:cs="Times New Roman"/>
          <w:szCs w:val="24"/>
        </w:rPr>
        <w:t>. The zebrafish has been a very important contributing factor to understanding mammalian vascular development</w:t>
      </w:r>
      <w:r w:rsidR="00CD0BB9" w:rsidRPr="00465302">
        <w:rPr>
          <w:rFonts w:cs="Times New Roman"/>
          <w:szCs w:val="24"/>
        </w:rPr>
        <w:t xml:space="preserve"> </w:t>
      </w:r>
      <w:r w:rsidR="00CD0BB9" w:rsidRPr="00465302">
        <w:rPr>
          <w:rFonts w:cs="Times New Roman"/>
          <w:szCs w:val="24"/>
        </w:rPr>
        <w:fldChar w:fldCharType="begin" w:fldLock="1"/>
      </w:r>
      <w:r w:rsidR="00CD0BB9" w:rsidRPr="00465302">
        <w:rPr>
          <w:rFonts w:cs="Times New Roman"/>
          <w:szCs w:val="24"/>
        </w:rPr>
        <w:instrText>ADDIN CSL_CITATION {"citationItems":[{"id":"ITEM-1","itemData":{"DOI":"10.1016/j.devcel.2017.08.015","ISSN":"18781551","abstract":"Our vasculature plays diverse and critical roles in homeostasis and disease. In recent decades, the use of zebrafish has driven our understanding of vascular development into new areas, identifying new genes and mechanisms controlling vessel formation and allowing unprecedented observation of the cellular and molecular events that shape the developing vasculature. Here, we highlight key mechanisms controlling formation of the zebrafish vasculature and investigate how knowledge from this highly tractable model system has informed our understanding of vascular disease in humans. Hogan and Schulte-Merker present a review discussing formation of the zebrafish vasculature. They highlight both the genes and mechanisms controlling vessel formation and connect this to the use of this model system for the study of vascular disease.","author":[{"dropping-particle":"","family":"Hogan","given":"Benjamin M.","non-dropping-particle":"","parse-names":false,"suffix":""},{"dropping-particle":"","family":"Schulte-Merker","given":"Stefan","non-dropping-particle":"","parse-names":false,"suffix":""}],"container-title":"Developmental Cell","id":"ITEM-1","issue":"6","issued":{"date-parts":[["2017"]]},"page":"567-583","publisher":"Elsevier","title":"How to Plumb a Pisces: Understanding Vascular Development and Disease Using Zebrafish Embryos","type":"article-journal","volume":"42"},"uris":["http://www.mendeley.com/documents/?uuid=66785479-57fc-4f07-94fa-1c8da264f66a"]}],"mendeley":{"formattedCitation":"(Hogan and Schulte-Merker, 2017)","plainTextFormattedCitation":"(Hogan and Schulte-Merker, 2017)","previouslyFormattedCitation":"(Hogan and Schulte-Merker, 2017)"},"properties":{"noteIndex":0},"schema":"https://github.com/citation-style-language/schema/raw/master/csl-citation.json"}</w:instrText>
      </w:r>
      <w:r w:rsidR="00CD0BB9" w:rsidRPr="00465302">
        <w:rPr>
          <w:rFonts w:cs="Times New Roman"/>
          <w:szCs w:val="24"/>
        </w:rPr>
        <w:fldChar w:fldCharType="separate"/>
      </w:r>
      <w:r w:rsidR="00CD0BB9" w:rsidRPr="00465302">
        <w:rPr>
          <w:rFonts w:cs="Times New Roman"/>
          <w:noProof/>
          <w:szCs w:val="24"/>
        </w:rPr>
        <w:t>(Hogan and Schulte-Merker, 2017)</w:t>
      </w:r>
      <w:r w:rsidR="00CD0BB9" w:rsidRPr="00465302">
        <w:rPr>
          <w:rFonts w:cs="Times New Roman"/>
          <w:szCs w:val="24"/>
        </w:rPr>
        <w:fldChar w:fldCharType="end"/>
      </w:r>
      <w:r w:rsidRPr="00465302">
        <w:rPr>
          <w:rFonts w:cs="Times New Roman"/>
          <w:szCs w:val="24"/>
        </w:rPr>
        <w:t>. The zebrafish and mammalian vasculature do</w:t>
      </w:r>
      <w:r w:rsidR="00090839">
        <w:rPr>
          <w:rFonts w:cs="Times New Roman"/>
          <w:szCs w:val="24"/>
        </w:rPr>
        <w:t>n’t</w:t>
      </w:r>
      <w:r w:rsidRPr="00465302">
        <w:rPr>
          <w:rFonts w:cs="Times New Roman"/>
          <w:szCs w:val="24"/>
        </w:rPr>
        <w:t xml:space="preserve"> just have common early genes, but also share anatomy of the vascular system such as having a closed circulatory system, and share the molecular mechanisms involved in vessel formation</w:t>
      </w:r>
      <w:r w:rsidR="00CD0BB9" w:rsidRPr="00465302">
        <w:rPr>
          <w:rFonts w:cs="Times New Roman"/>
          <w:szCs w:val="24"/>
        </w:rPr>
        <w:t xml:space="preserve"> </w:t>
      </w:r>
      <w:r w:rsidR="00CD0BB9" w:rsidRPr="00465302">
        <w:rPr>
          <w:rFonts w:cs="Times New Roman"/>
          <w:szCs w:val="24"/>
        </w:rPr>
        <w:fldChar w:fldCharType="begin" w:fldLock="1"/>
      </w:r>
      <w:r w:rsidR="00CD0BB9" w:rsidRPr="00465302">
        <w:rPr>
          <w:rFonts w:cs="Times New Roman"/>
          <w:szCs w:val="24"/>
        </w:rPr>
        <w:instrText>ADDIN CSL_CITATION {"citationItems":[{"id":"ITEM-1","itemData":{"DOI":"10.1101/cshperspect.a006684","ISSN":"2157-1422","abstract":"The zebrafish has emerged as an excellent vertebrate model system for studying blood and lymphatic vascular development. The small size, external and rapid development, and optical transparency of zebrafish embryos are some of the advantages the zebrafish model system offers. Multiple well-established techniques have been developed for imaging and functionally manipulating vascular tissues in zebrafish embryos, expanding on and amplifying these basic advantages and accelerating use of this model system for studying vascular development. In the past decade, studies performed using zebrafish as a model system have provided many novel insights into vascular development. In this article we discuss the amenability of this model system for studying blood vessel development and review contributions made by this system to our understanding of vascular development.","author":[{"dropping-particle":"V","family":"Gore","given":"Aniket","non-dropping-particle":"","parse-names":false,"suffix":""},{"dropping-particle":"","family":"Monzo","given":"Kathryn","non-dropping-particle":"","parse-names":false,"suffix":""},{"dropping-particle":"","family":"Cha","given":"Young R","non-dropping-particle":"","parse-names":false,"suffix":""},{"dropping-particle":"","family":"Pan","given":"Weijun","non-dropping-particle":"","parse-names":false,"suffix":""},{"dropping-particle":"","family":"Weinstein","given":"Brant M","non-dropping-particle":"","parse-names":false,"suffix":""}],"container-title":"Cold Spring Harbor perspectives in medicine","id":"ITEM-1","issue":"5","issued":{"date-parts":[["2012","5"]]},"language":"eng","page":"a006684-a006684","publisher":"Cold Spring Harbor Laboratory Press","title":"Vascular development in the zebrafish","type":"article-journal","volume":"2"},"uris":["http://www.mendeley.com/documents/?uuid=bd851a62-937f-4905-95aa-bb77654b599e"]},{"id":"ITEM-2","itemData":{"DOI":"10.1016/j.devcel.2017.08.015","ISSN":"18781551","abstract":"Our vasculature plays diverse and critical roles in homeostasis and disease. In recent decades, the use of zebrafish has driven our understanding of vascular development into new areas, identifying new genes and mechanisms controlling vessel formation and allowing unprecedented observation of the cellular and molecular events that shape the developing vasculature. Here, we highlight key mechanisms controlling formation of the zebrafish vasculature and investigate how knowledge from this highly tractable model system has informed our understanding of vascular disease in humans. Hogan and Schulte-Merker present a review discussing formation of the zebrafish vasculature. They highlight both the genes and mechanisms controlling vessel formation and connect this to the use of this model system for the study of vascular disease.","author":[{"dropping-particle":"","family":"Hogan","given":"Benjamin M.","non-dropping-particle":"","parse-names":false,"suffix":""},{"dropping-particle":"","family":"Schulte-Merker","given":"Stefan","non-dropping-particle":"","parse-names":false,"suffix":""}],"container-title":"Developmental Cell","id":"ITEM-2","issue":"6","issued":{"date-parts":[["2017"]]},"page":"567-583","publisher":"Elsevier","title":"How to Plumb a Pisces: Understanding Vascular Development and Disease Using Zebrafish Embryos","type":"article-journal","volume":"42"},"uris":["http://www.mendeley.com/documents/?uuid=66785479-57fc-4f07-94fa-1c8da264f66a"]}],"mendeley":{"formattedCitation":"(Gore &lt;i&gt;et al.&lt;/i&gt;, 2012; Hogan and Schulte-Merker, 2017)","plainTextFormattedCitation":"(Gore et al., 2012; Hogan and Schulte-Merker, 2017)","previouslyFormattedCitation":"(Gore &lt;i&gt;et al.&lt;/i&gt;, 2012; Hogan and Schulte-Merker, 2017)"},"properties":{"noteIndex":0},"schema":"https://github.com/citation-style-language/schema/raw/master/csl-citation.json"}</w:instrText>
      </w:r>
      <w:r w:rsidR="00CD0BB9" w:rsidRPr="00465302">
        <w:rPr>
          <w:rFonts w:cs="Times New Roman"/>
          <w:szCs w:val="24"/>
        </w:rPr>
        <w:fldChar w:fldCharType="separate"/>
      </w:r>
      <w:r w:rsidR="00CD0BB9" w:rsidRPr="00465302">
        <w:rPr>
          <w:rFonts w:cs="Times New Roman"/>
          <w:noProof/>
          <w:szCs w:val="24"/>
        </w:rPr>
        <w:t xml:space="preserve">(Gore </w:t>
      </w:r>
      <w:r w:rsidR="00CD0BB9" w:rsidRPr="00465302">
        <w:rPr>
          <w:rFonts w:cs="Times New Roman"/>
          <w:i/>
          <w:noProof/>
          <w:szCs w:val="24"/>
        </w:rPr>
        <w:t>et al.</w:t>
      </w:r>
      <w:r w:rsidR="00CD0BB9" w:rsidRPr="00465302">
        <w:rPr>
          <w:rFonts w:cs="Times New Roman"/>
          <w:noProof/>
          <w:szCs w:val="24"/>
        </w:rPr>
        <w:t>, 2012; Hogan and Schulte-Merker, 2017)</w:t>
      </w:r>
      <w:r w:rsidR="00CD0BB9" w:rsidRPr="00465302">
        <w:rPr>
          <w:rFonts w:cs="Times New Roman"/>
          <w:szCs w:val="24"/>
        </w:rPr>
        <w:fldChar w:fldCharType="end"/>
      </w:r>
      <w:r w:rsidRPr="00465302">
        <w:rPr>
          <w:rFonts w:cs="Times New Roman"/>
          <w:szCs w:val="24"/>
        </w:rPr>
        <w:t xml:space="preserve">. </w:t>
      </w:r>
    </w:p>
    <w:p w14:paraId="661EDFC4" w14:textId="77777777" w:rsidR="00946607" w:rsidRPr="00465302" w:rsidRDefault="00946607" w:rsidP="00317481">
      <w:pPr>
        <w:pStyle w:val="Heading3"/>
      </w:pPr>
      <w:bookmarkStart w:id="18" w:name="_Toc39502035"/>
      <w:r w:rsidRPr="00465302">
        <w:t>1.2.4 Limitation of the Zebrafish Model System</w:t>
      </w:r>
      <w:bookmarkEnd w:id="18"/>
    </w:p>
    <w:p w14:paraId="497B4BB4" w14:textId="3F3F6927" w:rsidR="00946607" w:rsidRPr="00465302" w:rsidRDefault="00946607" w:rsidP="00946607">
      <w:pPr>
        <w:pStyle w:val="NormalWeb"/>
        <w:spacing w:before="0" w:beforeAutospacing="0" w:after="0" w:afterAutospacing="0" w:line="480" w:lineRule="auto"/>
        <w:jc w:val="both"/>
      </w:pPr>
      <w:r w:rsidRPr="00465302">
        <w:t>Although the zebrafish model system is genetically and physiologically similar to humans, there are several limitations to this system. The zebrafish do not have lungs or placenta and therefore toxicological assessments pertaining to these systems are difficult. However, although not all disease-related phenotypes can be identified in zebrafish, many of the developmental and signaling pathways leading to these diseases are conserved between zebrafish and humans</w:t>
      </w:r>
      <w:r w:rsidR="00CD0BB9" w:rsidRPr="00465302">
        <w:t xml:space="preserve"> </w:t>
      </w:r>
      <w:r w:rsidR="00CD0BB9" w:rsidRPr="00465302">
        <w:fldChar w:fldCharType="begin" w:fldLock="1"/>
      </w:r>
      <w:r w:rsidR="00CD0BB9" w:rsidRPr="00465302">
        <w:instrText>ADDIN CSL_CITATION {"citationItems":[{"id":"ITEM-1","itemData":{"DOI":"10.1016/J.REPROTOX.2011.10.018","ISSN":"0890-6238","abstract":"Zebrafish (Danio rerio) is an emerging toxicity screening model for both human health and ecology. As part of the Computational Toxicology Research Program of the U.S. EPA, the toxicity of the 309 ToxCast™ Phase I chemicals was assessed using a zebrafish screen for developmental toxicity. All exposures were by immersion from 6–8h post fertilization (hpf) to 5 days post fertilization (dpf); nominal concentration range of 1nM–80μM. On 6dpf larvae were assessed for death and overt structural defects. Results revealed that the majority (62%) of chemicals were toxic to the developing zebrafish; both toxicity incidence and potency was correlated with chemical class and hydrophobicity (logP); and inter-and intra-plate replicates showed good agreement. The zebrafish embryo screen, by providing an integrated model of the developing vertebrate, compliments the ToxCast assay portfolio and has the potential to provide information relative to overt and organismal toxicity.","author":[{"dropping-particle":"","family":"Padilla","given":"S.","non-dropping-particle":"","parse-names":false,"suffix":""},{"dropping-particle":"","family":"Corum","given":"D.","non-dropping-particle":"","parse-names":false,"suffix":""},{"dropping-particle":"","family":"Padnos","given":"B.","non-dropping-particle":"","parse-names":false,"suffix":""},{"dropping-particle":"","family":"Hunter","given":"D.L.","non-dropping-particle":"","parse-names":false,"suffix":""},{"dropping-particle":"","family":"Beam","given":"A.","non-dropping-particle":"","parse-names":false,"suffix":""},{"dropping-particle":"","family":"Houck","given":"K.A.","non-dropping-particle":"","parse-names":false,"suffix":""},{"dropping-particle":"","family":"Sipes","given":"N.","non-dropping-particle":"","parse-names":false,"suffix":""},{"dropping-particle":"","family":"Kleinstreuer","given":"N.","non-dropping-particle":"","parse-names":false,"suffix":""},{"dropping-particle":"","family":"Knudsen","given":"T.","non-dropping-particle":"","parse-names":false,"suffix":""},{"dropping-particle":"","family":"Dix","given":"D.J.","non-dropping-particle":"","parse-names":false,"suffix":""},{"dropping-particle":"","family":"Reif","given":"D.M.","non-dropping-particle":"","parse-names":false,"suffix":""}],"container-title":"Reproductive Toxicology","id":"ITEM-1","issue":"2","issued":{"date-parts":[["2012","4","1"]]},"page":"174-187","publisher":"Pergamon","title":"Zebrafish developmental screening of the ToxCast™ Phase I chemical library","type":"article-journal","volume":"33"},"uris":["http://www.mendeley.com/documents/?uuid=7f53081c-559d-3645-9255-dabced6d7faf"]}],"mendeley":{"formattedCitation":"(Padilla &lt;i&gt;et al.&lt;/i&gt;, 2012)","plainTextFormattedCitation":"(Padilla et al., 2012)","previouslyFormattedCitation":"(Padilla &lt;i&gt;et al.&lt;/i&gt;, 2012)"},"properties":{"noteIndex":0},"schema":"https://github.com/citation-style-language/schema/raw/master/csl-citation.json"}</w:instrText>
      </w:r>
      <w:r w:rsidR="00CD0BB9" w:rsidRPr="00465302">
        <w:fldChar w:fldCharType="separate"/>
      </w:r>
      <w:r w:rsidR="00CD0BB9" w:rsidRPr="00465302">
        <w:rPr>
          <w:noProof/>
        </w:rPr>
        <w:t xml:space="preserve">(Padilla </w:t>
      </w:r>
      <w:r w:rsidR="00CD0BB9" w:rsidRPr="00465302">
        <w:rPr>
          <w:i/>
          <w:noProof/>
        </w:rPr>
        <w:t>et al.</w:t>
      </w:r>
      <w:r w:rsidR="00CD0BB9" w:rsidRPr="00465302">
        <w:rPr>
          <w:noProof/>
        </w:rPr>
        <w:t>, 2012)</w:t>
      </w:r>
      <w:r w:rsidR="00CD0BB9" w:rsidRPr="00465302">
        <w:fldChar w:fldCharType="end"/>
      </w:r>
      <w:r w:rsidR="00E57CCD" w:rsidRPr="00465302">
        <w:t>.</w:t>
      </w:r>
    </w:p>
    <w:p w14:paraId="1A1408A4" w14:textId="13CFB237" w:rsidR="00946607" w:rsidRPr="00465302" w:rsidRDefault="00946607" w:rsidP="00946607">
      <w:pPr>
        <w:pStyle w:val="NormalWeb"/>
        <w:spacing w:before="0" w:beforeAutospacing="0" w:after="0" w:afterAutospacing="0" w:line="480" w:lineRule="auto"/>
        <w:jc w:val="both"/>
      </w:pPr>
      <w:r w:rsidRPr="00465302">
        <w:t>Another limitation is that the zebrafish life cycle is limited to water. This results in the zebrafish getting exposed to chemical metabolites due to excretion in their growth media, which is not the case in mammalian systems. This can easily be overcome by frequent media replacement or having systems with continuous water exchange</w:t>
      </w:r>
      <w:r w:rsidR="00CD0BB9" w:rsidRPr="00465302">
        <w:t xml:space="preserve"> </w:t>
      </w:r>
      <w:r w:rsidR="00CD0BB9" w:rsidRPr="00465302">
        <w:fldChar w:fldCharType="begin" w:fldLock="1"/>
      </w:r>
      <w:r w:rsidR="00CD0BB9" w:rsidRPr="00465302">
        <w:instrText>ADDIN CSL_CITATION {"citationItems":[{"id":"ITEM-1","itemData":{"DOI":"10.1002/bdrc.20206","ISSN":"1542975X","abstract":"Technological innovation has helped the zebrafish embryo gain ground as a disease model and an assay system for drug screening. Here, we review the use of zebrafish embryos and early larvae in applied biomedical research, using selected cases. We look at the use of zebrafish embryos as disease models, taking fetal alcohol syndrome and tuberculosis as examples. We discuss advances in imaging, in culture techniques (including microfluidics), and in drug delivery (including new techniques for the robotic injection of compounds into the egg). The use of zebrafish embryos in early stages of drug safety-screening is discussed. So too are the new behavioral assays that are being adapted from rodent research for use in zebrafish embryos, and which may become relevant in validating the effects of neuroactive compounds such as anxiolytics and antidepressants. Readouts, such as morphological screening and cardiac function, are examined. There are several drawbacks in the zebrafish model. One is its very rapid development, which means that screening with zebrafish is analogous to \"screening on a run-away train.\" Therefore, we argue that zebrafish embryos need to be precisely staged when used in acute assays, so as to ensure a consistent window of developmental exposure. We believe that zebrafish embryo screens can be used in the pre-regulatory phases of drug development, although more validation studies are needed to overcome industry scepticism. Finally, the zebrafish poses no challenge to the position of rodent models: it is complementary to them, especially in early stages of drug research. © 2011 Wiley-Liss, Inc.","author":[{"dropping-particle":"","family":"Ali","given":"Shaukat","non-dropping-particle":"","parse-names":false,"suffix":""},{"dropping-particle":"","family":"Champagne","given":"Danielle L.","non-dropping-particle":"","parse-names":false,"suffix":""},{"dropping-particle":"","family":"Spaink","given":"Herman P.","non-dropping-particle":"","parse-names":false,"suffix":""},{"dropping-particle":"","family":"Richardson","given":"Michael K.","non-dropping-particle":"","parse-names":false,"suffix":""}],"container-title":"Birth Defects Research Part C - Embryo Today: Reviews","id":"ITEM-1","issue":"2","issued":{"date-parts":[["2011"]]},"page":"115-133","title":"Zebrafish embryos and larvae: A new generation of disease models and drug screens","type":"article-journal","volume":"93"},"uris":["http://www.mendeley.com/documents/?uuid=09ec3228-68e0-4806-9823-df923854af08"]}],"mendeley":{"formattedCitation":"(Ali &lt;i&gt;et al.&lt;/i&gt;, 2011)","plainTextFormattedCitation":"(Ali et al., 2011)","previouslyFormattedCitation":"(Ali &lt;i&gt;et al.&lt;/i&gt;, 2011)"},"properties":{"noteIndex":0},"schema":"https://github.com/citation-style-language/schema/raw/master/csl-citation.json"}</w:instrText>
      </w:r>
      <w:r w:rsidR="00CD0BB9" w:rsidRPr="00465302">
        <w:fldChar w:fldCharType="separate"/>
      </w:r>
      <w:r w:rsidR="00CD0BB9" w:rsidRPr="00465302">
        <w:rPr>
          <w:noProof/>
        </w:rPr>
        <w:t xml:space="preserve">(Ali </w:t>
      </w:r>
      <w:r w:rsidR="00CD0BB9" w:rsidRPr="00465302">
        <w:rPr>
          <w:i/>
          <w:noProof/>
        </w:rPr>
        <w:t>et al.</w:t>
      </w:r>
      <w:r w:rsidR="00CD0BB9" w:rsidRPr="00465302">
        <w:rPr>
          <w:noProof/>
        </w:rPr>
        <w:t>, 2011)</w:t>
      </w:r>
      <w:r w:rsidR="00CD0BB9" w:rsidRPr="00465302">
        <w:fldChar w:fldCharType="end"/>
      </w:r>
      <w:r w:rsidRPr="00465302">
        <w:t xml:space="preserve">. Furthermore, the early developmental exposures in zebrafish are dermal since they do not swallow water to breathe, which is different from human exposure which is mostly through ingestion. Therefore, some exposures to toxic </w:t>
      </w:r>
      <w:r w:rsidRPr="00465302">
        <w:lastRenderedPageBreak/>
        <w:t>chemicals may not be equivalent to those experienced in human. This may lead to differences in ADME (absorption, distribution, metabolism</w:t>
      </w:r>
      <w:r w:rsidR="0093738C">
        <w:t>,</w:t>
      </w:r>
      <w:r w:rsidRPr="00465302">
        <w:t xml:space="preserve"> and excretion) and biotransformation of the chemicals due to the different modes of exposure. These metabolic differences between zebrafish and mammals may result in differences in the metabolic breakdown of specific compounds or even in their binding efficacy or targeting capacities</w:t>
      </w:r>
      <w:r w:rsidR="00CD0BB9" w:rsidRPr="00465302">
        <w:t xml:space="preserve"> </w:t>
      </w:r>
      <w:r w:rsidR="00CD0BB9" w:rsidRPr="00465302">
        <w:fldChar w:fldCharType="begin" w:fldLock="1"/>
      </w:r>
      <w:r w:rsidR="00CD0BB9" w:rsidRPr="00465302">
        <w:instrText>ADDIN CSL_CITATION {"citationItems":[{"id":"ITEM-1","itemData":{"DOI":"10.2131/jts.41.1","ISSN":"03881350","abstract":"The zebrafish (Danio rerio) has been increasingly explored in pharmaceutical research as a promising alternative model for toxicological screens. This necessitates a thorough knowledge on the biotransformation processes for a correct interpretation of pharmacological and toxicological data. Physiologically, cytochrome P450 (CYP) enzymes, specifically CYP families 1-3, play a pivotal role in drug metabolism. And yet, information regarding activity of CYP, its isoforms, and conjugation enzymes in zebrafish is either scarce or conflicting. To account for this discrepancy, the available spatiotemporal, modulation and activity data on zebrafish CYP 1-3 families are reviewed in this paper and compared with human CYP data. The CYP genetic features and synteny are well characterized, as is their expression in different organ systems. Moreover, several substrates metabolized by humans also show metabolism in zebrafish, with other CYP isoforms possibly involved. Altogether, the five CYP1 members, 41 CYP2 members and five CYP3 members in zebrafish show distinct evolutionary and orthological similarities with humans.","author":[{"dropping-particle":"","family":"Saad","given":"Moayad","non-dropping-particle":"","parse-names":false,"suffix":""},{"dropping-particle":"","family":"Cavanaugh","given":"Kate","non-dropping-particle":"","parse-names":false,"suffix":""},{"dropping-particle":"","family":"Verbueken","given":"Evy","non-dropping-particle":"","parse-names":false,"suffix":""},{"dropping-particle":"","family":"Pype","given":"Casper","non-dropping-particle":"","parse-names":false,"suffix":""},{"dropping-particle":"","family":"Casteleyn","given":"Christophe","non-dropping-particle":"","parse-names":false,"suffix":""},{"dropping-particle":"Van","family":"Ginneken","given":"Chris","non-dropping-particle":"","parse-names":false,"suffix":""},{"dropping-particle":"Van","family":"Cruchten","given":"Steven","non-dropping-particle":"","parse-names":false,"suffix":""}],"container-title":"Journal of Toxicological Sciences","id":"ITEM-1","issue":"1","issued":{"date-parts":[["2016"]]},"page":"1-11","title":"Xenobiotic metabolism in the zebrafish: A review of the spatiotemporal distribution, modulation and activity of cytochrome p450 families 1 to 3","type":"article-journal","volume":"41"},"uris":["http://www.mendeley.com/documents/?uuid=47aa411d-dadc-45cb-8797-efd710b84a0f"]}],"mendeley":{"formattedCitation":"(Saad &lt;i&gt;et al.&lt;/i&gt;, 2016)","plainTextFormattedCitation":"(Saad et al., 2016)","previouslyFormattedCitation":"(Saad &lt;i&gt;et al.&lt;/i&gt;, 2016)"},"properties":{"noteIndex":0},"schema":"https://github.com/citation-style-language/schema/raw/master/csl-citation.json"}</w:instrText>
      </w:r>
      <w:r w:rsidR="00CD0BB9" w:rsidRPr="00465302">
        <w:fldChar w:fldCharType="separate"/>
      </w:r>
      <w:r w:rsidR="00CD0BB9" w:rsidRPr="00465302">
        <w:rPr>
          <w:noProof/>
        </w:rPr>
        <w:t xml:space="preserve">(Saad </w:t>
      </w:r>
      <w:r w:rsidR="00CD0BB9" w:rsidRPr="00465302">
        <w:rPr>
          <w:i/>
          <w:noProof/>
        </w:rPr>
        <w:t>et al.</w:t>
      </w:r>
      <w:r w:rsidR="00CD0BB9" w:rsidRPr="00465302">
        <w:rPr>
          <w:noProof/>
        </w:rPr>
        <w:t>, 2016)</w:t>
      </w:r>
      <w:r w:rsidR="00CD0BB9" w:rsidRPr="00465302">
        <w:fldChar w:fldCharType="end"/>
      </w:r>
      <w:r w:rsidRPr="00465302">
        <w:t xml:space="preserve">. </w:t>
      </w:r>
    </w:p>
    <w:p w14:paraId="0D9C43AA" w14:textId="69C4150C" w:rsidR="00946607" w:rsidRDefault="00946607" w:rsidP="00946607">
      <w:pPr>
        <w:pStyle w:val="NormalWeb"/>
        <w:spacing w:before="0" w:beforeAutospacing="0" w:after="0" w:afterAutospacing="0" w:line="480" w:lineRule="auto"/>
        <w:jc w:val="both"/>
      </w:pPr>
      <w:r w:rsidRPr="00465302">
        <w:t>Additionally, solubility issues in the zebrafish growth medium may limit the concentration of potential toxicants and specific applications may be required to emulate exposure in humans.  In this instance, dermal exposure during embryonic stages may not recapitulate the concentrations of human exposure, instead exposure during adolescent or adult stages of zebrafish will allow for oral route exposure since they swallow water to breathe and thus will be able to achieve appropriate exposure levels even without full solubilization of the drug or chemical</w:t>
      </w:r>
      <w:r w:rsidR="00CD0BB9" w:rsidRPr="00465302">
        <w:t xml:space="preserve"> </w:t>
      </w:r>
      <w:r w:rsidR="00CD0BB9" w:rsidRPr="00465302">
        <w:fldChar w:fldCharType="begin" w:fldLock="1"/>
      </w:r>
      <w:r w:rsidR="00CD0BB9" w:rsidRPr="00465302">
        <w:instrText>ADDIN CSL_CITATION {"citationItems":[{"id":"ITEM-1","itemData":{"DOI":"10.2131/jts.41.1","ISSN":"03881350","abstract":"The zebrafish (Danio rerio) has been increasingly explored in pharmaceutical research as a promising alternative model for toxicological screens. This necessitates a thorough knowledge on the biotransformation processes for a correct interpretation of pharmacological and toxicological data. Physiologically, cytochrome P450 (CYP) enzymes, specifically CYP families 1-3, play a pivotal role in drug metabolism. And yet, information regarding activity of CYP, its isoforms, and conjugation enzymes in zebrafish is either scarce or conflicting. To account for this discrepancy, the available spatiotemporal, modulation and activity data on zebrafish CYP 1-3 families are reviewed in this paper and compared with human CYP data. The CYP genetic features and synteny are well characterized, as is their expression in different organ systems. Moreover, several substrates metabolized by humans also show metabolism in zebrafish, with other CYP isoforms possibly involved. Altogether, the five CYP1 members, 41 CYP2 members and five CYP3 members in zebrafish show distinct evolutionary and orthological similarities with humans.","author":[{"dropping-particle":"","family":"Saad","given":"Moayad","non-dropping-particle":"","parse-names":false,"suffix":""},{"dropping-particle":"","family":"Cavanaugh","given":"Kate","non-dropping-particle":"","parse-names":false,"suffix":""},{"dropping-particle":"","family":"Verbueken","given":"Evy","non-dropping-particle":"","parse-names":false,"suffix":""},{"dropping-particle":"","family":"Pype","given":"Casper","non-dropping-particle":"","parse-names":false,"suffix":""},{"dropping-particle":"","family":"Casteleyn","given":"Christophe","non-dropping-particle":"","parse-names":false,"suffix":""},{"dropping-particle":"Van","family":"Ginneken","given":"Chris","non-dropping-particle":"","parse-names":false,"suffix":""},{"dropping-particle":"Van","family":"Cruchten","given":"Steven","non-dropping-particle":"","parse-names":false,"suffix":""}],"container-title":"Journal of Toxicological Sciences","id":"ITEM-1","issue":"1","issued":{"date-parts":[["2016"]]},"page":"1-11","title":"Xenobiotic metabolism in the zebrafish: A review of the spatiotemporal distribution, modulation and activity of cytochrome p450 families 1 to 3","type":"article-journal","volume":"41"},"uris":["http://www.mendeley.com/documents/?uuid=47aa411d-dadc-45cb-8797-efd710b84a0f"]}],"mendeley":{"formattedCitation":"(Saad &lt;i&gt;et al.&lt;/i&gt;, 2016)","plainTextFormattedCitation":"(Saad et al., 2016)","previouslyFormattedCitation":"(Saad &lt;i&gt;et al.&lt;/i&gt;, 2016)"},"properties":{"noteIndex":0},"schema":"https://github.com/citation-style-language/schema/raw/master/csl-citation.json"}</w:instrText>
      </w:r>
      <w:r w:rsidR="00CD0BB9" w:rsidRPr="00465302">
        <w:fldChar w:fldCharType="separate"/>
      </w:r>
      <w:r w:rsidR="00CD0BB9" w:rsidRPr="00465302">
        <w:rPr>
          <w:noProof/>
        </w:rPr>
        <w:t xml:space="preserve">(Saad </w:t>
      </w:r>
      <w:r w:rsidR="00CD0BB9" w:rsidRPr="00465302">
        <w:rPr>
          <w:i/>
          <w:noProof/>
        </w:rPr>
        <w:t>et al.</w:t>
      </w:r>
      <w:r w:rsidR="00CD0BB9" w:rsidRPr="00465302">
        <w:rPr>
          <w:noProof/>
        </w:rPr>
        <w:t>, 2016)</w:t>
      </w:r>
      <w:r w:rsidR="00CD0BB9" w:rsidRPr="00465302">
        <w:fldChar w:fldCharType="end"/>
      </w:r>
      <w:r w:rsidRPr="00465302">
        <w:t>.</w:t>
      </w:r>
    </w:p>
    <w:bookmarkEnd w:id="7"/>
    <w:bookmarkEnd w:id="8"/>
    <w:p w14:paraId="784A63AA" w14:textId="77777777" w:rsidR="00993EFF" w:rsidRDefault="00993EFF" w:rsidP="00A5237A">
      <w:pPr>
        <w:jc w:val="both"/>
        <w:rPr>
          <w:rFonts w:cs="Times New Roman"/>
          <w:szCs w:val="24"/>
        </w:rPr>
      </w:pPr>
    </w:p>
    <w:p w14:paraId="755D3C03" w14:textId="3CD9A1A6" w:rsidR="00804AE7" w:rsidRDefault="00804AE7">
      <w:pPr>
        <w:spacing w:before="0" w:after="160" w:line="259" w:lineRule="auto"/>
      </w:pPr>
      <w:r>
        <w:br w:type="page"/>
      </w:r>
    </w:p>
    <w:p w14:paraId="041B3460" w14:textId="22B4FCE7" w:rsidR="00804AE7" w:rsidRDefault="00804AE7">
      <w:pPr>
        <w:spacing w:before="0" w:after="160" w:line="259" w:lineRule="auto"/>
      </w:pPr>
    </w:p>
    <w:p w14:paraId="1456DBF9" w14:textId="63419FD2" w:rsidR="00804AE7" w:rsidRDefault="00804AE7">
      <w:pPr>
        <w:spacing w:before="0" w:after="160" w:line="259" w:lineRule="auto"/>
      </w:pPr>
    </w:p>
    <w:p w14:paraId="679D1640" w14:textId="106B82B9" w:rsidR="00804AE7" w:rsidRDefault="00804AE7">
      <w:pPr>
        <w:spacing w:before="0" w:after="160" w:line="259" w:lineRule="auto"/>
      </w:pPr>
    </w:p>
    <w:p w14:paraId="0782B526" w14:textId="3C6C2049" w:rsidR="00804AE7" w:rsidRDefault="00804AE7">
      <w:pPr>
        <w:spacing w:before="0" w:after="160" w:line="259" w:lineRule="auto"/>
      </w:pPr>
    </w:p>
    <w:p w14:paraId="1B1F742D" w14:textId="20B8AC27" w:rsidR="00804AE7" w:rsidRDefault="00804AE7">
      <w:pPr>
        <w:spacing w:before="0" w:after="160" w:line="259" w:lineRule="auto"/>
      </w:pPr>
    </w:p>
    <w:p w14:paraId="67B12AC8" w14:textId="12C339F6" w:rsidR="00804AE7" w:rsidRDefault="00804AE7">
      <w:pPr>
        <w:spacing w:before="0" w:after="160" w:line="259" w:lineRule="auto"/>
      </w:pPr>
    </w:p>
    <w:p w14:paraId="66935D25" w14:textId="3E6938EC" w:rsidR="00804AE7" w:rsidRDefault="00804AE7">
      <w:pPr>
        <w:spacing w:before="0" w:after="160" w:line="259" w:lineRule="auto"/>
      </w:pPr>
    </w:p>
    <w:p w14:paraId="65B97F76" w14:textId="77777777" w:rsidR="00804AE7" w:rsidRDefault="00804AE7">
      <w:pPr>
        <w:spacing w:before="0" w:after="160" w:line="259" w:lineRule="auto"/>
        <w:rPr>
          <w:rFonts w:eastAsiaTheme="majorEastAsia" w:cstheme="majorBidi"/>
          <w:b/>
          <w:sz w:val="44"/>
          <w:szCs w:val="32"/>
        </w:rPr>
      </w:pPr>
    </w:p>
    <w:p w14:paraId="5FF774F6" w14:textId="7D746540" w:rsidR="00D47BAC" w:rsidRPr="00622DEE" w:rsidRDefault="00D47BAC" w:rsidP="00003E36">
      <w:pPr>
        <w:pStyle w:val="Heading1"/>
        <w:rPr>
          <w:bCs/>
        </w:rPr>
      </w:pPr>
      <w:bookmarkStart w:id="19" w:name="_Toc39502036"/>
      <w:r w:rsidRPr="00A432BE">
        <w:t>CHAPTER</w:t>
      </w:r>
      <w:r w:rsidRPr="005730CF">
        <w:t xml:space="preserve"> 2</w:t>
      </w:r>
      <w:r w:rsidR="00622DEE">
        <w:rPr>
          <w:bCs/>
        </w:rPr>
        <w:t xml:space="preserve">: </w:t>
      </w:r>
      <w:r w:rsidR="00A5237A">
        <w:t>IDENTIFICATION AND PREDICTION OF POSTERIOR LATERAL LINE DISRUPTORS</w:t>
      </w:r>
      <w:bookmarkEnd w:id="19"/>
    </w:p>
    <w:p w14:paraId="334EEF10" w14:textId="7B81CC75" w:rsidR="00D47BAC" w:rsidRDefault="00D47BAC" w:rsidP="00A5237A">
      <w:pPr>
        <w:jc w:val="both"/>
        <w:rPr>
          <w:rFonts w:cs="Times New Roman"/>
          <w:b/>
          <w:bCs/>
          <w:szCs w:val="24"/>
        </w:rPr>
      </w:pPr>
    </w:p>
    <w:p w14:paraId="3D8DB138" w14:textId="7FD48FFA" w:rsidR="00BC3333" w:rsidRDefault="00BC3333" w:rsidP="00A5237A">
      <w:pPr>
        <w:jc w:val="both"/>
        <w:rPr>
          <w:rFonts w:cs="Times New Roman"/>
          <w:b/>
          <w:bCs/>
          <w:szCs w:val="24"/>
        </w:rPr>
      </w:pPr>
    </w:p>
    <w:p w14:paraId="18A45379" w14:textId="77777777" w:rsidR="00BC3333" w:rsidRPr="00D50100" w:rsidRDefault="00BC3333" w:rsidP="00A5237A">
      <w:pPr>
        <w:jc w:val="both"/>
        <w:rPr>
          <w:rFonts w:cs="Times New Roman"/>
          <w:b/>
          <w:bCs/>
          <w:szCs w:val="24"/>
        </w:rPr>
      </w:pPr>
    </w:p>
    <w:p w14:paraId="76360FA7" w14:textId="77777777" w:rsidR="00D47BAC" w:rsidRPr="00D50100" w:rsidRDefault="00D47BAC" w:rsidP="00A5237A">
      <w:pPr>
        <w:jc w:val="both"/>
        <w:rPr>
          <w:rFonts w:cs="Times New Roman"/>
          <w:b/>
          <w:bCs/>
          <w:szCs w:val="24"/>
        </w:rPr>
      </w:pPr>
    </w:p>
    <w:p w14:paraId="13036784" w14:textId="77777777" w:rsidR="00D47BAC" w:rsidRPr="00D50100" w:rsidRDefault="00D47BAC" w:rsidP="00A5237A">
      <w:pPr>
        <w:jc w:val="both"/>
        <w:rPr>
          <w:rFonts w:cs="Times New Roman"/>
          <w:b/>
          <w:bCs/>
          <w:szCs w:val="24"/>
        </w:rPr>
      </w:pPr>
    </w:p>
    <w:p w14:paraId="04A6F186" w14:textId="77777777" w:rsidR="00D47BAC" w:rsidRPr="00D50100" w:rsidRDefault="00D47BAC" w:rsidP="00A5237A">
      <w:pPr>
        <w:jc w:val="both"/>
        <w:rPr>
          <w:rFonts w:cs="Times New Roman"/>
          <w:b/>
          <w:bCs/>
          <w:szCs w:val="24"/>
        </w:rPr>
      </w:pPr>
    </w:p>
    <w:p w14:paraId="20E7783D" w14:textId="6AFC849D" w:rsidR="00BC3333" w:rsidRDefault="00BC3333" w:rsidP="00A5237A">
      <w:pPr>
        <w:jc w:val="both"/>
        <w:rPr>
          <w:rFonts w:cs="Times New Roman"/>
          <w:b/>
          <w:bCs/>
          <w:szCs w:val="24"/>
        </w:rPr>
      </w:pPr>
    </w:p>
    <w:p w14:paraId="74786DAC" w14:textId="77777777" w:rsidR="00BC3333" w:rsidRPr="00D50100" w:rsidRDefault="00BC3333" w:rsidP="00A5237A">
      <w:pPr>
        <w:jc w:val="both"/>
        <w:rPr>
          <w:rFonts w:cs="Times New Roman"/>
          <w:b/>
          <w:bCs/>
          <w:szCs w:val="24"/>
        </w:rPr>
      </w:pPr>
    </w:p>
    <w:p w14:paraId="0EF6C63B" w14:textId="2B764A0D" w:rsidR="004A66F5" w:rsidRDefault="004A66F5" w:rsidP="004A66F5">
      <w:pPr>
        <w:tabs>
          <w:tab w:val="left" w:pos="2970"/>
        </w:tabs>
        <w:spacing w:before="0" w:after="160" w:line="259" w:lineRule="auto"/>
        <w:rPr>
          <w:rFonts w:eastAsiaTheme="majorEastAsia" w:cs="Times New Roman"/>
          <w:b/>
          <w:color w:val="0E101A"/>
          <w:sz w:val="28"/>
          <w:szCs w:val="28"/>
        </w:rPr>
      </w:pPr>
    </w:p>
    <w:p w14:paraId="41235753" w14:textId="77777777" w:rsidR="0026268D" w:rsidRDefault="0026268D">
      <w:pPr>
        <w:spacing w:before="0" w:after="160" w:line="259" w:lineRule="auto"/>
        <w:rPr>
          <w:rFonts w:eastAsiaTheme="majorEastAsia" w:cs="Times New Roman"/>
          <w:b/>
          <w:color w:val="0E101A"/>
          <w:sz w:val="28"/>
          <w:szCs w:val="28"/>
        </w:rPr>
      </w:pPr>
      <w:r>
        <w:br w:type="page"/>
      </w:r>
    </w:p>
    <w:p w14:paraId="25DC2611" w14:textId="612AC70E" w:rsidR="0069328F" w:rsidRPr="00BC3333" w:rsidRDefault="00804AE7">
      <w:pPr>
        <w:pStyle w:val="Heading2"/>
      </w:pPr>
      <w:bookmarkStart w:id="20" w:name="_Toc39502037"/>
      <w:r w:rsidRPr="00BC3333">
        <w:lastRenderedPageBreak/>
        <w:t>2.1 INTRODUCTION</w:t>
      </w:r>
      <w:bookmarkEnd w:id="20"/>
    </w:p>
    <w:p w14:paraId="51923314" w14:textId="77777777" w:rsidR="0069328F" w:rsidRPr="00465302" w:rsidRDefault="0069328F" w:rsidP="00242745">
      <w:pPr>
        <w:pStyle w:val="NoSpacing"/>
        <w:spacing w:line="480" w:lineRule="auto"/>
        <w:contextualSpacing/>
        <w:jc w:val="both"/>
        <w:rPr>
          <w:rFonts w:cs="Times New Roman"/>
        </w:rPr>
      </w:pPr>
      <w:r w:rsidRPr="00465302">
        <w:rPr>
          <w:rFonts w:cs="Times New Roman"/>
        </w:rPr>
        <w:t xml:space="preserve">Environmental chemicals pose risks to human health, especially if exposure occurs during pregnancy and/or early development of an individual. Because tens of thousands of industrial and agricultural chemicals are present on the market and may end up in the environment, there is an urgent need for rapid and reliable screening models to identify the most hazardous ones. We use zebrafish as one such model based on that they share about 71% of their genes with humans </w:t>
      </w:r>
      <w:r w:rsidRPr="00465302">
        <w:rPr>
          <w:rFonts w:cs="Times New Roman"/>
        </w:rPr>
        <w:fldChar w:fldCharType="begin" w:fldLock="1"/>
      </w:r>
      <w:r w:rsidRPr="00465302">
        <w:rPr>
          <w:rFonts w:cs="Times New Roman"/>
        </w:rPr>
        <w:instrText>ADDIN CSL_CITATION {"citationItems":[{"id":"ITEM-1","itemData":{"DOI":"10.1038/nature12111","ISSN":"14764687","PMID":"23594743","abstract":"Zebrafish have become a popular organism for the study of vertebrate gene function. The virtually transparent embryos of this species, and the ability to accelerate genetic studies by gene knockdown or overexpression, have led to the widespread use of zebrafish in the detailed investigation of vertebrate gene function and increasingly, the study of human genetic disease. However, for effective modelling of human genetic disease it is important to understand the extent to which zebrafish genes and gene structures are related to orthologous human genes. To examine this, we generated a high-quality sequence assembly of the zebrafish genome, made up of an overlapping set of completely sequenced large-insert clones that were ordered and oriented using a high-resolution high-density meiotic map. Detailed automatic and manual annotation provides evidence of more than 26,000 protein-coding genes, the largest gene set of any vertebrate so far sequenced. Comparison to the human reference genome shows that approximately 70% of human genes have at least one obvious zebrafish orthologue. In addition, the high quality of this genome assembly provides a clearer understanding of key genomic features such as a unique repeat content, a scarcity of pseudogenes, an enrichment of zebrafish-specific genes on chromosome 4 and chromosomal regions that influence sex determination. © 2013 Macmillan Publishers Limited. All rights reserved.","author":[{"dropping-particle":"","family":"Howe","given":"Kerstin","non-dropping-particle":"","parse-names":false,"suffix":""},{"dropping-particle":"","family":"Clark","given":"Matthew D.","non-dropping-particle":"","parse-names":false,"suffix":""},{"dropping-particle":"","family":"Torroja","given":"Carlos F.","non-dropping-particle":"","parse-names":false,"suffix":""},{"dropping-particle":"","family":"Torrance","given":"James","non-dropping-particle":"","parse-names":false,"suffix":""},{"dropping-particle":"","family":"Berthelot","given":"Camille","non-dropping-particle":"","parse-names":false,"suffix":""},{"dropping-particle":"","family":"Muffato","given":"Matthieu","non-dropping-particle":"","parse-names":false,"suffix":""},{"dropping-particle":"","family":"Collins","given":"John E.","non-dropping-particle":"","parse-names":false,"suffix":""},{"dropping-particle":"","family":"Humphray","given":"Sean","non-dropping-particle":"","parse-names":false,"suffix":""},{"dropping-particle":"","family":"McLaren","given":"Karen","non-dropping-particle":"","parse-names":false,"suffix":""},{"dropping-particle":"","family":"Matthews","given":"Lucy","non-dropping-particle":"","parse-names":false,"suffix":""},{"dropping-particle":"","family":"McLaren","given":"Stuart","non-dropping-particle":"","parse-names":false,"suffix":""},{"dropping-particle":"","family":"Sealy","given":"Ian","non-dropping-particle":"","parse-names":false,"suffix":""},{"dropping-particle":"","family":"Caccamo","given":"Mario","non-dropping-particle":"","parse-names":false,"suffix":""},{"dropping-particle":"","family":"Churcher","given":"Carol","non-dropping-particle":"","parse-names":false,"suffix":""},{"dropping-particle":"","family":"Scott","given":"Carol","non-dropping-particle":"","parse-names":false,"suffix":""},{"dropping-particle":"","family":"Barrett","given":"Jeffrey C.","non-dropping-particle":"","parse-names":false,"suffix":""},{"dropping-particle":"","family":"Koch","given":"Romke","non-dropping-particle":"","parse-names":false,"suffix":""},{"dropping-particle":"","family":"Rauch","given":"Gerd Jörg","non-dropping-particle":"","parse-names":false,"suffix":""},{"dropping-particle":"","family":"White","given":"Simon","non-dropping-particle":"","parse-names":false,"suffix":""},{"dropping-particle":"","family":"Chow","given":"William","non-dropping-particle":"","parse-names":false,"suffix":""},{"dropping-particle":"","family":"Kilian","given":"Britt","non-dropping-particle":"","parse-names":false,"suffix":""},{"dropping-particle":"","family":"Quintais","given":"Leonor T.","non-dropping-particle":"","parse-names":false,"suffix":""},{"dropping-particle":"","family":"Guerra-Assunção","given":"José A.","non-dropping-particle":"","parse-names":false,"suffix":""},{"dropping-particle":"","family":"Zhou","given":"Yi","non-dropping-particle":"","parse-names":false,"suffix":""},{"dropping-particle":"","family":"Gu","given":"Yong","non-dropping-particle":"","parse-names":false,"suffix":""},{"dropping-particle":"","family":"Yen","given":"Jennifer","non-dropping-particle":"","parse-names":false,"suffix":""},{"dropping-particle":"","family":"Vogel","given":"Jan Hinnerk","non-dropping-particle":"","parse-names":false,"suffix":""},{"dropping-particle":"","family":"Eyre","given":"Tina","non-dropping-particle":"","parse-names":false,"suffix":""},{"dropping-particle":"","family":"Redmond","given":"Seth","non-dropping-particle":"","parse-names":false,"suffix":""},{"dropping-particle":"","family":"Banerjee","given":"Ruby","non-dropping-particle":"","parse-names":false,"suffix":""},{"dropping-particle":"","family":"Chi","given":"Jianxiang","non-dropping-particle":"","parse-names":false,"suffix":""},{"dropping-particle":"","family":"Fu","given":"Beiyuan","non-dropping-particle":"","parse-names":false,"suffix":""},{"dropping-particle":"","family":"Langley","given":"Elizabeth","non-dropping-particle":"","parse-names":false,"suffix":""},{"dropping-particle":"","family":"Maguire","given":"Sean F.","non-dropping-particle":"","parse-names":false,"suffix":""},{"dropping-particle":"","family":"Laird","given":"Gavin K.","non-dropping-particle":"","parse-names":false,"suffix":""},{"dropping-particle":"","family":"Lloyd","given":"David","non-dropping-particle":"","parse-names":false,"suffix":""},{"dropping-particle":"","family":"Kenyon","given":"Emma","non-dropping-particle":"","parse-names":false,"suffix":""},{"dropping-particle":"","family":"Donaldson","given":"Sarah","non-dropping-particle":"","parse-names":false,"suffix":""},{"dropping-particle":"","family":"Sehra","given":"Harminder","non-dropping-particle":"","parse-names":false,"suffix":""},{"dropping-particle":"","family":"Almeida-King","given":"Jeff","non-dropping-particle":"","parse-names":false,"suffix":""},{"dropping-particle":"","family":"Loveland","given":"Jane","non-dropping-particle":"","parse-names":false,"suffix":""},{"dropping-particle":"","family":"Trevanion","given":"Stephen","non-dropping-particle":"","parse-names":false,"suffix":""},{"dropping-particle":"","family":"Jones","given":"Matt","non-dropping-particle":"","parse-names":false,"suffix":""},{"dropping-particle":"","family":"Quail","given":"Mike","non-dropping-particle":"","parse-names":false,"suffix":""},{"dropping-particle":"","family":"Willey","given":"Dave","non-dropping-particle":"","parse-names":false,"suffix":""},{"dropping-particle":"","family":"Hunt","given":"Adrienne","non-dropping-particle":"","parse-names":false,"suffix":""},{"dropping-particle":"","family":"Burton","given":"John","non-dropping-particle":"","parse-names":false,"suffix":""},{"dropping-particle":"","family":"Sims","given":"Sarah","non-dropping-particle":"","parse-names":false,"suffix":""},{"dropping-particle":"","family":"McLay","given":"Kirsten","non-dropping-particle":"","parse-names":false,"suffix":""},{"dropping-particle":"","family":"Plumb","given":"Bob","non-dropping-particle":"","parse-names":false,"suffix":""},{"dropping-particle":"","family":"Davis","given":"Joy","non-dropping-particle":"","parse-names":false,"suffix":""},{"dropping-particle":"","family":"Clee","given":"Chris","non-dropping-particle":"","parse-names":false,"suffix":""},{"dropping-particle":"","family":"Oliver","given":"Karen","non-dropping-particle":"","parse-names":false,"suffix":""},{"dropping-particle":"","family":"Clark","given":"Richard","non-dropping-particle":"","parse-names":false,"suffix":""},{"dropping-particle":"","family":"Riddle","given":"Clare","non-dropping-particle":"","parse-names":false,"suffix":""},{"dropping-particle":"","family":"Eliott","given":"David","non-dropping-particle":"","parse-names":false,"suffix":""},{"dropping-particle":"","family":"Threadgold","given":"Glen","non-dropping-particle":"","parse-names":false,"suffix":""},{"dropping-particle":"","family":"Harden","given":"Glenn","non-dropping-particle":"","parse-names":false,"suffix":""},{"dropping-particle":"","family":"Ware","given":"Darren","non-dropping-particle":"","parse-names":false,"suffix":""},{"dropping-particle":"","family":"Mortimer","given":"Beverly","non-dropping-particle":"","parse-names":false,"suffix":""},{"dropping-particle":"","family":"Kerry","given":"Giselle","non-dropping-particle":"","parse-names":false,"suffix":""},{"dropping-particle":"","family":"Heath","given":"Paul","non-dropping-particle":"","parse-names":false,"suffix":""},{"dropping-particle":"","family":"Phillimore","given":"Benjamin","non-dropping-particle":"","parse-names":false,"suffix":""},{"dropping-particle":"","family":"Tracey","given":"Alan","non-dropping-particle":"","parse-names":false,"suffix":""},{"dropping-particle":"","family":"Corby","given":"Nicole","non-dropping-particle":"","parse-names":false,"suffix":""},{"dropping-particle":"","family":"Dunn","given":"Matthew","non-dropping-particle":"","parse-names":false,"suffix":""},{"dropping-particle":"","family":"Johnson","given":"Christopher","non-dropping-particle":"","parse-names":false,"suffix":""},{"dropping-particle":"","family":"Wood","given":"Jonathan","non-dropping-particle":"","parse-names":false,"suffix":""},{"dropping-particle":"","family":"Clark","given":"Susan","non-dropping-particle":"","parse-names":false,"suffix":""},{"dropping-particle":"","family":"Pelan","given":"Sarah","non-dropping-particle":"","parse-names":false,"suffix":""},{"dropping-particle":"","family":"Griffiths","given":"Guy","non-dropping-particle":"","parse-names":false,"suffix":""},{"dropping-particle":"","family":"Smith","given":"Michelle","non-dropping-particle":"","parse-names":false,"suffix":""},{"dropping-particle":"","family":"Glithero","given":"Rebecca","non-dropping-particle":"","parse-names":false,"suffix":""},{"dropping-particle":"","family":"Howden","given":"Philip","non-dropping-particle":"","parse-names":false,"suffix":""},{"dropping-particle":"","family":"Barker","given":"Nicholas","non-dropping-particle":"","parse-names":false,"suffix":""},{"dropping-particle":"","family":"Stevens","given":"Christopher","non-dropping-particle":"","parse-names":false,"suffix":""},{"dropping-particle":"","family":"Harley","given":"Joanna","non-dropping-particle":"","parse-names":false,"suffix":""},{"dropping-particle":"","family":"Holt","given":"Karen","non-dropping-particle":"","parse-names":false,"suffix":""},{"dropping-particle":"","family":"Panagiotidis","given":"Georgios","non-dropping-particle":"","parse-names":false,"suffix":""},{"dropping-particle":"","family":"Lovell","given":"Jamieson","non-dropping-particle":"","parse-names":false,"suffix":""},{"dropping-particle":"","family":"Beasley","given":"Helen","non-dropping-particle":"","parse-names":false,"suffix":""},{"dropping-particle":"","family":"Henderson","given":"Carl","non-dropping-particle":"","parse-names":false,"suffix":""},{"dropping-particle":"","family":"Gordon","given":"Daria","non-dropping-particle":"","parse-names":false,"suffix":""},{"dropping-particle":"","family":"Auger","given":"Katherine","non-dropping-particle":"","parse-names":false,"suffix":""},{"dropping-particle":"","family":"Wright","given":"Deborah","non-dropping-particle":"","parse-names":false,"suffix":""},{"dropping-particle":"","family":"Collins","given":"Joanna","non-dropping-particle":"","parse-names":false,"suffix":""},{"dropping-particle":"","family":"Raisen","given":"Claire","non-dropping-particle":"","parse-names":false,"suffix":""},{"dropping-particle":"","family":"Dyer","given":"Lauren","non-dropping-particle":"","parse-names":false,"suffix":""},{"dropping-particle":"","family":"Leung","given":"Kenric","non-dropping-particle":"","parse-names":false,"suffix":""},{"dropping-particle":"","family":"Robertson","given":"Lauren","non-dropping-particle":"","parse-names":false,"suffix":""},{"dropping-particle":"","family":"Ambridge","given":"Kirsty","non-dropping-particle":"","parse-names":false,"suffix":""},{"dropping-particle":"","family":"Leongamornlert","given":"Daniel","non-dropping-particle":"","parse-names":false,"suffix":""},{"dropping-particle":"","family":"McGuire","given":"Sarah","non-dropping-particle":"","parse-names":false,"suffix":""},{"dropping-particle":"","family":"Gilderthorp","given":"Ruth","non-dropping-particle":"","parse-names":false,"suffix":""},{"dropping-particle":"","family":"Griffiths","given":"Coline","non-dropping-particle":"","parse-names":false,"suffix":""},{"dropping-particle":"","family":"Manthravadi","given":"Deepa","non-dropping-particle":"","parse-names":false,"suffix":""},{"dropping-particle":"","family":"Nichol","given":"Sarah","non-dropping-particle":"","parse-names":false,"suffix":""},{"dropping-particle":"","family":"Barker","given":"Gary","non-dropping-particle":"","parse-names":false,"suffix":""},{"dropping-particle":"","family":"Whitehead","given":"Siobhan","non-dropping-particle":"","parse-names":false,"suffix":""},{"dropping-particle":"","family":"Kay","given":"Michael","non-dropping-particle":"","parse-names":false,"suffix":""},{"dropping-particle":"","family":"Brown","given":"Jacqueline","non-dropping-particle":"","parse-names":false,"suffix":""},{"dropping-particle":"","family":"Murnane","given":"Clare","non-dropping-particle":"","parse-names":false,"suffix":""},{"dropping-particle":"","family":"Gray","given":"Emma","non-dropping-particle":"","parse-names":false,"suffix":""},{"dropping-particle":"","family":"Humphries","given":"Matthew","non-dropping-particle":"","parse-names":false,"suffix":""},{"dropping-particle":"","family":"Sycamore","given":"Neil","non-dropping-particle":"","parse-names":false,"suffix":""},{"dropping-particle":"","family":"Barker","given":"Darren","non-dropping-particle":"","parse-names":false,"suffix":""},{"dropping-particle":"","family":"Saunders","given":"David","non-dropping-particle":"","parse-names":false,"suffix":""},{"dropping-particle":"","family":"Wallis","given":"Justene","non-dropping-particle":"","parse-names":false,"suffix":""},{"dropping-particle":"","family":"Babbage","given":"Anne","non-dropping-particle":"","parse-names":false,"suffix":""},{"dropping-particle":"","family":"Hammond","given":"Sian","non-dropping-particle":"","parse-names":false,"suffix":""},{"dropping-particle":"","family":"Mashreghi-Mohammadi","given":"Maryam","non-dropping-particle":"","parse-names":false,"suffix":""},{"dropping-particle":"","family":"Barr","given":"Lucy","non-dropping-particle":"","parse-names":false,"suffix":""},{"dropping-particle":"","family":"Martin","given":"Sancha","non-dropping-particle":"","parse-names":false,"suffix":""},{"dropping-particle":"","family":"Wray","given":"Paul","non-dropping-particle":"","parse-names":false,"suffix":""},{"dropping-particle":"","family":"Ellington","given":"Andrew","non-dropping-particle":"","parse-names":false,"suffix":""},{"dropping-particle":"","family":"Matthews","given":"Nicholas","non-dropping-particle":"","parse-names":false,"suffix":""},{"dropping-particle":"","family":"Ellwood","given":"Matthew","non-dropping-particle":"","parse-names":false,"suffix":""},{"dropping-particle":"","family":"Woodmansey","given":"Rebecca","non-dropping-particle":"","parse-names":false,"suffix":""},{"dropping-particle":"","family":"Clark","given":"Graham","non-dropping-particle":"","parse-names":false,"suffix":""},{"dropping-particle":"","family":"Cooper","given":"James","non-dropping-particle":"","parse-names":false,"suffix":""},{"dropping-particle":"","family":"Tromans","given":"Anthony","non-dropping-particle":"","parse-names":false,"suffix":""},{"dropping-particle":"","family":"Grafham","given":"Darren","non-dropping-particle":"","parse-names":false,"suffix":""},{"dropping-particle":"","family":"Skuce","given":"Carl","non-dropping-particle":"","parse-names":false,"suffix":""},{"dropping-particle":"","family":"Pandian","given":"Richard","non-dropping-particle":"","parse-names":false,"suffix":""},{"dropping-particle":"","family":"Andrews","given":"Robert","non-dropping-particle":"","parse-names":false,"suffix":""},{"dropping-particle":"","family":"Harrison","given":"Elliot","non-dropping-particle":"","parse-names":false,"suffix":""},{"dropping-particle":"","family":"Kimberley","given":"Andrew","non-dropping-particle":"","parse-names":false,"suffix":""},{"dropping-particle":"","family":"Garnett","given":"Jane","non-dropping-particle":"","parse-names":false,"suffix":""},{"dropping-particle":"","family":"Fosker","given":"Nigel","non-dropping-particle":"","parse-names":false,"suffix":""},{"dropping-particle":"","family":"Hall","given":"Rebekah","non-dropping-particle":"","parse-names":false,"suffix":""},{"dropping-particle":"","family":"Garner","given":"Patrick","non-dropping-particle":"","parse-names":false,"suffix":""},{"dropping-particle":"","family":"Kelly","given":"Daniel","non-dropping-particle":"","parse-names":false,"suffix":""},{"dropping-particle":"","family":"Bird","given":"Christine","non-dropping-particle":"","parse-names":false,"suffix":""},{"dropping-particle":"","family":"Palmer","given":"Sophie","non-dropping-particle":"","parse-names":false,"suffix":""},{"dropping-particle":"","family":"Gehring","given":"Ines","non-dropping-particle":"","parse-names":false,"suffix":""},{"dropping-particle":"","family":"Berger","given":"Andrea","non-dropping-particle":"","parse-names":false,"suffix":""},{"dropping-particle":"","family":"Dooley","given":"Christopher M.","non-dropping-particle":"","parse-names":false,"suffix":""},{"dropping-particle":"","family":"Ersan-Ürün","given":"Zübeyde","non-dropping-particle":"","parse-names":false,"suffix":""},{"dropping-particle":"","family":"Eser","given":"Cigdem","non-dropping-particle":"","parse-names":false,"suffix":""},{"dropping-particle":"","family":"Geiger","given":"Horst","non-dropping-particle":"","parse-names":false,"suffix":""},{"dropping-particle":"","family":"Geisler","given":"Maria","non-dropping-particle":"","parse-names":false,"suffix":""},{"dropping-particle":"","family":"Karotki","given":"Lena","non-dropping-particle":"","parse-names":false,"suffix":""},{"dropping-particle":"","family":"Kirn","given":"Anette","non-dropping-particle":"","parse-names":false,"suffix":""},{"dropping-particle":"","family":"Konantz","given":"Judith","non-dropping-particle":"","parse-names":false,"suffix":""},{"dropping-particle":"","family":"Konantz","given":"Martina","non-dropping-particle":"","parse-names":false,"suffix":""},{"dropping-particle":"","family":"Oberländer","given":"Martina","non-dropping-particle":"","parse-names":false,"suffix":""},{"dropping-particle":"","family":"Rudolph-Geiger","given":"Silke","non-dropping-particle":"","parse-names":false,"suffix":""},{"dropping-particle":"","family":"Teucke","given":"Mathias","non-dropping-particle":"","parse-names":false,"suffix":""},{"dropping-particle":"","family":"Osoegawa","given":"Kazutoyo","non-dropping-particle":"","parse-names":false,"suffix":""},{"dropping-particle":"","family":"Zhu","given":"Baoli","non-dropping-particle":"","parse-names":false,"suffix":""},{"dropping-particle":"","family":"Rapp","given":"Amanda","non-dropping-particle":"","parse-names":false,"suffix":""},{"dropping-particle":"","family":"Widaa","given":"Sara","non-dropping-particle":"","parse-names":false,"suffix":""},{"dropping-particle":"","family":"Langford","given":"Cordelia","non-dropping-particle":"","parse-names":false,"suffix":""},{"dropping-particle":"","family":"Yang","given":"Fengtang","non-dropping-particle":"","parse-names":false,"suffix":""},{"dropping-particle":"","family":"Carter","given":"Nigel P.","non-dropping-particle":"","parse-names":false,"suffix":""},{"dropping-particle":"","family":"Harrow","given":"Jennifer","non-dropping-particle":"","parse-names":false,"suffix":""},{"dropping-particle":"","family":"Ning","given":"Zemin","non-dropping-particle":"","parse-names":false,"suffix":""},{"dropping-particle":"","family":"Herrero","given":"Javier","non-dropping-particle":"","parse-names":false,"suffix":""},{"dropping-particle":"","family":"Searle","given":"Steve M.J.","non-dropping-particle":"","parse-names":false,"suffix":""},{"dropping-particle":"","family":"Enright","given":"Anton","non-dropping-particle":"","parse-names":false,"suffix":""},{"dropping-particle":"","family":"Geisler","given":"Robert","non-dropping-particle":"","parse-names":false,"suffix":""},{"dropping-particle":"","family":"Plasterk","given":"Ronald H.A.","non-dropping-particle":"","parse-names":false,"suffix":""},{"dropping-particle":"","family":"Lee","given":"Charles","non-dropping-particle":"","parse-names":false,"suffix":""},{"dropping-particle":"","family":"Westerfield","given":"Monte","non-dropping-particle":"","parse-names":false,"suffix":""},{"dropping-particle":"","family":"Jong","given":"Pieter J.","non-dropping-particle":"De","parse-names":false,"suffix":""},{"dropping-particle":"","family":"Zon","given":"Leonard I.","non-dropping-particle":"","parse-names":false,"suffix":""},{"dropping-particle":"","family":"Postlethwait","given":"John H.","non-dropping-particle":"","parse-names":false,"suffix":""},{"dropping-particle":"","family":"Nüsslein-Volhard","given":"Christiane","non-dropping-particle":"","parse-names":false,"suffix":""},{"dropping-particle":"","family":"Hubbard","given":"Tim J.P.","non-dropping-particle":"","parse-names":false,"suffix":""},{"dropping-particle":"","family":"Crollius","given":"Hugues Roest","non-dropping-particle":"","parse-names":false,"suffix":""},{"dropping-particle":"","family":"Rogers","given":"Jane","non-dropping-particle":"","parse-names":false,"suffix":""},{"dropping-particle":"","family":"Stemple","given":"Derek L.","non-dropping-particle":"","parse-names":false,"suffix":""}],"container-title":"Nature","id":"ITEM-1","issue":"7446","issued":{"date-parts":[["2013"]]},"page":"498-503","title":"The zebrafish reference genome sequence and its relationship to the human genome","type":"article-journal","volume":"496"},"uris":["http://www.mendeley.com/documents/?uuid=d46348ca-6197-47bf-930e-9325708c379c"]}],"mendeley":{"formattedCitation":"(Howe &lt;i&gt;et al.&lt;/i&gt;, 2013)","plainTextFormattedCitation":"(Howe et al., 2013)","previouslyFormattedCitation":"(Howe &lt;i&gt;et al.&lt;/i&gt;, 2013)"},"properties":{"noteIndex":0},"schema":"https://github.com/citation-style-language/schema/raw/master/csl-citation.json"}</w:instrText>
      </w:r>
      <w:r w:rsidRPr="00465302">
        <w:rPr>
          <w:rFonts w:cs="Times New Roman"/>
        </w:rPr>
        <w:fldChar w:fldCharType="separate"/>
      </w:r>
      <w:r w:rsidRPr="00465302">
        <w:rPr>
          <w:rFonts w:cs="Times New Roman"/>
          <w:noProof/>
        </w:rPr>
        <w:t xml:space="preserve">(Howe </w:t>
      </w:r>
      <w:r w:rsidRPr="00465302">
        <w:rPr>
          <w:rFonts w:cs="Times New Roman"/>
          <w:i/>
          <w:noProof/>
        </w:rPr>
        <w:t>et al.</w:t>
      </w:r>
      <w:r w:rsidRPr="00465302">
        <w:rPr>
          <w:rFonts w:cs="Times New Roman"/>
          <w:noProof/>
        </w:rPr>
        <w:t>, 2013)</w:t>
      </w:r>
      <w:r w:rsidRPr="00465302">
        <w:rPr>
          <w:rFonts w:cs="Times New Roman"/>
        </w:rPr>
        <w:fldChar w:fldCharType="end"/>
      </w:r>
      <w:r w:rsidRPr="00465302">
        <w:rPr>
          <w:rFonts w:cs="Times New Roman"/>
        </w:rPr>
        <w:t>, have high fecundity, and that the small size of embryos enables high throughput screening and live, non-invasive phenotypic observations of chemical-induced insults. In addition, many transgenic zebrafish lines expressing fluorescence in particular cells, tissues or organs are available facilitating straightforward visualization of tissue-specific malformations.</w:t>
      </w:r>
    </w:p>
    <w:p w14:paraId="70BE5A68" w14:textId="19046C57" w:rsidR="0069328F" w:rsidRPr="002F5392" w:rsidRDefault="0069328F" w:rsidP="00317481">
      <w:pPr>
        <w:pStyle w:val="Heading3"/>
      </w:pPr>
      <w:bookmarkStart w:id="21" w:name="_Toc39502038"/>
      <w:r w:rsidRPr="002F5392">
        <w:t>2.</w:t>
      </w:r>
      <w:r>
        <w:t>1.</w:t>
      </w:r>
      <w:r w:rsidR="00BC3333">
        <w:t>1</w:t>
      </w:r>
      <w:r w:rsidRPr="002F5392">
        <w:t xml:space="preserve"> Lateral </w:t>
      </w:r>
      <w:r w:rsidR="003508E3">
        <w:t>L</w:t>
      </w:r>
      <w:r w:rsidRPr="002F5392">
        <w:t>ine</w:t>
      </w:r>
      <w:r w:rsidR="0082363D">
        <w:t xml:space="preserve"> Development</w:t>
      </w:r>
      <w:r w:rsidR="00E13268">
        <w:t xml:space="preserve"> in Zebrafish</w:t>
      </w:r>
      <w:bookmarkEnd w:id="21"/>
    </w:p>
    <w:p w14:paraId="519F474F" w14:textId="6F0A9077" w:rsidR="0069328F" w:rsidRPr="00465302" w:rsidRDefault="0069328F" w:rsidP="00804AE7">
      <w:pPr>
        <w:autoSpaceDE w:val="0"/>
        <w:autoSpaceDN w:val="0"/>
        <w:adjustRightInd w:val="0"/>
        <w:spacing w:before="0" w:after="0" w:line="480" w:lineRule="auto"/>
        <w:jc w:val="both"/>
        <w:rPr>
          <w:rFonts w:cs="Times New Roman"/>
          <w:color w:val="auto"/>
          <w:szCs w:val="24"/>
        </w:rPr>
      </w:pPr>
      <w:r w:rsidRPr="00465302">
        <w:rPr>
          <w:rFonts w:cs="Times New Roman"/>
          <w:color w:val="auto"/>
          <w:szCs w:val="24"/>
        </w:rPr>
        <w:t>The lateral line is a system of tactile sense organs, present in all aquatic vertebrates. It consists of mechanoreceptors called neuromasts</w:t>
      </w:r>
      <w:r w:rsidR="000233A1" w:rsidRPr="00465302">
        <w:rPr>
          <w:rFonts w:cs="Times New Roman"/>
          <w:color w:val="auto"/>
          <w:szCs w:val="24"/>
        </w:rPr>
        <w:t xml:space="preserve"> (</w:t>
      </w:r>
      <w:r w:rsidR="000233A1" w:rsidRPr="00465302">
        <w:rPr>
          <w:rStyle w:val="Strong"/>
          <w:color w:val="auto"/>
        </w:rPr>
        <w:t>Figure 2.1</w:t>
      </w:r>
      <w:r w:rsidR="000233A1" w:rsidRPr="00465302">
        <w:rPr>
          <w:rFonts w:cs="Times New Roman"/>
          <w:color w:val="auto"/>
          <w:szCs w:val="24"/>
        </w:rPr>
        <w:t>)</w:t>
      </w:r>
      <w:r w:rsidRPr="00465302">
        <w:rPr>
          <w:rFonts w:cs="Times New Roman"/>
          <w:color w:val="auto"/>
          <w:szCs w:val="24"/>
        </w:rPr>
        <w:t xml:space="preserve">, which are structurally, functionally and molecularly similar to the human inner ear hair cells </w:t>
      </w:r>
      <w:r w:rsidRPr="00465302">
        <w:rPr>
          <w:rFonts w:cs="Times New Roman"/>
          <w:color w:val="auto"/>
          <w:szCs w:val="24"/>
        </w:rPr>
        <w:fldChar w:fldCharType="begin" w:fldLock="1"/>
      </w:r>
      <w:r w:rsidRPr="00465302">
        <w:rPr>
          <w:rFonts w:cs="Times New Roman"/>
          <w:color w:val="auto"/>
          <w:szCs w:val="24"/>
        </w:rPr>
        <w:instrText>ADDIN CSL_CITATION {"citationItems":[{"id":"ITEM-1","itemData":{"DOI":"10.1002/neu.10123","ISSN":"00223034","abstract":"The zebrafish is an especially attractive model for the study of the development and function of the vertebrate inner ear. It combines rapid and accessible embryogenesis with a host of genetic and genomic tools for systematic gene discovery and analysis. A large collection of mutations affecting development and function of the ear and a related sensory system, the lateral line, have been isolated; several of these have now been cloned, and at least five provide models for human deafness disorders. Disruption of multiple genes, using both forward and reverse genetic approaches, has established key players - both signaling molecules and autonomous factors - responsible for induction and specification of the otic placode. Vestibular and auditory defects have been detected in adult animals, making the zebrafish a useful system in which to tackle the genetic causes of late onset deafness and vestibular disease. © 2002 Wiley Periodicals, Inc.","author":[{"dropping-particle":"","family":"Whitfield","given":"Tanya T.","non-dropping-particle":"","parse-names":false,"suffix":""}],"container-title":"Journal of Neurobiology","id":"ITEM-1","issue":"2","issued":{"date-parts":[["2002"]]},"page":"157-171","title":"Zebrafish as a model for hearing and deafness","type":"article-journal","volume":"53"},"uris":["http://www.mendeley.com/documents/?uuid=9bd33496-338c-4344-bad5-6d783d3bba97"]},{"id":"ITEM-2","itemData":{"DOI":"10.1146/annurev.genet.39.073003.105049","ISSN":"0066-4197","abstract":"AbstractThe zebrafish is an excellent model system for studying the molecular basis of inner ear development and function. The eggs develop ex utero and the ear is transparent for the first few weeks of life. Forward genetic screens and antisense technology have helped to elucidate the signaling pathways and molecules required for inner ear development and function. This review addresses the most recent advances in our understanding of how the ear forms and discusses the molecules in hair cells that are essential for sensing sound and movement in the zebrafish.","author":[{"dropping-particle":"","family":"Nicolson","given":"Teresa","non-dropping-particle":"","parse-names":false,"suffix":""}],"container-title":"Annual Review of Genetics","id":"ITEM-2","issue":"1","issued":{"date-parts":[["2005","11","14"]]},"note":"doi: 10.1146/annurev.genet.39.073003.105049","page":"9-22","publisher":"Annual Reviews","title":"The Genetics of Hearing and Balance in Zebrafish","type":"article-journal","volume":"39"},"uris":["http://www.mendeley.com/documents/?uuid=5d340d1c-30fc-4a42-8724-eb992954a791"]}],"mendeley":{"formattedCitation":"(Whitfield, 2002; Nicolson, 2005)","plainTextFormattedCitation":"(Whitfield, 2002; Nicolson, 2005)","previouslyFormattedCitation":"(Whitfield, 2002; Nicolson, 2005)"},"properties":{"noteIndex":0},"schema":"https://github.com/citation-style-language/schema/raw/master/csl-citation.json"}</w:instrText>
      </w:r>
      <w:r w:rsidRPr="00465302">
        <w:rPr>
          <w:rFonts w:cs="Times New Roman"/>
          <w:color w:val="auto"/>
          <w:szCs w:val="24"/>
        </w:rPr>
        <w:fldChar w:fldCharType="separate"/>
      </w:r>
      <w:r w:rsidRPr="00465302">
        <w:rPr>
          <w:rFonts w:cs="Times New Roman"/>
          <w:noProof/>
          <w:color w:val="auto"/>
          <w:szCs w:val="24"/>
        </w:rPr>
        <w:t>(Whitfield, 2002; Nicolson, 2005)</w:t>
      </w:r>
      <w:r w:rsidRPr="00465302">
        <w:rPr>
          <w:rFonts w:cs="Times New Roman"/>
          <w:color w:val="auto"/>
          <w:szCs w:val="24"/>
        </w:rPr>
        <w:fldChar w:fldCharType="end"/>
      </w:r>
      <w:r w:rsidRPr="00465302">
        <w:rPr>
          <w:rFonts w:cs="Times New Roman"/>
          <w:color w:val="auto"/>
          <w:szCs w:val="24"/>
        </w:rPr>
        <w:t xml:space="preserve">. The mature neuromast consists at its core of a group of fifteen to twenty sensory hair cells that respond to the deflection of their cilia. Immediately surrounding the hair cells are the support cells, which in turn are surrounded by the mantle cells that line the neuromast. </w:t>
      </w:r>
      <w:r w:rsidR="004000B7" w:rsidRPr="00465302">
        <w:rPr>
          <w:rFonts w:cs="Times New Roman"/>
          <w:color w:val="auto"/>
          <w:szCs w:val="24"/>
        </w:rPr>
        <w:t xml:space="preserve">The processes of </w:t>
      </w:r>
      <w:r w:rsidR="00CD20A1" w:rsidRPr="00465302">
        <w:rPr>
          <w:rFonts w:cs="Times New Roman"/>
          <w:color w:val="auto"/>
          <w:szCs w:val="24"/>
        </w:rPr>
        <w:t xml:space="preserve">directed collective cell migration, existence and maintenance of cell polarity, postembryonic remodeling and regeneration are all </w:t>
      </w:r>
      <w:r w:rsidR="00202C5C" w:rsidRPr="00465302">
        <w:rPr>
          <w:rFonts w:cs="Times New Roman"/>
          <w:color w:val="auto"/>
          <w:szCs w:val="24"/>
        </w:rPr>
        <w:t xml:space="preserve">vital biological processes that are </w:t>
      </w:r>
      <w:r w:rsidR="00CD20A1" w:rsidRPr="00465302">
        <w:rPr>
          <w:rFonts w:cs="Times New Roman"/>
          <w:color w:val="auto"/>
          <w:szCs w:val="24"/>
        </w:rPr>
        <w:t>encompassed in lateral line development</w:t>
      </w:r>
      <w:r w:rsidR="00202C5C" w:rsidRPr="00465302">
        <w:rPr>
          <w:rFonts w:cs="Times New Roman"/>
          <w:color w:val="auto"/>
          <w:szCs w:val="24"/>
        </w:rPr>
        <w:t xml:space="preserve">. This </w:t>
      </w:r>
      <w:r w:rsidRPr="00465302">
        <w:rPr>
          <w:rFonts w:cs="Times New Roman"/>
          <w:color w:val="auto"/>
          <w:szCs w:val="24"/>
        </w:rPr>
        <w:t>make</w:t>
      </w:r>
      <w:r w:rsidR="00202C5C" w:rsidRPr="00465302">
        <w:rPr>
          <w:rFonts w:cs="Times New Roman"/>
          <w:color w:val="auto"/>
          <w:szCs w:val="24"/>
        </w:rPr>
        <w:t>s</w:t>
      </w:r>
      <w:r w:rsidRPr="00465302">
        <w:rPr>
          <w:rFonts w:cs="Times New Roman"/>
          <w:color w:val="auto"/>
          <w:szCs w:val="24"/>
        </w:rPr>
        <w:t xml:space="preserve"> </w:t>
      </w:r>
      <w:r w:rsidR="00202C5C" w:rsidRPr="00465302">
        <w:rPr>
          <w:rFonts w:cs="Times New Roman"/>
          <w:color w:val="auto"/>
          <w:szCs w:val="24"/>
        </w:rPr>
        <w:t xml:space="preserve">the zebrafish lateral line </w:t>
      </w:r>
      <w:r w:rsidRPr="00465302">
        <w:rPr>
          <w:rFonts w:cs="Times New Roman"/>
          <w:color w:val="auto"/>
          <w:szCs w:val="24"/>
        </w:rPr>
        <w:t xml:space="preserve">an excellent </w:t>
      </w:r>
      <w:r w:rsidRPr="00465302">
        <w:rPr>
          <w:rFonts w:cs="Times New Roman"/>
          <w:i/>
          <w:iCs/>
          <w:color w:val="auto"/>
          <w:szCs w:val="24"/>
        </w:rPr>
        <w:t>in vivo</w:t>
      </w:r>
      <w:r w:rsidRPr="00465302">
        <w:rPr>
          <w:rFonts w:cs="Times New Roman"/>
          <w:color w:val="auto"/>
          <w:szCs w:val="24"/>
        </w:rPr>
        <w:t xml:space="preserve"> model to study these processes. The lateral line in zebrafish is divided into the anterior lateral line (ALL) and the posterior lateral line (PLL), as they arise from two separate primordia</w:t>
      </w:r>
      <w:r w:rsidR="00804AE7" w:rsidRPr="00465302">
        <w:rPr>
          <w:rFonts w:cs="Times New Roman"/>
          <w:color w:val="auto"/>
          <w:szCs w:val="24"/>
        </w:rPr>
        <w:t xml:space="preserve"> (</w:t>
      </w:r>
      <w:r w:rsidR="00804AE7" w:rsidRPr="00465302">
        <w:rPr>
          <w:rStyle w:val="Strong"/>
          <w:color w:val="auto"/>
        </w:rPr>
        <w:t>Figure 2.1</w:t>
      </w:r>
      <w:r w:rsidR="00804AE7" w:rsidRPr="00465302">
        <w:rPr>
          <w:rFonts w:cs="Times New Roman"/>
          <w:color w:val="auto"/>
          <w:szCs w:val="24"/>
        </w:rPr>
        <w:t>)</w:t>
      </w:r>
      <w:r w:rsidRPr="00465302">
        <w:rPr>
          <w:rFonts w:cs="Times New Roman"/>
          <w:color w:val="auto"/>
          <w:szCs w:val="24"/>
        </w:rPr>
        <w:t xml:space="preserve">. The ALL also differs from the PLL with </w:t>
      </w:r>
      <w:r w:rsidRPr="00465302">
        <w:rPr>
          <w:rFonts w:cs="Times New Roman"/>
          <w:color w:val="auto"/>
          <w:szCs w:val="24"/>
        </w:rPr>
        <w:lastRenderedPageBreak/>
        <w:t xml:space="preserve">respect to the molecular signals that drive migration of the primordium </w:t>
      </w:r>
      <w:r w:rsidRPr="00465302">
        <w:rPr>
          <w:rFonts w:cs="Times New Roman"/>
          <w:color w:val="auto"/>
          <w:szCs w:val="24"/>
        </w:rPr>
        <w:fldChar w:fldCharType="begin" w:fldLock="1"/>
      </w:r>
      <w:r w:rsidRPr="00465302">
        <w:rPr>
          <w:rFonts w:cs="Times New Roman"/>
          <w:color w:val="auto"/>
          <w:szCs w:val="24"/>
        </w:rPr>
        <w:instrText>ADDIN CSL_CITATION {"citationItems":[{"id":"ITEM-1","itemData":{"DOI":"10.1016/S0925-4773(01)00382-3","ISSN":"09254773","PMID":"11429283","abstract":"The lateral line of fish and amphibians is a sensory system that comprises a number of individual sense organs, the neuromasts, arranged in a defined pattern on the surface of the body. A conspicuous part of the system is a line of organs that extends along each flank (and which gave the system its name). At the end of zebrafish embryogenesis, this line comprises 7-8 neuromasts regularly spaced between the ear and the tip of the tail. The neuromasts are deposited by a migrating primordium that originates from the otic region. Here, we follow the development of this pattern and show that heterogeneities within the migrating primordium prefigure neuromast formation. Copyright © 2001 Elsevier Science Ireland Ltd.","author":[{"dropping-particle":"","family":"Gompel","given":"Nicolas","non-dropping-particle":"","parse-names":false,"suffix":""},{"dropping-particle":"","family":"Cubedo","given":"Nicolas","non-dropping-particle":"","parse-names":false,"suffix":""},{"dropping-particle":"","family":"Thisse","given":"Christine","non-dropping-particle":"","parse-names":false,"suffix":""},{"dropping-particle":"","family":"Thisse","given":"Bernard","non-dropping-particle":"","parse-names":false,"suffix":""},{"dropping-particle":"","family":"Dambly-Chaudière","given":"Christine","non-dropping-particle":"","parse-names":false,"suffix":""},{"dropping-particle":"","family":"Ghysen","given":"Alain","non-dropping-particle":"","parse-names":false,"suffix":""}],"container-title":"Mechanisms of Development","id":"ITEM-1","issue":"1-2","issued":{"date-parts":[["2001"]]},"page":"69-77","title":"Pattern formation in the lateral line of zebrafish","type":"article-journal","volume":"105"},"uris":["http://www.mendeley.com/documents/?uuid=903437ce-8e22-470b-aeee-dc64067a104a"]}],"mendeley":{"formattedCitation":"(Gompel &lt;i&gt;et al.&lt;/i&gt;, 2001)","plainTextFormattedCitation":"(Gompel et al., 2001)","previouslyFormattedCitation":"(Gompel &lt;i&gt;et al.&lt;/i&gt;, 2001)"},"properties":{"noteIndex":0},"schema":"https://github.com/citation-style-language/schema/raw/master/csl-citation.json"}</w:instrText>
      </w:r>
      <w:r w:rsidRPr="00465302">
        <w:rPr>
          <w:rFonts w:cs="Times New Roman"/>
          <w:color w:val="auto"/>
          <w:szCs w:val="24"/>
        </w:rPr>
        <w:fldChar w:fldCharType="separate"/>
      </w:r>
      <w:r w:rsidRPr="00465302">
        <w:rPr>
          <w:rFonts w:cs="Times New Roman"/>
          <w:noProof/>
          <w:color w:val="auto"/>
          <w:szCs w:val="24"/>
        </w:rPr>
        <w:t xml:space="preserve">(Gompel </w:t>
      </w:r>
      <w:r w:rsidRPr="00465302">
        <w:rPr>
          <w:rFonts w:cs="Times New Roman"/>
          <w:i/>
          <w:noProof/>
          <w:color w:val="auto"/>
          <w:szCs w:val="24"/>
        </w:rPr>
        <w:t>et al.</w:t>
      </w:r>
      <w:r w:rsidRPr="00465302">
        <w:rPr>
          <w:rFonts w:cs="Times New Roman"/>
          <w:noProof/>
          <w:color w:val="auto"/>
          <w:szCs w:val="24"/>
        </w:rPr>
        <w:t>, 2001)</w:t>
      </w:r>
      <w:r w:rsidRPr="00465302">
        <w:rPr>
          <w:rFonts w:cs="Times New Roman"/>
          <w:color w:val="auto"/>
          <w:szCs w:val="24"/>
        </w:rPr>
        <w:fldChar w:fldCharType="end"/>
      </w:r>
      <w:r w:rsidRPr="00465302">
        <w:rPr>
          <w:rFonts w:cs="Times New Roman"/>
          <w:color w:val="auto"/>
          <w:szCs w:val="24"/>
        </w:rPr>
        <w:t xml:space="preserve">. The PLL placode originates just posterior of the otic vesicle and starts migrating posteriorly at eighteen to twenty hpf. The placode divides into a small anterior </w:t>
      </w:r>
      <w:r w:rsidR="007C1911" w:rsidRPr="00465302">
        <w:rPr>
          <w:rFonts w:cs="Times New Roman"/>
          <w:color w:val="auto"/>
          <w:szCs w:val="24"/>
        </w:rPr>
        <w:t xml:space="preserve">group </w:t>
      </w:r>
      <w:r w:rsidRPr="00465302">
        <w:rPr>
          <w:rFonts w:cs="Times New Roman"/>
          <w:color w:val="auto"/>
          <w:szCs w:val="24"/>
        </w:rPr>
        <w:t>of around twenty cells that differentiate to sensory neurons to form the PLL ganglion</w:t>
      </w:r>
      <w:r w:rsidR="007C1911" w:rsidRPr="00465302">
        <w:rPr>
          <w:rFonts w:cs="Times New Roman"/>
          <w:color w:val="auto"/>
          <w:szCs w:val="24"/>
        </w:rPr>
        <w:t>,</w:t>
      </w:r>
      <w:r w:rsidRPr="00465302">
        <w:rPr>
          <w:rFonts w:cs="Times New Roman"/>
          <w:color w:val="auto"/>
          <w:szCs w:val="24"/>
        </w:rPr>
        <w:t xml:space="preserve"> and a large </w:t>
      </w:r>
      <w:r w:rsidR="007C1911" w:rsidRPr="00465302">
        <w:rPr>
          <w:rFonts w:cs="Times New Roman"/>
          <w:color w:val="auto"/>
          <w:szCs w:val="24"/>
        </w:rPr>
        <w:t xml:space="preserve">group </w:t>
      </w:r>
      <w:r w:rsidRPr="00465302">
        <w:rPr>
          <w:rFonts w:cs="Times New Roman"/>
          <w:color w:val="auto"/>
          <w:szCs w:val="24"/>
        </w:rPr>
        <w:t xml:space="preserve">of around one hundred cells that forms the first PLL primordium (primI) </w:t>
      </w:r>
      <w:r w:rsidRPr="00465302">
        <w:rPr>
          <w:rFonts w:cs="Times New Roman"/>
          <w:color w:val="auto"/>
          <w:szCs w:val="24"/>
        </w:rPr>
        <w:fldChar w:fldCharType="begin" w:fldLock="1"/>
      </w:r>
      <w:r w:rsidRPr="00465302">
        <w:rPr>
          <w:rFonts w:cs="Times New Roman"/>
          <w:color w:val="auto"/>
          <w:szCs w:val="24"/>
        </w:rPr>
        <w:instrText>ADDIN CSL_CITATION {"citationItems":[{"id":"ITEM-1","itemData":{"DOI":"10.1101/gad.1568407","ISSN":"08909369","abstract":"The lateral-line system is a simple sensory system comprising a number of discrete sense organs, the neuromasts, distributed over the body of fish and amphibians in species-specific patterns. Its development involves fundamental biological processes such as long-range cell migration, planar cell polarity, regeneration, and post-embryonic remodeling. These aspects have been extensively studied in amphibians by experimental embryologists, but it is only recently that the genetic bases of this development have been explored in zebrafish. This review discusses progress made over the past few years in this field. © 2007 by Cold Spring Harbor Laboratory Press.","author":[{"dropping-particle":"","family":"Ghysen","given":"Alain","non-dropping-particle":"","parse-names":false,"suffix":""},{"dropping-particle":"","family":"Dambly-Chaudière","given":"Christine","non-dropping-particle":"","parse-names":false,"suffix":""}],"container-title":"Genes and Development","id":"ITEM-1","issue":"17","issued":{"date-parts":[["2007"]]},"page":"2118-2130","title":"The lateral line microcosmos","type":"article-journal","volume":"21"},"uris":["http://www.mendeley.com/documents/?uuid=cc417e4f-61cb-43a3-9a11-d93c9178490d"]}],"mendeley":{"formattedCitation":"(Ghysen and Dambly-Chaudière, 2007)","plainTextFormattedCitation":"(Ghysen and Dambly-Chaudière, 2007)","previouslyFormattedCitation":"(Ghysen and Dambly-Chaudière, 2007)"},"properties":{"noteIndex":0},"schema":"https://github.com/citation-style-language/schema/raw/master/csl-citation.json"}</w:instrText>
      </w:r>
      <w:r w:rsidRPr="00465302">
        <w:rPr>
          <w:rFonts w:cs="Times New Roman"/>
          <w:color w:val="auto"/>
          <w:szCs w:val="24"/>
        </w:rPr>
        <w:fldChar w:fldCharType="separate"/>
      </w:r>
      <w:r w:rsidRPr="00465302">
        <w:rPr>
          <w:rFonts w:cs="Times New Roman"/>
          <w:noProof/>
          <w:color w:val="auto"/>
          <w:szCs w:val="24"/>
        </w:rPr>
        <w:t>(Ghysen and Dambly-Chaudière, 2007)</w:t>
      </w:r>
      <w:r w:rsidRPr="00465302">
        <w:rPr>
          <w:rFonts w:cs="Times New Roman"/>
          <w:color w:val="auto"/>
          <w:szCs w:val="24"/>
        </w:rPr>
        <w:fldChar w:fldCharType="end"/>
      </w:r>
      <w:r w:rsidRPr="00465302">
        <w:rPr>
          <w:rFonts w:cs="Times New Roman"/>
          <w:color w:val="auto"/>
          <w:szCs w:val="24"/>
        </w:rPr>
        <w:t xml:space="preserve">. The primordium completes its migration anterio-posteriorly along the horizontal myoseptum to the tail at about forty hpf, depositing five groups of cells, the protoneuromasts, each at a distance of five to six somites in its wake. PrimI then fragments and forms two to three-terminal neuromasts upon reaching the tip of the tail </w:t>
      </w:r>
      <w:r w:rsidRPr="00465302">
        <w:rPr>
          <w:rFonts w:cs="Times New Roman"/>
          <w:color w:val="auto"/>
          <w:szCs w:val="24"/>
        </w:rPr>
        <w:fldChar w:fldCharType="begin" w:fldLock="1"/>
      </w:r>
      <w:r w:rsidRPr="00465302">
        <w:rPr>
          <w:rFonts w:cs="Times New Roman"/>
          <w:color w:val="auto"/>
          <w:szCs w:val="24"/>
        </w:rPr>
        <w:instrText>ADDIN CSL_CITATION {"citationItems":[{"id":"ITEM-1","itemData":{"DOI":"10.1016/S0925-4773(01)00382-3","ISSN":"09254773","PMID":"11429283","abstract":"The lateral line of fish and amphibians is a sensory system that comprises a number of individual sense organs, the neuromasts, arranged in a defined pattern on the surface of the body. A conspicuous part of the system is a line of organs that extends along each flank (and which gave the system its name). At the end of zebrafish embryogenesis, this line comprises 7-8 neuromasts regularly spaced between the ear and the tip of the tail. The neuromasts are deposited by a migrating primordium that originates from the otic region. Here, we follow the development of this pattern and show that heterogeneities within the migrating primordium prefigure neuromast formation. Copyright © 2001 Elsevier Science Ireland Ltd.","author":[{"dropping-particle":"","family":"Gompel","given":"Nicolas","non-dropping-particle":"","parse-names":false,"suffix":""},{"dropping-particle":"","family":"Cubedo","given":"Nicolas","non-dropping-particle":"","parse-names":false,"suffix":""},{"dropping-particle":"","family":"Thisse","given":"Christine","non-dropping-particle":"","parse-names":false,"suffix":""},{"dropping-particle":"","family":"Thisse","given":"Bernard","non-dropping-particle":"","parse-names":false,"suffix":""},{"dropping-particle":"","family":"Dambly-Chaudière","given":"Christine","non-dropping-particle":"","parse-names":false,"suffix":""},{"dropping-particle":"","family":"Ghysen","given":"Alain","non-dropping-particle":"","parse-names":false,"suffix":""}],"container-title":"Mechanisms of Development","id":"ITEM-1","issue":"1-2","issued":{"date-parts":[["2001"]]},"page":"69-77","title":"Pattern formation in the lateral line of zebrafish","type":"article-journal","volume":"105"},"uris":["http://www.mendeley.com/documents/?uuid=903437ce-8e22-470b-aeee-dc64067a104a"]},{"id":"ITEM-2","itemData":{"DOI":"10.1111/j.1525-142X.2009.00346.x","ISSN":"1520541X","PMID":"11830561","abstract":"The posterior lateral line (PLL) of zebrafish comprises seven to eight sense organs at the end of embryogenesis, arranged in a single antero-posterior line that extends along the horizontal myoseptum from the ear to the tip of the tail. At the end of larval life, four antero-posterior lines extend on the trunk and tail, comprising together around 60 sense organs. The embryonic pattern is largely conserved among teleosts, although adult patterns are very diverse. Here we describe the transition from embryonic to juvenile pattern in the zebrafish, to provide a framework for understanding how the diversity of adult patterns comes about. We show that the four lines that extend over the adult body originate from latent precursors laid down by migrating primordia that arise during embryogenesis. We conclude that, in zebrafish, the entire development of the PLL system up to adulthood can be traced back to events that took place during the first 2 days of life. We also show that the transition from embryonic to adult pattern involves few distinct operations, suggesting that the diversity of patterns among adult teleosts may be due to differential control of these few operations acting upon common embryonic precursors. © 2009 Wiley Periodicals, Inc.","author":[{"dropping-particle":"","family":"Nuñez","given":"Viviana A.","non-dropping-particle":"","parse-names":false,"suffix":""},{"dropping-particle":"","family":"Sarrazin","given":"Andres F.","non-dropping-particle":"","parse-names":false,"suffix":""},{"dropping-particle":"","family":"Cubedo","given":"Nicolas","non-dropping-particle":"","parse-names":false,"suffix":""},{"dropping-particle":"","family":"Allende","given":"Miguel L.","non-dropping-particle":"","parse-names":false,"suffix":""},{"dropping-particle":"","family":"Dambly-Chaudière","given":"Christine","non-dropping-particle":"","parse-names":false,"suffix":""},{"dropping-particle":"","family":"Ghysen","given":"Alain","non-dropping-particle":"","parse-names":false,"suffix":""}],"container-title":"Evolution and Development","id":"ITEM-2","issue":"4","issued":{"date-parts":[["2009"]]},"page":"391-404","title":"Postembryonic development of the posterior lateral line in the zebrafish","type":"article-journal","volume":"11"},"uris":["http://www.mendeley.com/documents/?uuid=e045a3f7-f79d-478e-ac49-db72e664c615"]}],"mendeley":{"formattedCitation":"(Gompel &lt;i&gt;et al.&lt;/i&gt;, 2001; Nuñez &lt;i&gt;et al.&lt;/i&gt;, 2009)","plainTextFormattedCitation":"(Gompel et al., 2001; Nuñez et al., 2009)","previouslyFormattedCitation":"(Gompel &lt;i&gt;et al.&lt;/i&gt;, 2001; Nuñez &lt;i&gt;et al.&lt;/i&gt;, 2009)"},"properties":{"noteIndex":0},"schema":"https://github.com/citation-style-language/schema/raw/master/csl-citation.json"}</w:instrText>
      </w:r>
      <w:r w:rsidRPr="00465302">
        <w:rPr>
          <w:rFonts w:cs="Times New Roman"/>
          <w:color w:val="auto"/>
          <w:szCs w:val="24"/>
        </w:rPr>
        <w:fldChar w:fldCharType="separate"/>
      </w:r>
      <w:r w:rsidRPr="00465302">
        <w:rPr>
          <w:rFonts w:cs="Times New Roman"/>
          <w:noProof/>
          <w:color w:val="auto"/>
          <w:szCs w:val="24"/>
        </w:rPr>
        <w:t xml:space="preserve">(Gompel </w:t>
      </w:r>
      <w:r w:rsidRPr="00465302">
        <w:rPr>
          <w:rFonts w:cs="Times New Roman"/>
          <w:i/>
          <w:noProof/>
          <w:color w:val="auto"/>
          <w:szCs w:val="24"/>
        </w:rPr>
        <w:t>et al.</w:t>
      </w:r>
      <w:r w:rsidRPr="00465302">
        <w:rPr>
          <w:rFonts w:cs="Times New Roman"/>
          <w:noProof/>
          <w:color w:val="auto"/>
          <w:szCs w:val="24"/>
        </w:rPr>
        <w:t xml:space="preserve">, 2001; Nuñez </w:t>
      </w:r>
      <w:r w:rsidRPr="00465302">
        <w:rPr>
          <w:rFonts w:cs="Times New Roman"/>
          <w:i/>
          <w:noProof/>
          <w:color w:val="auto"/>
          <w:szCs w:val="24"/>
        </w:rPr>
        <w:t>et al.</w:t>
      </w:r>
      <w:r w:rsidRPr="00465302">
        <w:rPr>
          <w:rFonts w:cs="Times New Roman"/>
          <w:noProof/>
          <w:color w:val="auto"/>
          <w:szCs w:val="24"/>
        </w:rPr>
        <w:t>, 2009)</w:t>
      </w:r>
      <w:r w:rsidRPr="00465302">
        <w:rPr>
          <w:rFonts w:cs="Times New Roman"/>
          <w:color w:val="auto"/>
          <w:szCs w:val="24"/>
        </w:rPr>
        <w:fldChar w:fldCharType="end"/>
      </w:r>
      <w:r w:rsidRPr="00465302">
        <w:rPr>
          <w:rFonts w:cs="Times New Roman"/>
          <w:color w:val="auto"/>
          <w:szCs w:val="24"/>
        </w:rPr>
        <w:t xml:space="preserve">. The protoneuromasts differentiate into mature neuromasts a few </w:t>
      </w:r>
      <w:r w:rsidR="006D4C50">
        <w:rPr>
          <w:rFonts w:cs="Times New Roman"/>
          <w:color w:val="auto"/>
          <w:szCs w:val="24"/>
        </w:rPr>
        <w:t>hours</w:t>
      </w:r>
      <w:r w:rsidRPr="00465302">
        <w:rPr>
          <w:rFonts w:cs="Times New Roman"/>
          <w:color w:val="auto"/>
          <w:szCs w:val="24"/>
        </w:rPr>
        <w:t xml:space="preserve"> after deposition. As the primordium migrates, axons from the PLL ganglion</w:t>
      </w:r>
      <w:r w:rsidR="007C1911" w:rsidRPr="00465302">
        <w:rPr>
          <w:rFonts w:cs="Times New Roman"/>
          <w:color w:val="auto"/>
          <w:szCs w:val="24"/>
        </w:rPr>
        <w:t xml:space="preserve"> concurrently connect</w:t>
      </w:r>
      <w:r w:rsidRPr="00465302">
        <w:rPr>
          <w:rFonts w:cs="Times New Roman"/>
          <w:color w:val="auto"/>
          <w:szCs w:val="24"/>
        </w:rPr>
        <w:t xml:space="preserve">. Glial cells then migrate along the axons to form the myelinated PLL nerve. A second primordium, primII, </w:t>
      </w:r>
      <w:r w:rsidR="007C1911" w:rsidRPr="00465302">
        <w:rPr>
          <w:rFonts w:cs="Times New Roman"/>
          <w:color w:val="auto"/>
          <w:szCs w:val="24"/>
        </w:rPr>
        <w:t xml:space="preserve">ascends </w:t>
      </w:r>
      <w:r w:rsidRPr="00465302">
        <w:rPr>
          <w:rFonts w:cs="Times New Roman"/>
          <w:color w:val="auto"/>
          <w:szCs w:val="24"/>
        </w:rPr>
        <w:t xml:space="preserve">at about the time primI </w:t>
      </w:r>
      <w:r w:rsidR="007C1911" w:rsidRPr="00465302">
        <w:rPr>
          <w:rFonts w:cs="Times New Roman"/>
          <w:color w:val="auto"/>
          <w:szCs w:val="24"/>
        </w:rPr>
        <w:t>has finished its migration</w:t>
      </w:r>
      <w:r w:rsidRPr="00465302">
        <w:rPr>
          <w:rFonts w:cs="Times New Roman"/>
          <w:color w:val="auto"/>
          <w:szCs w:val="24"/>
        </w:rPr>
        <w:t xml:space="preserve">. PrimII deposits neuromasts between primI neuromasts at a distance of approximately two somites along the horizontal myoseptum. At four dpf, the PLL comprises about seven to eight mature neuromasts excluding the terminal neuromasts </w:t>
      </w:r>
      <w:r w:rsidRPr="00465302">
        <w:rPr>
          <w:rFonts w:cs="Times New Roman"/>
          <w:color w:val="auto"/>
          <w:szCs w:val="24"/>
        </w:rPr>
        <w:fldChar w:fldCharType="begin" w:fldLock="1"/>
      </w:r>
      <w:r w:rsidRPr="00465302">
        <w:rPr>
          <w:rFonts w:cs="Times New Roman"/>
          <w:color w:val="auto"/>
          <w:szCs w:val="24"/>
        </w:rPr>
        <w:instrText>ADDIN CSL_CITATION {"citationItems":[{"id":"ITEM-1","itemData":{"DOI":"10.1101/gad.1568407","ISSN":"08909369","abstract":"The lateral-line system is a simple sensory system comprising a number of discrete sense organs, the neuromasts, distributed over the body of fish and amphibians in species-specific patterns. Its development involves fundamental biological processes such as long-range cell migration, planar cell polarity, regeneration, and post-embryonic remodeling. These aspects have been extensively studied in amphibians by experimental embryologists, but it is only recently that the genetic bases of this development have been explored in zebrafish. This review discusses progress made over the past few years in this field. © 2007 by Cold Spring Harbor Laboratory Press.","author":[{"dropping-particle":"","family":"Ghysen","given":"Alain","non-dropping-particle":"","parse-names":false,"suffix":""},{"dropping-particle":"","family":"Dambly-Chaudière","given":"Christine","non-dropping-particle":"","parse-names":false,"suffix":""}],"container-title":"Genes and Development","id":"ITEM-1","issue":"17","issued":{"date-parts":[["2007"]]},"page":"2118-2130","title":"The lateral line microcosmos","type":"article-journal","volume":"21"},"uris":["http://www.mendeley.com/documents/?uuid=cc417e4f-61cb-43a3-9a11-d93c9178490d"]},{"id":"ITEM-2","itemData":{"abstract":"We examine how the posterior lateral line of the zebrafish grows and evolves from the simple midbody line present at the end of embryogenesis into the complex adult pattern. Our results suggest that secondary neuromasts do not form through budding from the embryonic line, but rather new waves of neuromasts are added anteroposteriorly. We propose that the developmental module that builds the embryonic pattern of neuromasts is used repeatedly during postembryonic development and that additional (secondary) primordia generate the additional neuromasts. We show that differentiated neuromasts migrate ventrally, and eventually generate ‘stitches’ by successive bisections. We also examine the repatterning of the terminal neuromasts, which anticipates the up-bending of the tail leading to the highly asymmetrical caudal fin of the adult (which develops exclusively from the ventral part of the tail). Because terminal repatterning affects all aspects of tail formation, including its sensory development, we speculate that terminal axis bending may have become intimately associated with the terminal Hox genes before the appearance of the tetrapod lineage.","author":[{"dropping-particle":"","family":"Ledent","given":"Valérie","non-dropping-particle":"","parse-names":false,"suffix":""}],"container-title":"Development","id":"ITEM-2","issue":"3","issued":{"date-parts":[["2002","2","1"]]},"page":"597 LP  - 604","title":"Postembryonic development of the posterior lateral line in zebrafish","type":"article-journal","volume":"129"},"uris":["http://www.mendeley.com/documents/?uuid=2084cc94-1ee2-482a-b256-c5904a2a494a"]}],"mendeley":{"formattedCitation":"(Ledent, 2002; Ghysen and Dambly-Chaudière, 2007)","plainTextFormattedCitation":"(Ledent, 2002; Ghysen and Dambly-Chaudière, 2007)","previouslyFormattedCitation":"(Ledent, 2002; Ghysen and Dambly-Chaudière, 2007)"},"properties":{"noteIndex":0},"schema":"https://github.com/citation-style-language/schema/raw/master/csl-citation.json"}</w:instrText>
      </w:r>
      <w:r w:rsidRPr="00465302">
        <w:rPr>
          <w:rFonts w:cs="Times New Roman"/>
          <w:color w:val="auto"/>
          <w:szCs w:val="24"/>
        </w:rPr>
        <w:fldChar w:fldCharType="separate"/>
      </w:r>
      <w:r w:rsidRPr="00465302">
        <w:rPr>
          <w:rFonts w:cs="Times New Roman"/>
          <w:noProof/>
          <w:color w:val="auto"/>
          <w:szCs w:val="24"/>
        </w:rPr>
        <w:t>(Ledent, 2002; Ghysen and Dambly-Chaudière, 2007)</w:t>
      </w:r>
      <w:r w:rsidRPr="00465302">
        <w:rPr>
          <w:rFonts w:cs="Times New Roman"/>
          <w:color w:val="auto"/>
          <w:szCs w:val="24"/>
        </w:rPr>
        <w:fldChar w:fldCharType="end"/>
      </w:r>
      <w:r w:rsidRPr="00465302">
        <w:rPr>
          <w:rFonts w:cs="Times New Roman"/>
          <w:color w:val="auto"/>
          <w:szCs w:val="24"/>
        </w:rPr>
        <w:t>. Thus, the PLL’s reproducible pattern, ease of experimental accessibility, and its potential to shed light on important developmental mechanisms make it a very promising system for developing high throughput screens for chemicals interfering with fundamental biological processes.</w:t>
      </w:r>
    </w:p>
    <w:p w14:paraId="4484AADE" w14:textId="0355109B" w:rsidR="000233A1" w:rsidRDefault="000233A1" w:rsidP="00205E0F">
      <w:pPr>
        <w:pStyle w:val="NoSpacing"/>
      </w:pPr>
      <w:r w:rsidRPr="0099784D">
        <w:rPr>
          <w:b/>
          <w:bCs/>
          <w:noProof/>
        </w:rPr>
        <w:lastRenderedPageBreak/>
        <w:drawing>
          <wp:anchor distT="0" distB="0" distL="114300" distR="114300" simplePos="0" relativeHeight="251652608" behindDoc="0" locked="0" layoutInCell="1" allowOverlap="1" wp14:anchorId="33805833" wp14:editId="305F7A7F">
            <wp:simplePos x="0" y="0"/>
            <wp:positionH relativeFrom="column">
              <wp:posOffset>0</wp:posOffset>
            </wp:positionH>
            <wp:positionV relativeFrom="paragraph">
              <wp:posOffset>0</wp:posOffset>
            </wp:positionV>
            <wp:extent cx="5852160" cy="2166576"/>
            <wp:effectExtent l="0" t="0" r="0" b="5715"/>
            <wp:wrapTopAndBottom/>
            <wp:docPr id="1" name="Picture 1"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2.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2160" cy="2166576"/>
                    </a:xfrm>
                    <a:prstGeom prst="rect">
                      <a:avLst/>
                    </a:prstGeom>
                  </pic:spPr>
                </pic:pic>
              </a:graphicData>
            </a:graphic>
            <wp14:sizeRelH relativeFrom="margin">
              <wp14:pctWidth>0</wp14:pctWidth>
            </wp14:sizeRelH>
            <wp14:sizeRelV relativeFrom="margin">
              <wp14:pctHeight>0</wp14:pctHeight>
            </wp14:sizeRelV>
          </wp:anchor>
        </w:drawing>
      </w:r>
      <w:r w:rsidRPr="0099784D">
        <w:rPr>
          <w:b/>
          <w:bCs/>
        </w:rPr>
        <w:t xml:space="preserve">Figure </w:t>
      </w:r>
      <w:bookmarkStart w:id="22" w:name="_Hlk39499652"/>
      <w:r w:rsidRPr="0099784D">
        <w:rPr>
          <w:b/>
          <w:bCs/>
        </w:rPr>
        <w:t xml:space="preserve">2.1 Lateral line system of zebrafish at </w:t>
      </w:r>
      <w:r w:rsidR="006D4C50">
        <w:rPr>
          <w:b/>
          <w:bCs/>
        </w:rPr>
        <w:t>four</w:t>
      </w:r>
      <w:r w:rsidRPr="0099784D">
        <w:rPr>
          <w:b/>
          <w:bCs/>
        </w:rPr>
        <w:t xml:space="preserve"> dpf</w:t>
      </w:r>
      <w:bookmarkEnd w:id="22"/>
      <w:r w:rsidRPr="004A6CDF">
        <w:t xml:space="preserve">. </w:t>
      </w:r>
      <w:r w:rsidRPr="009A0B96">
        <w:rPr>
          <w:i/>
        </w:rPr>
        <w:t>Tg</w:t>
      </w:r>
      <w:r w:rsidR="0093738C" w:rsidRPr="009A0B96">
        <w:rPr>
          <w:i/>
        </w:rPr>
        <w:t xml:space="preserve"> </w:t>
      </w:r>
      <w:r w:rsidRPr="009A0B96">
        <w:rPr>
          <w:i/>
        </w:rPr>
        <w:t>(neuromast:GFP)</w:t>
      </w:r>
      <w:r w:rsidRPr="004A6CDF">
        <w:t xml:space="preserve"> larva expressing GFP in the </w:t>
      </w:r>
      <w:r>
        <w:t>neuromast support cells</w:t>
      </w:r>
      <w:r w:rsidRPr="004A6CDF">
        <w:t xml:space="preserve">, was imaged laterally. </w:t>
      </w:r>
      <w:r>
        <w:t>The two main branches of the lateral line a</w:t>
      </w:r>
      <w:r w:rsidR="00964DD4">
        <w:t>re</w:t>
      </w:r>
      <w:r>
        <w:t xml:space="preserve"> ALL, anterior lateral line in the head region</w:t>
      </w:r>
      <w:r w:rsidR="00964DD4">
        <w:t>,</w:t>
      </w:r>
      <w:r>
        <w:t xml:space="preserve"> and PLL, posterior lateral line in the trunk region. </w:t>
      </w:r>
    </w:p>
    <w:p w14:paraId="4218857B" w14:textId="1C887D5E" w:rsidR="0069328F" w:rsidRPr="002F5392" w:rsidRDefault="0069328F" w:rsidP="00317481">
      <w:pPr>
        <w:pStyle w:val="Heading3"/>
      </w:pPr>
      <w:bookmarkStart w:id="23" w:name="_Toc39502039"/>
      <w:r w:rsidRPr="002F5392">
        <w:t>2.</w:t>
      </w:r>
      <w:r>
        <w:t>1.</w:t>
      </w:r>
      <w:r w:rsidR="00FB7C01">
        <w:t>2</w:t>
      </w:r>
      <w:r w:rsidRPr="002F5392">
        <w:t xml:space="preserve"> Zebrafish Screening</w:t>
      </w:r>
      <w:bookmarkEnd w:id="23"/>
    </w:p>
    <w:p w14:paraId="41C58584" w14:textId="1838B586" w:rsidR="0069328F" w:rsidRPr="002F5392" w:rsidRDefault="0069328F" w:rsidP="00A5237A">
      <w:pPr>
        <w:pStyle w:val="NoSpacing"/>
        <w:spacing w:line="480" w:lineRule="auto"/>
        <w:contextualSpacing/>
        <w:jc w:val="both"/>
        <w:rPr>
          <w:rFonts w:cs="Times New Roman"/>
        </w:rPr>
      </w:pPr>
      <w:r w:rsidRPr="002F5392">
        <w:rPr>
          <w:rFonts w:cs="Times New Roman"/>
        </w:rPr>
        <w:t xml:space="preserve">Here we have used the zebrafish PLL system as an </w:t>
      </w:r>
      <w:r w:rsidRPr="002F5392">
        <w:rPr>
          <w:rFonts w:cs="Times New Roman"/>
          <w:i/>
        </w:rPr>
        <w:t>in vivo</w:t>
      </w:r>
      <w:r w:rsidRPr="002F5392">
        <w:rPr>
          <w:rFonts w:cs="Times New Roman"/>
        </w:rPr>
        <w:t xml:space="preserve"> model to screen for chemicals that adversely affect neuromast development</w:t>
      </w:r>
      <w:r w:rsidR="00F00FA2">
        <w:rPr>
          <w:rFonts w:cs="Times New Roman"/>
        </w:rPr>
        <w:t xml:space="preserve">, </w:t>
      </w:r>
      <w:r w:rsidRPr="002F5392">
        <w:rPr>
          <w:rFonts w:cs="Times New Roman"/>
        </w:rPr>
        <w:t>migration</w:t>
      </w:r>
      <w:r w:rsidR="00F00FA2">
        <w:rPr>
          <w:rFonts w:cs="Times New Roman"/>
        </w:rPr>
        <w:t xml:space="preserve"> or survival</w:t>
      </w:r>
      <w:r w:rsidRPr="002F5392">
        <w:rPr>
          <w:rFonts w:cs="Times New Roman"/>
        </w:rPr>
        <w:t>. We used embryos of a transgenic zebrafish line that express GFP in neuromasts to screen</w:t>
      </w:r>
      <w:r w:rsidRPr="002F5392">
        <w:rPr>
          <w:rFonts w:cs="Times New Roman"/>
          <w:szCs w:val="24"/>
        </w:rPr>
        <w:t xml:space="preserve"> 292 unique chemicals of the ToxCast Phase I library. The identified PLL disruptors</w:t>
      </w:r>
      <w:r w:rsidR="0035635A">
        <w:rPr>
          <w:rFonts w:cs="Times New Roman"/>
          <w:szCs w:val="24"/>
        </w:rPr>
        <w:t xml:space="preserve"> (PLLDs)</w:t>
      </w:r>
      <w:r w:rsidRPr="002F5392">
        <w:rPr>
          <w:rFonts w:cs="Times New Roman"/>
          <w:szCs w:val="24"/>
        </w:rPr>
        <w:t xml:space="preserve"> were correlated to chemical data of the CompTox Dashboard, which suggested novel mechanisms of action for posterior lateral line disruption. The correlations predicted that serotonin signaling is required for normal PLL development; a hypothesis that was investigated </w:t>
      </w:r>
      <w:r w:rsidRPr="002F5392">
        <w:rPr>
          <w:rFonts w:cs="Times New Roman"/>
          <w:i/>
          <w:szCs w:val="24"/>
        </w:rPr>
        <w:t>in vivo</w:t>
      </w:r>
      <w:r w:rsidRPr="002F5392">
        <w:rPr>
          <w:rFonts w:cs="Times New Roman"/>
        </w:rPr>
        <w:t xml:space="preserve">. </w:t>
      </w:r>
    </w:p>
    <w:p w14:paraId="5FD44514" w14:textId="7BC09B69" w:rsidR="0069328F" w:rsidRPr="0069328F" w:rsidRDefault="00D42987">
      <w:pPr>
        <w:pStyle w:val="Heading2"/>
      </w:pPr>
      <w:bookmarkStart w:id="24" w:name="_Toc39502040"/>
      <w:r>
        <w:t xml:space="preserve">2.2 </w:t>
      </w:r>
      <w:r w:rsidRPr="0069328F">
        <w:t>RESULTS</w:t>
      </w:r>
      <w:bookmarkEnd w:id="24"/>
    </w:p>
    <w:p w14:paraId="6D6AEF93" w14:textId="22688E56" w:rsidR="0069328F" w:rsidRPr="002F5392" w:rsidRDefault="0069328F" w:rsidP="00317481">
      <w:pPr>
        <w:pStyle w:val="Heading3"/>
      </w:pPr>
      <w:bookmarkStart w:id="25" w:name="_Toc39502041"/>
      <w:r w:rsidRPr="002F5392">
        <w:t>2.</w:t>
      </w:r>
      <w:r>
        <w:t>2.1</w:t>
      </w:r>
      <w:r w:rsidRPr="002F5392">
        <w:t xml:space="preserve"> Identification of </w:t>
      </w:r>
      <w:r w:rsidR="00181B79">
        <w:t>N</w:t>
      </w:r>
      <w:r w:rsidRPr="002F5392">
        <w:t xml:space="preserve">ovel </w:t>
      </w:r>
      <w:r w:rsidRPr="002F5392">
        <w:rPr>
          <w:rFonts w:cs="Times New Roman"/>
        </w:rPr>
        <w:t xml:space="preserve">Posterior Lateral Line </w:t>
      </w:r>
      <w:r w:rsidR="00181B79">
        <w:t>D</w:t>
      </w:r>
      <w:r w:rsidRPr="002F5392">
        <w:t>isruptors</w:t>
      </w:r>
      <w:bookmarkEnd w:id="25"/>
    </w:p>
    <w:p w14:paraId="3A75CD0B" w14:textId="3E28C46B" w:rsidR="0069328F" w:rsidRPr="00465302" w:rsidRDefault="0069328F" w:rsidP="00242745">
      <w:pPr>
        <w:spacing w:before="0" w:line="480" w:lineRule="auto"/>
        <w:jc w:val="both"/>
        <w:rPr>
          <w:rFonts w:cs="Times New Roman"/>
          <w:color w:val="auto"/>
          <w:szCs w:val="24"/>
        </w:rPr>
      </w:pPr>
      <w:r w:rsidRPr="00465302">
        <w:rPr>
          <w:rFonts w:cs="Times New Roman"/>
          <w:color w:val="auto"/>
          <w:szCs w:val="24"/>
        </w:rPr>
        <w:t xml:space="preserve">To visualize the PLL we used a transgenic zebrafish line expressing GFP in neuromasts, (GW57A </w:t>
      </w:r>
      <w:r w:rsidRPr="00465302">
        <w:rPr>
          <w:rFonts w:cs="Times New Roman"/>
          <w:color w:val="auto"/>
          <w:szCs w:val="24"/>
        </w:rPr>
        <w:fldChar w:fldCharType="begin" w:fldLock="1"/>
      </w:r>
      <w:r w:rsidRPr="00465302">
        <w:rPr>
          <w:rFonts w:cs="Times New Roman"/>
          <w:color w:val="auto"/>
          <w:szCs w:val="24"/>
        </w:rPr>
        <w:instrText>ADDIN CSL_CITATION {"citationItems":[{"id":"ITEM-1","itemData":{"DOI":"10.1089/zeb.2011.0718","ISSN":"1545-8547","abstract":"Abstract Our first Zebrafish Enhancer TRAP lines database (ZETRAP) generated a few years ago was a web-based system informing the scientific community about the developmental, genetic, and genomic aspects of transgenic zebrafish lines expressing the cytosolic version of EGFP. These transgenic lines were obtained in a primary screen using Tol2 transposon-mediated transgenesis. Following that, several hundreds transgenics were generated by a systematic ?rejump? of the transposon from the two distinct genomic sites. This collection was expanded further by generation of transgenics expressing the membrane-tethered version of a novel red protein KillerRed. These KR transgenics are useful not only to complement the cytosolic GFP in compound GFP/KR transgenics for improved bioimaging. They also could be used to affect cells physiology by tissue-specific optogenetic generation of reactive oxygen species. We have compiled the genomic data and expression patterns of these novel ET transgenic lines in an updated online database?the Zebrafish Enhancer TRAP lines database version 2.0 (ZETRAP 2.0). This improved and expanded version contains the sequence of regions flanking the insertion sites, links to genes in zebrafish genome, and confocal images of embryos/larvae of these transgenics.","author":[{"dropping-particle":"","family":"Kondrychyn","given":"Igor","non-dropping-particle":"","parse-names":false,"suffix":""},{"dropping-particle":"","family":"Teh","given":"Cathleen","non-dropping-particle":"","parse-names":false,"suffix":""},{"dropping-particle":"","family":"Garcia-Lecea","given":"Marta","non-dropping-particle":"","parse-names":false,"suffix":""},{"dropping-particle":"","family":"Guan","given":"Youxin","non-dropping-particle":"","parse-names":false,"suffix":""},{"dropping-particle":"","family":"Kang","given":"Ann","non-dropping-particle":"","parse-names":false,"suffix":""},{"dropping-particle":"","family":"Korzh","given":"Vladimir","non-dropping-particle":"","parse-names":false,"suffix":""}],"container-title":"Zebrafish","id":"ITEM-1","issue":"4","issued":{"date-parts":[["2011","12","1"]]},"note":"doi: 10.1089/zeb.2011.0718","page":"181-182","publisher":"Mary Ann Liebert, Inc., publishers","title":"Zebrafish Enhancer TRAP Transgenic Line Database ZETRAP 2.0","type":"article-journal","volume":"8"},"uris":["http://www.mendeley.com/documents/?uuid=503fc903-02f2-4cf4-b868-d9d2680dc6c9"]}],"mendeley":{"formattedCitation":"(Kondrychyn &lt;i&gt;et al.&lt;/i&gt;, 2011)","plainTextFormattedCitation":"(Kondrychyn et al., 2011)","previouslyFormattedCitation":"(Kondrychyn &lt;i&gt;et al.&lt;/i&gt;, 2011)"},"properties":{"noteIndex":0},"schema":"https://github.com/citation-style-language/schema/raw/master/csl-citation.json"}</w:instrText>
      </w:r>
      <w:r w:rsidRPr="00465302">
        <w:rPr>
          <w:rFonts w:cs="Times New Roman"/>
          <w:color w:val="auto"/>
          <w:szCs w:val="24"/>
        </w:rPr>
        <w:fldChar w:fldCharType="separate"/>
      </w:r>
      <w:r w:rsidRPr="00465302">
        <w:rPr>
          <w:rFonts w:cs="Times New Roman"/>
          <w:noProof/>
          <w:color w:val="auto"/>
          <w:szCs w:val="24"/>
        </w:rPr>
        <w:t xml:space="preserve">(Kondrychyn </w:t>
      </w:r>
      <w:r w:rsidRPr="00465302">
        <w:rPr>
          <w:rFonts w:cs="Times New Roman"/>
          <w:i/>
          <w:noProof/>
          <w:color w:val="auto"/>
          <w:szCs w:val="24"/>
        </w:rPr>
        <w:t>et al.</w:t>
      </w:r>
      <w:r w:rsidRPr="00465302">
        <w:rPr>
          <w:rFonts w:cs="Times New Roman"/>
          <w:noProof/>
          <w:color w:val="auto"/>
          <w:szCs w:val="24"/>
        </w:rPr>
        <w:t>, 2011)</w:t>
      </w:r>
      <w:r w:rsidRPr="00465302">
        <w:rPr>
          <w:rFonts w:cs="Times New Roman"/>
          <w:color w:val="auto"/>
          <w:szCs w:val="24"/>
        </w:rPr>
        <w:fldChar w:fldCharType="end"/>
      </w:r>
      <w:r w:rsidRPr="00465302">
        <w:rPr>
          <w:rFonts w:cs="Times New Roman"/>
          <w:color w:val="auto"/>
          <w:szCs w:val="24"/>
        </w:rPr>
        <w:t xml:space="preserve">, here referred to as </w:t>
      </w:r>
      <w:r w:rsidR="009A0B96">
        <w:rPr>
          <w:rFonts w:cs="Times New Roman"/>
          <w:i/>
          <w:iCs/>
          <w:color w:val="auto"/>
          <w:szCs w:val="24"/>
        </w:rPr>
        <w:t>T</w:t>
      </w:r>
      <w:r w:rsidRPr="009A0B96">
        <w:rPr>
          <w:rFonts w:cs="Times New Roman"/>
          <w:i/>
          <w:iCs/>
          <w:color w:val="auto"/>
          <w:szCs w:val="24"/>
        </w:rPr>
        <w:t>g</w:t>
      </w:r>
      <w:r w:rsidR="0093738C" w:rsidRPr="00DD79FA">
        <w:rPr>
          <w:rFonts w:cs="Times New Roman"/>
          <w:i/>
          <w:iCs/>
          <w:color w:val="auto"/>
          <w:szCs w:val="24"/>
        </w:rPr>
        <w:t xml:space="preserve"> </w:t>
      </w:r>
      <w:r w:rsidRPr="00DD79FA">
        <w:rPr>
          <w:rFonts w:cs="Times New Roman"/>
          <w:i/>
          <w:iCs/>
          <w:color w:val="auto"/>
          <w:szCs w:val="24"/>
        </w:rPr>
        <w:t>(neuromast:GFP)</w:t>
      </w:r>
      <w:r w:rsidR="00F12AC1" w:rsidRPr="00465302">
        <w:rPr>
          <w:rFonts w:cs="Times New Roman"/>
          <w:color w:val="auto"/>
          <w:szCs w:val="24"/>
        </w:rPr>
        <w:t xml:space="preserve"> (</w:t>
      </w:r>
      <w:r w:rsidR="00F12AC1" w:rsidRPr="00465302">
        <w:rPr>
          <w:rStyle w:val="Strong"/>
          <w:color w:val="auto"/>
        </w:rPr>
        <w:t>Figure 2.2 B</w:t>
      </w:r>
      <w:r w:rsidR="00F12AC1" w:rsidRPr="00465302">
        <w:rPr>
          <w:rFonts w:cs="Times New Roman"/>
          <w:color w:val="auto"/>
          <w:szCs w:val="24"/>
        </w:rPr>
        <w:t>)</w:t>
      </w:r>
      <w:r w:rsidRPr="00465302">
        <w:rPr>
          <w:rFonts w:cs="Times New Roman"/>
          <w:color w:val="auto"/>
          <w:szCs w:val="24"/>
        </w:rPr>
        <w:t xml:space="preserve">. Compared to the </w:t>
      </w:r>
      <w:r w:rsidRPr="00DD79FA">
        <w:rPr>
          <w:rFonts w:cs="Times New Roman"/>
          <w:i/>
          <w:iCs/>
          <w:color w:val="auto"/>
          <w:szCs w:val="24"/>
        </w:rPr>
        <w:t>cldnb:GFP</w:t>
      </w:r>
      <w:r w:rsidRPr="00465302">
        <w:rPr>
          <w:rFonts w:cs="Times New Roman"/>
          <w:color w:val="auto"/>
          <w:szCs w:val="24"/>
        </w:rPr>
        <w:t xml:space="preserve"> transgenic line</w:t>
      </w:r>
      <w:r w:rsidR="00F12AC1" w:rsidRPr="00465302">
        <w:rPr>
          <w:rFonts w:cs="Times New Roman"/>
          <w:color w:val="auto"/>
          <w:szCs w:val="24"/>
        </w:rPr>
        <w:t xml:space="preserve"> (</w:t>
      </w:r>
      <w:r w:rsidR="00F12AC1" w:rsidRPr="00465302">
        <w:rPr>
          <w:rStyle w:val="Strong"/>
          <w:color w:val="auto"/>
        </w:rPr>
        <w:t>Figure 2.2. A</w:t>
      </w:r>
      <w:r w:rsidR="00F12AC1" w:rsidRPr="00465302">
        <w:rPr>
          <w:rFonts w:cs="Times New Roman"/>
          <w:color w:val="auto"/>
          <w:szCs w:val="24"/>
        </w:rPr>
        <w:t>)</w:t>
      </w:r>
      <w:r w:rsidRPr="00465302">
        <w:rPr>
          <w:rFonts w:cs="Times New Roman"/>
          <w:color w:val="auto"/>
          <w:szCs w:val="24"/>
        </w:rPr>
        <w:t xml:space="preserve">, with established GFP expression in the mature </w:t>
      </w:r>
      <w:r w:rsidRPr="00465302">
        <w:rPr>
          <w:rFonts w:cs="Times New Roman"/>
          <w:color w:val="auto"/>
          <w:szCs w:val="24"/>
        </w:rPr>
        <w:lastRenderedPageBreak/>
        <w:t xml:space="preserve">neuromasts, as well as in the migrating primordium and the head region </w:t>
      </w:r>
      <w:r w:rsidRPr="00465302">
        <w:rPr>
          <w:rFonts w:cs="Times New Roman"/>
          <w:color w:val="auto"/>
          <w:szCs w:val="24"/>
        </w:rPr>
        <w:fldChar w:fldCharType="begin" w:fldLock="1"/>
      </w:r>
      <w:r w:rsidRPr="00465302">
        <w:rPr>
          <w:rFonts w:cs="Times New Roman"/>
          <w:color w:val="auto"/>
          <w:szCs w:val="24"/>
        </w:rPr>
        <w:instrText>ADDIN CSL_CITATION {"citationItems":[{"id":"ITEM-1","itemData":{"DOI":"10.1016/j.devcel.2006.02.019","ISSN":"1534-5807","author":[{"dropping-particle":"","family":"Haas","given":"Petra","non-dropping-particle":"","parse-names":false,"suffix":""},{"dropping-particle":"","family":"Gilmour","given":"Darren","non-dropping-particle":"","parse-names":false,"suffix":""}],"container-title":"Developmental Cell","id":"ITEM-1","issue":"5","issued":{"date-parts":[["2006","5","1"]]},"note":"doi: 10.1016/j.devcel.2006.02.019","page":"673-680","publisher":"Elsevier","title":"Chemokine Signaling Mediates Self-Organizing Tissue Migration in the Zebrafish Lateral Line","type":"article-journal","volume":"10"},"uris":["http://www.mendeley.com/documents/?uuid=60f51d58-7c3f-4986-a97c-749e538e9ff9"]}],"mendeley":{"formattedCitation":"(Haas and Gilmour, 2006)","plainTextFormattedCitation":"(Haas and Gilmour, 2006)","previouslyFormattedCitation":"(Haas and Gilmour, 2006)"},"properties":{"noteIndex":0},"schema":"https://github.com/citation-style-language/schema/raw/master/csl-citation.json"}</w:instrText>
      </w:r>
      <w:r w:rsidRPr="00465302">
        <w:rPr>
          <w:rFonts w:cs="Times New Roman"/>
          <w:color w:val="auto"/>
          <w:szCs w:val="24"/>
        </w:rPr>
        <w:fldChar w:fldCharType="separate"/>
      </w:r>
      <w:r w:rsidRPr="00465302">
        <w:rPr>
          <w:rFonts w:cs="Times New Roman"/>
          <w:noProof/>
          <w:color w:val="auto"/>
          <w:szCs w:val="24"/>
        </w:rPr>
        <w:t>(Haas and Gilmour, 2006)</w:t>
      </w:r>
      <w:r w:rsidRPr="00465302">
        <w:rPr>
          <w:rFonts w:cs="Times New Roman"/>
          <w:color w:val="auto"/>
          <w:szCs w:val="24"/>
        </w:rPr>
        <w:fldChar w:fldCharType="end"/>
      </w:r>
      <w:r w:rsidRPr="00465302">
        <w:rPr>
          <w:rFonts w:cs="Times New Roman"/>
          <w:color w:val="auto"/>
          <w:szCs w:val="24"/>
        </w:rPr>
        <w:t xml:space="preserve">, </w:t>
      </w:r>
      <w:r w:rsidR="009A0B96">
        <w:rPr>
          <w:rFonts w:cs="Times New Roman"/>
          <w:i/>
          <w:iCs/>
          <w:color w:val="auto"/>
          <w:szCs w:val="24"/>
        </w:rPr>
        <w:t>T</w:t>
      </w:r>
      <w:r w:rsidRPr="009A0B96">
        <w:rPr>
          <w:rFonts w:cs="Times New Roman"/>
          <w:i/>
          <w:iCs/>
          <w:color w:val="auto"/>
          <w:szCs w:val="24"/>
        </w:rPr>
        <w:t>g</w:t>
      </w:r>
      <w:r w:rsidR="0093738C" w:rsidRPr="009A0B96">
        <w:rPr>
          <w:rFonts w:cs="Times New Roman"/>
          <w:i/>
          <w:iCs/>
          <w:color w:val="auto"/>
          <w:szCs w:val="24"/>
        </w:rPr>
        <w:t xml:space="preserve"> </w:t>
      </w:r>
      <w:r w:rsidRPr="00DD79FA">
        <w:rPr>
          <w:rFonts w:cs="Times New Roman"/>
          <w:i/>
          <w:iCs/>
          <w:color w:val="auto"/>
          <w:szCs w:val="24"/>
        </w:rPr>
        <w:t>(neuromast:GFP)</w:t>
      </w:r>
      <w:r w:rsidRPr="00465302">
        <w:rPr>
          <w:rFonts w:cs="Times New Roman"/>
          <w:color w:val="auto"/>
          <w:szCs w:val="24"/>
        </w:rPr>
        <w:t xml:space="preserve"> has a high GFP-expression in </w:t>
      </w:r>
      <w:r w:rsidR="00DE69FE">
        <w:rPr>
          <w:rFonts w:cs="Times New Roman"/>
          <w:color w:val="auto"/>
          <w:szCs w:val="24"/>
        </w:rPr>
        <w:t xml:space="preserve">only the </w:t>
      </w:r>
      <w:r w:rsidR="00F12AC1" w:rsidRPr="00465302">
        <w:rPr>
          <w:rFonts w:cs="Times New Roman"/>
          <w:color w:val="auto"/>
          <w:szCs w:val="24"/>
        </w:rPr>
        <w:t xml:space="preserve">support cells of </w:t>
      </w:r>
      <w:r w:rsidRPr="00465302">
        <w:rPr>
          <w:rFonts w:cs="Times New Roman"/>
          <w:color w:val="auto"/>
          <w:szCs w:val="24"/>
        </w:rPr>
        <w:t>mature neuromasts</w:t>
      </w:r>
      <w:r w:rsidR="00F12AC1" w:rsidRPr="00465302">
        <w:rPr>
          <w:rFonts w:cs="Times New Roman"/>
          <w:color w:val="auto"/>
          <w:szCs w:val="24"/>
        </w:rPr>
        <w:t xml:space="preserve"> </w:t>
      </w:r>
      <w:r w:rsidR="0093738C">
        <w:rPr>
          <w:rFonts w:cs="Times New Roman"/>
          <w:color w:val="auto"/>
          <w:szCs w:val="24"/>
        </w:rPr>
        <w:fldChar w:fldCharType="begin" w:fldLock="1"/>
      </w:r>
      <w:r w:rsidR="00D50F49">
        <w:rPr>
          <w:rFonts w:cs="Times New Roman"/>
          <w:color w:val="auto"/>
          <w:szCs w:val="24"/>
        </w:rPr>
        <w:instrText>ADDIN CSL_CITATION {"citationItems":[{"id":"ITEM-1","itemData":{"DOI":"10.1242/bio.012112","ISSN":"20466390","abstract":"Animals have evolved two general strategies to counter injury and maintain physiological function. The most prevalent is protection by isolating vital organs into body cavities. However, protection is not optimal for sensory systems because their external components need to be exposed to the environment to fulfill their receptive function. Thus, a common strategy to maintain sensory abilities against persistent environmental insult involves repair and regeneration. However, whether age or frequent injuries affect the regenerative capacity of sensory organs remains unknown. We have found that neuromasts of the zebrafish lateral line regenerate mechanosensory hair cells after recurrent severe injuries and in adulthood. Moreover, neuromasts can reverse transient imbalances of Notch signaling that result in defective organ proportions during repair. Our results reveal inextinguishable hair-cell regeneration in the lateral line, and suggest that the neuromast epithelium is formed by plastic territories that are maintained by continuous intercellular communication.","author":[{"dropping-particle":"","family":"Pinto-Teixeira","given":"Filipe","non-dropping-particle":"","parse-names":false,"suffix":""},{"dropping-particle":"","family":"Viader-Llargués","given":"Oriol","non-dropping-particle":"","parse-names":false,"suffix":""},{"dropping-particle":"","family":"Torres-Mejía","given":"Elen","non-dropping-particle":"","parse-names":false,"suffix":""},{"dropping-particle":"","family":"Turan","given":"Melissa","non-dropping-particle":"","parse-names":false,"suffix":""},{"dropping-particle":"","family":"González-Gualda","given":"Estela","non-dropping-particle":"","parse-names":false,"suffix":""},{"dropping-particle":"","family":"Pola-Morell","given":"Laura","non-dropping-particle":"","parse-names":false,"suffix":""},{"dropping-particle":"","family":"Loṕez-Schier","given":"Hernań","non-dropping-particle":"","parse-names":false,"suffix":""}],"container-title":"Biology Open","id":"ITEM-1","issue":"7","issued":{"date-parts":[["2015"]]},"page":"903-909","title":"Inexhaustible hair-cell regeneration in young and aged zebrafish","type":"article-journal","volume":"4"},"uris":["http://www.mendeley.com/documents/?uuid=51a0827c-7fa2-4d19-9a18-b2c3c6ccf595"]}],"mendeley":{"formattedCitation":"(Pinto-Teixeira &lt;i&gt;et al.&lt;/i&gt;, 2015)","plainTextFormattedCitation":"(Pinto-Teixeira et al., 2015)","previouslyFormattedCitation":"(Pinto-Teixeira &lt;i&gt;et al.&lt;/i&gt;, 2015)"},"properties":{"noteIndex":0},"schema":"https://github.com/citation-style-language/schema/raw/master/csl-citation.json"}</w:instrText>
      </w:r>
      <w:r w:rsidR="0093738C">
        <w:rPr>
          <w:rFonts w:cs="Times New Roman"/>
          <w:color w:val="auto"/>
          <w:szCs w:val="24"/>
        </w:rPr>
        <w:fldChar w:fldCharType="separate"/>
      </w:r>
      <w:r w:rsidR="0093738C" w:rsidRPr="0093738C">
        <w:rPr>
          <w:rFonts w:cs="Times New Roman"/>
          <w:noProof/>
          <w:color w:val="auto"/>
          <w:szCs w:val="24"/>
        </w:rPr>
        <w:t xml:space="preserve">(Pinto-Teixeira </w:t>
      </w:r>
      <w:r w:rsidR="0093738C" w:rsidRPr="0093738C">
        <w:rPr>
          <w:rFonts w:cs="Times New Roman"/>
          <w:i/>
          <w:noProof/>
          <w:color w:val="auto"/>
          <w:szCs w:val="24"/>
        </w:rPr>
        <w:t>et al.</w:t>
      </w:r>
      <w:r w:rsidR="0093738C" w:rsidRPr="0093738C">
        <w:rPr>
          <w:rFonts w:cs="Times New Roman"/>
          <w:noProof/>
          <w:color w:val="auto"/>
          <w:szCs w:val="24"/>
        </w:rPr>
        <w:t>, 2015)</w:t>
      </w:r>
      <w:r w:rsidR="0093738C">
        <w:rPr>
          <w:rFonts w:cs="Times New Roman"/>
          <w:color w:val="auto"/>
          <w:szCs w:val="24"/>
        </w:rPr>
        <w:fldChar w:fldCharType="end"/>
      </w:r>
      <w:r w:rsidRPr="00465302">
        <w:rPr>
          <w:rFonts w:cs="Times New Roman"/>
          <w:color w:val="auto"/>
          <w:szCs w:val="24"/>
        </w:rPr>
        <w:t>. Visualization of the development of neuromasts by time-lapse microscopy using this line shows that the first PLL neuromast becomes positioned at the boundary between somites 6 and 7</w:t>
      </w:r>
      <w:r w:rsidR="00F12AC1" w:rsidRPr="00465302">
        <w:rPr>
          <w:rFonts w:cs="Times New Roman"/>
          <w:color w:val="auto"/>
          <w:szCs w:val="24"/>
        </w:rPr>
        <w:t xml:space="preserve"> (</w:t>
      </w:r>
      <w:r w:rsidR="00C73FFF" w:rsidRPr="00465302">
        <w:rPr>
          <w:rFonts w:cs="Times New Roman"/>
          <w:color w:val="auto"/>
          <w:szCs w:val="24"/>
        </w:rPr>
        <w:t>I-</w:t>
      </w:r>
      <w:r w:rsidR="00F12AC1" w:rsidRPr="00465302">
        <w:rPr>
          <w:rFonts w:cs="Times New Roman"/>
          <w:color w:val="auto"/>
          <w:szCs w:val="24"/>
        </w:rPr>
        <w:t>1)</w:t>
      </w:r>
      <w:r w:rsidRPr="00465302">
        <w:rPr>
          <w:rFonts w:cs="Times New Roman"/>
          <w:color w:val="auto"/>
          <w:szCs w:val="24"/>
        </w:rPr>
        <w:t>, and the following ones at somites 13/14</w:t>
      </w:r>
      <w:r w:rsidR="00F12AC1" w:rsidRPr="00465302">
        <w:rPr>
          <w:rFonts w:cs="Times New Roman"/>
          <w:color w:val="auto"/>
          <w:szCs w:val="24"/>
        </w:rPr>
        <w:t xml:space="preserve"> (</w:t>
      </w:r>
      <w:r w:rsidR="00C73FFF" w:rsidRPr="00465302">
        <w:rPr>
          <w:rFonts w:cs="Times New Roman"/>
          <w:color w:val="auto"/>
          <w:szCs w:val="24"/>
        </w:rPr>
        <w:t>I-</w:t>
      </w:r>
      <w:r w:rsidR="00F12AC1" w:rsidRPr="00465302">
        <w:rPr>
          <w:rFonts w:cs="Times New Roman"/>
          <w:color w:val="auto"/>
          <w:szCs w:val="24"/>
        </w:rPr>
        <w:t>2)</w:t>
      </w:r>
      <w:r w:rsidRPr="00465302">
        <w:rPr>
          <w:rFonts w:cs="Times New Roman"/>
          <w:color w:val="auto"/>
          <w:szCs w:val="24"/>
        </w:rPr>
        <w:t>, 19/20</w:t>
      </w:r>
      <w:r w:rsidR="00F12AC1" w:rsidRPr="00465302">
        <w:rPr>
          <w:rFonts w:cs="Times New Roman"/>
          <w:color w:val="auto"/>
          <w:szCs w:val="24"/>
        </w:rPr>
        <w:t xml:space="preserve"> (</w:t>
      </w:r>
      <w:r w:rsidR="00C73FFF" w:rsidRPr="00465302">
        <w:rPr>
          <w:rFonts w:cs="Times New Roman"/>
          <w:color w:val="auto"/>
          <w:szCs w:val="24"/>
        </w:rPr>
        <w:t>I-</w:t>
      </w:r>
      <w:r w:rsidR="00F12AC1" w:rsidRPr="00465302">
        <w:rPr>
          <w:rFonts w:cs="Times New Roman"/>
          <w:color w:val="auto"/>
          <w:szCs w:val="24"/>
        </w:rPr>
        <w:t>3)</w:t>
      </w:r>
      <w:r w:rsidRPr="00465302">
        <w:rPr>
          <w:rFonts w:cs="Times New Roman"/>
          <w:color w:val="auto"/>
          <w:szCs w:val="24"/>
        </w:rPr>
        <w:t>, 24/25</w:t>
      </w:r>
      <w:r w:rsidR="00F12AC1" w:rsidRPr="00465302">
        <w:rPr>
          <w:rFonts w:cs="Times New Roman"/>
          <w:color w:val="auto"/>
          <w:szCs w:val="24"/>
        </w:rPr>
        <w:t xml:space="preserve"> (</w:t>
      </w:r>
      <w:r w:rsidR="00C73FFF" w:rsidRPr="00465302">
        <w:rPr>
          <w:rFonts w:cs="Times New Roman"/>
          <w:color w:val="auto"/>
          <w:szCs w:val="24"/>
        </w:rPr>
        <w:t>I-</w:t>
      </w:r>
      <w:r w:rsidR="00F12AC1" w:rsidRPr="00465302">
        <w:rPr>
          <w:rFonts w:cs="Times New Roman"/>
          <w:color w:val="auto"/>
          <w:szCs w:val="24"/>
        </w:rPr>
        <w:t>4)</w:t>
      </w:r>
      <w:r w:rsidRPr="00465302">
        <w:rPr>
          <w:rFonts w:cs="Times New Roman"/>
          <w:color w:val="auto"/>
          <w:szCs w:val="24"/>
        </w:rPr>
        <w:t>, and 28/29</w:t>
      </w:r>
      <w:r w:rsidR="00F12AC1" w:rsidRPr="00465302">
        <w:rPr>
          <w:rFonts w:cs="Times New Roman"/>
          <w:color w:val="auto"/>
          <w:szCs w:val="24"/>
        </w:rPr>
        <w:t xml:space="preserve"> (</w:t>
      </w:r>
      <w:r w:rsidR="00C73FFF" w:rsidRPr="00465302">
        <w:rPr>
          <w:rFonts w:cs="Times New Roman"/>
          <w:color w:val="auto"/>
          <w:szCs w:val="24"/>
        </w:rPr>
        <w:t>I-</w:t>
      </w:r>
      <w:r w:rsidR="00F12AC1" w:rsidRPr="00465302">
        <w:rPr>
          <w:rFonts w:cs="Times New Roman"/>
          <w:color w:val="auto"/>
          <w:szCs w:val="24"/>
        </w:rPr>
        <w:t>5) (</w:t>
      </w:r>
      <w:r w:rsidR="00F12AC1" w:rsidRPr="00465302">
        <w:rPr>
          <w:rStyle w:val="Strong"/>
          <w:color w:val="auto"/>
        </w:rPr>
        <w:t>Figure 2.2</w:t>
      </w:r>
      <w:r w:rsidR="00F12AC1" w:rsidRPr="00465302">
        <w:rPr>
          <w:rFonts w:cs="Times New Roman"/>
          <w:color w:val="auto"/>
          <w:szCs w:val="24"/>
        </w:rPr>
        <w:t>)</w:t>
      </w:r>
      <w:r w:rsidRPr="00465302">
        <w:rPr>
          <w:rFonts w:cs="Times New Roman"/>
          <w:color w:val="auto"/>
          <w:szCs w:val="24"/>
        </w:rPr>
        <w:t xml:space="preserve">. </w:t>
      </w:r>
      <w:r w:rsidR="00C73FFF" w:rsidRPr="00465302">
        <w:rPr>
          <w:rFonts w:cs="Times New Roman"/>
          <w:color w:val="auto"/>
          <w:szCs w:val="24"/>
        </w:rPr>
        <w:t xml:space="preserve">The next wave of PLL neuromasts </w:t>
      </w:r>
      <w:r w:rsidR="004719A4" w:rsidRPr="00465302">
        <w:rPr>
          <w:rFonts w:cs="Times New Roman"/>
          <w:color w:val="auto"/>
          <w:szCs w:val="24"/>
        </w:rPr>
        <w:t xml:space="preserve">are </w:t>
      </w:r>
      <w:r w:rsidR="00C73FFF" w:rsidRPr="00465302">
        <w:rPr>
          <w:rFonts w:cs="Times New Roman"/>
          <w:color w:val="auto"/>
          <w:szCs w:val="24"/>
        </w:rPr>
        <w:t xml:space="preserve">positioned between the initially deposited neuromasts at approximated every </w:t>
      </w:r>
      <w:r w:rsidR="0093738C">
        <w:rPr>
          <w:rFonts w:cs="Times New Roman"/>
          <w:color w:val="auto"/>
          <w:szCs w:val="24"/>
        </w:rPr>
        <w:t>two</w:t>
      </w:r>
      <w:r w:rsidR="00C73FFF" w:rsidRPr="00465302">
        <w:rPr>
          <w:rFonts w:cs="Times New Roman"/>
          <w:color w:val="auto"/>
          <w:szCs w:val="24"/>
        </w:rPr>
        <w:t xml:space="preserve"> somites (</w:t>
      </w:r>
      <w:r w:rsidR="00C73FFF" w:rsidRPr="00465302">
        <w:rPr>
          <w:rStyle w:val="Strong"/>
          <w:color w:val="auto"/>
        </w:rPr>
        <w:t>Figure 2.2</w:t>
      </w:r>
      <w:r w:rsidR="00C73FFF" w:rsidRPr="00465302">
        <w:rPr>
          <w:rFonts w:cs="Times New Roman"/>
          <w:color w:val="auto"/>
          <w:szCs w:val="24"/>
        </w:rPr>
        <w:t>).</w:t>
      </w:r>
    </w:p>
    <w:p w14:paraId="5447F58A" w14:textId="77777777" w:rsidR="0069328F" w:rsidRDefault="0069328F" w:rsidP="00242745">
      <w:pPr>
        <w:spacing w:before="0" w:after="0" w:line="276" w:lineRule="auto"/>
        <w:jc w:val="both"/>
        <w:rPr>
          <w:rFonts w:cs="Times New Roman"/>
          <w:szCs w:val="24"/>
        </w:rPr>
      </w:pPr>
      <w:r>
        <w:rPr>
          <w:noProof/>
        </w:rPr>
        <w:drawing>
          <wp:inline distT="0" distB="0" distL="0" distR="0" wp14:anchorId="1A0C9385" wp14:editId="59EB2F07">
            <wp:extent cx="5852160" cy="318634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852160" cy="3186341"/>
                    </a:xfrm>
                    <a:prstGeom prst="rect">
                      <a:avLst/>
                    </a:prstGeom>
                    <a:ln>
                      <a:noFill/>
                    </a:ln>
                    <a:extLst>
                      <a:ext uri="{53640926-AAD7-44D8-BBD7-CCE9431645EC}">
                        <a14:shadowObscured xmlns:a14="http://schemas.microsoft.com/office/drawing/2010/main"/>
                      </a:ext>
                    </a:extLst>
                  </pic:spPr>
                </pic:pic>
              </a:graphicData>
            </a:graphic>
          </wp:inline>
        </w:drawing>
      </w:r>
    </w:p>
    <w:p w14:paraId="67A3811A" w14:textId="6B6A7B0C" w:rsidR="0069328F" w:rsidRPr="008F4726" w:rsidRDefault="0069328F" w:rsidP="00205E0F">
      <w:pPr>
        <w:spacing w:before="0" w:line="240" w:lineRule="auto"/>
        <w:jc w:val="both"/>
        <w:rPr>
          <w:rFonts w:cs="Times New Roman"/>
          <w:szCs w:val="24"/>
        </w:rPr>
      </w:pPr>
      <w:r w:rsidRPr="008F4726">
        <w:rPr>
          <w:rFonts w:cs="Times New Roman"/>
          <w:b/>
          <w:bCs/>
          <w:color w:val="000000"/>
          <w:szCs w:val="24"/>
        </w:rPr>
        <w:t xml:space="preserve">Figure </w:t>
      </w:r>
      <w:bookmarkStart w:id="26" w:name="_Hlk39499688"/>
      <w:r>
        <w:rPr>
          <w:rFonts w:cs="Times New Roman"/>
          <w:b/>
          <w:bCs/>
          <w:color w:val="000000"/>
          <w:szCs w:val="24"/>
        </w:rPr>
        <w:t>2.</w:t>
      </w:r>
      <w:r w:rsidR="00C73FFF">
        <w:rPr>
          <w:rFonts w:cs="Times New Roman"/>
          <w:b/>
          <w:bCs/>
          <w:color w:val="000000"/>
          <w:szCs w:val="24"/>
        </w:rPr>
        <w:t>2</w:t>
      </w:r>
      <w:r w:rsidRPr="008F4726">
        <w:rPr>
          <w:rFonts w:cs="Times New Roman"/>
          <w:b/>
          <w:bCs/>
          <w:color w:val="000000"/>
          <w:szCs w:val="24"/>
        </w:rPr>
        <w:t xml:space="preserve"> </w:t>
      </w:r>
      <w:r w:rsidR="0063364F" w:rsidRPr="00DD79FA">
        <w:rPr>
          <w:rFonts w:cs="Times New Roman"/>
          <w:b/>
          <w:bCs/>
          <w:i/>
          <w:iCs/>
          <w:color w:val="000000"/>
          <w:szCs w:val="24"/>
        </w:rPr>
        <w:t>T</w:t>
      </w:r>
      <w:r w:rsidRPr="00DD79FA">
        <w:rPr>
          <w:rFonts w:cs="Times New Roman"/>
          <w:b/>
          <w:bCs/>
          <w:i/>
          <w:iCs/>
          <w:color w:val="000000"/>
          <w:szCs w:val="24"/>
        </w:rPr>
        <w:t>g</w:t>
      </w:r>
      <w:r w:rsidR="0093738C">
        <w:rPr>
          <w:rFonts w:cs="Times New Roman"/>
          <w:b/>
          <w:bCs/>
          <w:color w:val="000000"/>
          <w:szCs w:val="24"/>
        </w:rPr>
        <w:t xml:space="preserve"> </w:t>
      </w:r>
      <w:r w:rsidRPr="00DD79FA">
        <w:rPr>
          <w:rFonts w:cs="Times New Roman"/>
          <w:b/>
          <w:bCs/>
          <w:i/>
          <w:iCs/>
          <w:color w:val="000000"/>
          <w:szCs w:val="24"/>
        </w:rPr>
        <w:t>(cldnb:GFP)</w:t>
      </w:r>
      <w:r w:rsidRPr="008F4726">
        <w:rPr>
          <w:rFonts w:cs="Times New Roman"/>
          <w:b/>
          <w:bCs/>
          <w:color w:val="000000"/>
          <w:szCs w:val="24"/>
        </w:rPr>
        <w:t xml:space="preserve"> vs </w:t>
      </w:r>
      <w:r w:rsidR="0063364F" w:rsidRPr="00DD79FA">
        <w:rPr>
          <w:rFonts w:cs="Times New Roman"/>
          <w:b/>
          <w:bCs/>
          <w:i/>
          <w:iCs/>
          <w:color w:val="000000"/>
          <w:szCs w:val="24"/>
        </w:rPr>
        <w:t>T</w:t>
      </w:r>
      <w:r w:rsidRPr="00DD79FA">
        <w:rPr>
          <w:rFonts w:cs="Times New Roman"/>
          <w:b/>
          <w:bCs/>
          <w:i/>
          <w:iCs/>
          <w:color w:val="000000"/>
          <w:szCs w:val="24"/>
        </w:rPr>
        <w:t>g</w:t>
      </w:r>
      <w:r w:rsidR="0093738C">
        <w:rPr>
          <w:rFonts w:cs="Times New Roman"/>
          <w:b/>
          <w:bCs/>
          <w:color w:val="000000"/>
          <w:szCs w:val="24"/>
        </w:rPr>
        <w:t xml:space="preserve"> </w:t>
      </w:r>
      <w:r w:rsidRPr="00DD79FA">
        <w:rPr>
          <w:rFonts w:cs="Times New Roman"/>
          <w:b/>
          <w:bCs/>
          <w:i/>
          <w:iCs/>
          <w:color w:val="000000"/>
          <w:szCs w:val="24"/>
        </w:rPr>
        <w:t>(neuromast:GFP)</w:t>
      </w:r>
      <w:bookmarkEnd w:id="26"/>
      <w:r w:rsidRPr="008F4726">
        <w:rPr>
          <w:rFonts w:cs="Times New Roman"/>
          <w:b/>
          <w:bCs/>
          <w:color w:val="000000"/>
          <w:szCs w:val="24"/>
        </w:rPr>
        <w:t xml:space="preserve">. </w:t>
      </w:r>
      <w:r w:rsidRPr="008F4726">
        <w:rPr>
          <w:rFonts w:cs="Times New Roman"/>
          <w:color w:val="000000"/>
          <w:szCs w:val="24"/>
        </w:rPr>
        <w:t>The same pattern of neuromasts i</w:t>
      </w:r>
      <w:r w:rsidR="00285913">
        <w:rPr>
          <w:rFonts w:cs="Times New Roman"/>
          <w:color w:val="000000"/>
          <w:szCs w:val="24"/>
        </w:rPr>
        <w:t>s</w:t>
      </w:r>
      <w:r w:rsidRPr="008F4726">
        <w:rPr>
          <w:rFonts w:cs="Times New Roman"/>
          <w:color w:val="000000"/>
          <w:szCs w:val="24"/>
        </w:rPr>
        <w:t xml:space="preserve"> observed in the PLL of </w:t>
      </w:r>
      <w:r w:rsidR="00F814BB">
        <w:rPr>
          <w:rFonts w:cs="Times New Roman"/>
          <w:color w:val="000000"/>
          <w:szCs w:val="24"/>
        </w:rPr>
        <w:t>four</w:t>
      </w:r>
      <w:r w:rsidR="00E2077F">
        <w:rPr>
          <w:rFonts w:cs="Times New Roman"/>
          <w:color w:val="000000"/>
          <w:szCs w:val="24"/>
        </w:rPr>
        <w:t xml:space="preserve"> </w:t>
      </w:r>
      <w:r w:rsidRPr="008F4726">
        <w:rPr>
          <w:rFonts w:cs="Times New Roman"/>
          <w:color w:val="000000"/>
          <w:szCs w:val="24"/>
        </w:rPr>
        <w:t xml:space="preserve">dpf zebrafish larvae of A. </w:t>
      </w:r>
      <w:r w:rsidRPr="00DD79FA">
        <w:rPr>
          <w:rFonts w:cs="Times New Roman"/>
          <w:i/>
          <w:iCs/>
          <w:color w:val="000000"/>
          <w:szCs w:val="24"/>
        </w:rPr>
        <w:t>Tg</w:t>
      </w:r>
      <w:r w:rsidR="0093738C">
        <w:rPr>
          <w:rFonts w:cs="Times New Roman"/>
          <w:color w:val="000000"/>
          <w:szCs w:val="24"/>
        </w:rPr>
        <w:t xml:space="preserve"> </w:t>
      </w:r>
      <w:r w:rsidRPr="00DD79FA">
        <w:rPr>
          <w:rFonts w:cs="Times New Roman"/>
          <w:i/>
          <w:color w:val="000000"/>
          <w:szCs w:val="24"/>
        </w:rPr>
        <w:t>(cldnb:GFP)</w:t>
      </w:r>
      <w:r w:rsidRPr="008F4726">
        <w:rPr>
          <w:rFonts w:cs="Times New Roman"/>
          <w:color w:val="000000"/>
          <w:szCs w:val="24"/>
        </w:rPr>
        <w:t xml:space="preserve"> line that expressed GFP in both PLL</w:t>
      </w:r>
      <w:r w:rsidR="00285913">
        <w:rPr>
          <w:rFonts w:cs="Times New Roman"/>
          <w:color w:val="000000"/>
          <w:szCs w:val="24"/>
        </w:rPr>
        <w:t xml:space="preserve"> primordium</w:t>
      </w:r>
      <w:r w:rsidRPr="008F4726">
        <w:rPr>
          <w:rFonts w:cs="Times New Roman"/>
          <w:color w:val="000000"/>
          <w:szCs w:val="24"/>
        </w:rPr>
        <w:t xml:space="preserve"> and mature neuromasts vs B. </w:t>
      </w:r>
      <w:r w:rsidRPr="00DD79FA">
        <w:rPr>
          <w:rFonts w:cs="Times New Roman"/>
          <w:i/>
          <w:iCs/>
          <w:color w:val="000000"/>
          <w:szCs w:val="24"/>
        </w:rPr>
        <w:t>Tg</w:t>
      </w:r>
      <w:r w:rsidR="0093738C">
        <w:rPr>
          <w:rFonts w:cs="Times New Roman"/>
          <w:color w:val="000000"/>
          <w:szCs w:val="24"/>
        </w:rPr>
        <w:t xml:space="preserve"> </w:t>
      </w:r>
      <w:r w:rsidRPr="00DD79FA">
        <w:rPr>
          <w:rFonts w:cs="Times New Roman"/>
          <w:i/>
          <w:iCs/>
          <w:color w:val="000000"/>
          <w:szCs w:val="24"/>
        </w:rPr>
        <w:t>(neuromast:GFP)</w:t>
      </w:r>
      <w:r w:rsidRPr="008F4726">
        <w:rPr>
          <w:rFonts w:cs="Times New Roman"/>
          <w:color w:val="000000"/>
          <w:szCs w:val="24"/>
        </w:rPr>
        <w:t xml:space="preserve"> line that expresses GFP in only mature neuromasts.</w:t>
      </w:r>
      <w:r w:rsidR="00C73FFF">
        <w:rPr>
          <w:rFonts w:cs="Times New Roman"/>
          <w:color w:val="000000"/>
          <w:szCs w:val="24"/>
        </w:rPr>
        <w:t xml:space="preserve"> All five PrimI neuromasts, I-1 to I-5, as well at the first </w:t>
      </w:r>
      <w:r w:rsidR="00F814BB">
        <w:rPr>
          <w:rFonts w:cs="Times New Roman"/>
          <w:color w:val="000000"/>
          <w:szCs w:val="24"/>
        </w:rPr>
        <w:t>two</w:t>
      </w:r>
      <w:r w:rsidR="00C73FFF">
        <w:rPr>
          <w:rFonts w:cs="Times New Roman"/>
          <w:color w:val="000000"/>
          <w:szCs w:val="24"/>
        </w:rPr>
        <w:t xml:space="preserve"> neuromasts of PrimII, II-1 and II-2 are seen by this stage of development</w:t>
      </w:r>
      <w:r w:rsidR="009A7BA7">
        <w:rPr>
          <w:rFonts w:cs="Times New Roman"/>
          <w:color w:val="000000"/>
          <w:szCs w:val="24"/>
        </w:rPr>
        <w:t>.</w:t>
      </w:r>
      <w:r w:rsidR="00735D72">
        <w:rPr>
          <w:rFonts w:cs="Times New Roman"/>
          <w:color w:val="000000"/>
          <w:szCs w:val="24"/>
        </w:rPr>
        <w:t xml:space="preserve"> The paired neuromasts are localized one </w:t>
      </w:r>
      <w:r w:rsidR="000D5216">
        <w:rPr>
          <w:rFonts w:cs="Times New Roman"/>
          <w:color w:val="000000"/>
          <w:szCs w:val="24"/>
        </w:rPr>
        <w:t xml:space="preserve">on </w:t>
      </w:r>
      <w:r w:rsidR="00735D72">
        <w:rPr>
          <w:rFonts w:cs="Times New Roman"/>
          <w:color w:val="000000"/>
          <w:szCs w:val="24"/>
        </w:rPr>
        <w:t>each side of the larvae.</w:t>
      </w:r>
    </w:p>
    <w:p w14:paraId="069CB7B6" w14:textId="578DB394" w:rsidR="0069328F" w:rsidRDefault="0069328F" w:rsidP="00A5237A">
      <w:pPr>
        <w:spacing w:line="480" w:lineRule="auto"/>
        <w:jc w:val="both"/>
        <w:rPr>
          <w:rFonts w:cs="Times New Roman"/>
          <w:szCs w:val="24"/>
        </w:rPr>
      </w:pPr>
      <w:r w:rsidRPr="00113B72">
        <w:rPr>
          <w:rFonts w:cs="Times New Roman"/>
          <w:szCs w:val="24"/>
        </w:rPr>
        <w:t xml:space="preserve">To identify compounds that perturb </w:t>
      </w:r>
      <w:r>
        <w:rPr>
          <w:rFonts w:cs="Times New Roman"/>
          <w:szCs w:val="24"/>
        </w:rPr>
        <w:t xml:space="preserve">PLL </w:t>
      </w:r>
      <w:r w:rsidRPr="00113B72">
        <w:rPr>
          <w:rFonts w:cs="Times New Roman"/>
          <w:szCs w:val="24"/>
        </w:rPr>
        <w:t xml:space="preserve">development in zebrafish, we performed </w:t>
      </w:r>
      <w:r>
        <w:rPr>
          <w:rFonts w:cs="Times New Roman"/>
          <w:szCs w:val="24"/>
        </w:rPr>
        <w:t>screening</w:t>
      </w:r>
      <w:r w:rsidRPr="00113B72">
        <w:rPr>
          <w:rFonts w:cs="Times New Roman"/>
          <w:szCs w:val="24"/>
        </w:rPr>
        <w:t xml:space="preserve"> of </w:t>
      </w:r>
      <w:r>
        <w:rPr>
          <w:rFonts w:cs="Times New Roman"/>
          <w:szCs w:val="24"/>
        </w:rPr>
        <w:t xml:space="preserve">EPA’s </w:t>
      </w:r>
      <w:r w:rsidRPr="00113B72">
        <w:rPr>
          <w:rFonts w:cs="Times New Roman"/>
          <w:szCs w:val="24"/>
        </w:rPr>
        <w:t xml:space="preserve">ToxCast Phase I </w:t>
      </w:r>
      <w:r w:rsidRPr="00331FBB">
        <w:rPr>
          <w:rFonts w:cs="Times New Roman"/>
          <w:szCs w:val="24"/>
        </w:rPr>
        <w:t>chemical library.</w:t>
      </w:r>
      <w:r w:rsidRPr="00113B72">
        <w:rPr>
          <w:rFonts w:cs="Times New Roman"/>
          <w:szCs w:val="24"/>
        </w:rPr>
        <w:t xml:space="preserve"> </w:t>
      </w:r>
      <w:r w:rsidRPr="0093738C">
        <w:rPr>
          <w:rFonts w:cs="Times New Roman"/>
          <w:i/>
          <w:iCs/>
          <w:szCs w:val="24"/>
        </w:rPr>
        <w:t>Tg</w:t>
      </w:r>
      <w:r w:rsidR="0093738C">
        <w:rPr>
          <w:rFonts w:cs="Times New Roman"/>
          <w:i/>
          <w:iCs/>
          <w:szCs w:val="24"/>
        </w:rPr>
        <w:t xml:space="preserve"> </w:t>
      </w:r>
      <w:r w:rsidRPr="00DD79FA">
        <w:rPr>
          <w:rFonts w:cs="Times New Roman"/>
          <w:i/>
          <w:iCs/>
          <w:szCs w:val="24"/>
        </w:rPr>
        <w:t>(neuromast:GFP)</w:t>
      </w:r>
      <w:r w:rsidRPr="00113B72">
        <w:rPr>
          <w:rFonts w:cs="Times New Roman"/>
          <w:szCs w:val="24"/>
        </w:rPr>
        <w:t xml:space="preserve"> zebrafish embryos were treated with three different concentrations of </w:t>
      </w:r>
      <w:r>
        <w:rPr>
          <w:rFonts w:cs="Times New Roman"/>
          <w:szCs w:val="24"/>
        </w:rPr>
        <w:t>each</w:t>
      </w:r>
      <w:r w:rsidRPr="00113B72">
        <w:rPr>
          <w:rFonts w:cs="Times New Roman"/>
          <w:szCs w:val="24"/>
        </w:rPr>
        <w:t xml:space="preserve"> </w:t>
      </w:r>
      <w:r w:rsidRPr="00331FBB">
        <w:rPr>
          <w:rFonts w:cs="Times New Roman"/>
          <w:szCs w:val="24"/>
        </w:rPr>
        <w:t xml:space="preserve">chemical </w:t>
      </w:r>
      <w:r w:rsidRPr="00113B72">
        <w:rPr>
          <w:rFonts w:cs="Times New Roman"/>
          <w:szCs w:val="24"/>
        </w:rPr>
        <w:t>(</w:t>
      </w:r>
      <w:r w:rsidRPr="00242745">
        <w:rPr>
          <w:rFonts w:cs="Times New Roman"/>
          <w:szCs w:val="24"/>
        </w:rPr>
        <w:t>Appendix Table 1)</w:t>
      </w:r>
      <w:r w:rsidRPr="00331FBB">
        <w:rPr>
          <w:rFonts w:cs="Times New Roman"/>
          <w:szCs w:val="24"/>
        </w:rPr>
        <w:t xml:space="preserve"> </w:t>
      </w:r>
      <w:r w:rsidRPr="00321388">
        <w:rPr>
          <w:rFonts w:cs="Times New Roman"/>
          <w:szCs w:val="24"/>
        </w:rPr>
        <w:t xml:space="preserve">from </w:t>
      </w:r>
      <w:r w:rsidR="00F814BB">
        <w:rPr>
          <w:rFonts w:cs="Times New Roman"/>
          <w:szCs w:val="24"/>
        </w:rPr>
        <w:t>four</w:t>
      </w:r>
      <w:r w:rsidRPr="00331FBB">
        <w:rPr>
          <w:rFonts w:cs="Times New Roman"/>
          <w:szCs w:val="24"/>
        </w:rPr>
        <w:t xml:space="preserve"> hpf to </w:t>
      </w:r>
      <w:r w:rsidR="00F814BB">
        <w:rPr>
          <w:rFonts w:cs="Times New Roman"/>
          <w:szCs w:val="24"/>
        </w:rPr>
        <w:t>four</w:t>
      </w:r>
      <w:r w:rsidRPr="00331FBB">
        <w:rPr>
          <w:rFonts w:cs="Times New Roman"/>
          <w:szCs w:val="24"/>
        </w:rPr>
        <w:t xml:space="preserve"> dpf. </w:t>
      </w:r>
      <w:r w:rsidRPr="00331FBB">
        <w:rPr>
          <w:rFonts w:cs="Times New Roman"/>
          <w:szCs w:val="24"/>
        </w:rPr>
        <w:lastRenderedPageBreak/>
        <w:t xml:space="preserve">Some of the chemical exposures </w:t>
      </w:r>
      <w:r w:rsidRPr="00113B72">
        <w:rPr>
          <w:rFonts w:cs="Times New Roman"/>
          <w:szCs w:val="24"/>
        </w:rPr>
        <w:t xml:space="preserve">caused yolk edema, heart edema, and whole embryo malformations. The </w:t>
      </w:r>
      <w:r>
        <w:rPr>
          <w:rFonts w:cs="Times New Roman"/>
          <w:szCs w:val="24"/>
        </w:rPr>
        <w:t>chemicals</w:t>
      </w:r>
      <w:r w:rsidRPr="00113B72">
        <w:rPr>
          <w:rFonts w:cs="Times New Roman"/>
          <w:szCs w:val="24"/>
        </w:rPr>
        <w:t xml:space="preserve"> and the concentrations causing such </w:t>
      </w:r>
      <w:r>
        <w:rPr>
          <w:rFonts w:cs="Times New Roman"/>
          <w:szCs w:val="24"/>
        </w:rPr>
        <w:t>general</w:t>
      </w:r>
      <w:r w:rsidRPr="00113B72">
        <w:rPr>
          <w:rFonts w:cs="Times New Roman"/>
          <w:szCs w:val="24"/>
        </w:rPr>
        <w:t xml:space="preserve"> malformations were omitted from the study, and chemicals causing perturbations of the </w:t>
      </w:r>
      <w:r>
        <w:rPr>
          <w:rFonts w:cs="Times New Roman"/>
          <w:szCs w:val="24"/>
        </w:rPr>
        <w:t>PLL neuromast pattern</w:t>
      </w:r>
      <w:r w:rsidRPr="00113B72">
        <w:rPr>
          <w:rFonts w:cs="Times New Roman"/>
          <w:szCs w:val="24"/>
        </w:rPr>
        <w:t xml:space="preserve"> specifically </w:t>
      </w:r>
      <w:r w:rsidRPr="00331FBB">
        <w:rPr>
          <w:rFonts w:cs="Times New Roman"/>
          <w:szCs w:val="24"/>
        </w:rPr>
        <w:t xml:space="preserve">were </w:t>
      </w:r>
      <w:r w:rsidRPr="00113B72">
        <w:rPr>
          <w:rFonts w:cs="Times New Roman"/>
          <w:szCs w:val="24"/>
        </w:rPr>
        <w:t xml:space="preserve">recorded. </w:t>
      </w:r>
      <w:r>
        <w:rPr>
          <w:rFonts w:cs="Times New Roman"/>
          <w:szCs w:val="24"/>
        </w:rPr>
        <w:t>Our initial screen</w:t>
      </w:r>
      <w:r w:rsidRPr="00113B72">
        <w:rPr>
          <w:rFonts w:cs="Times New Roman"/>
          <w:szCs w:val="24"/>
        </w:rPr>
        <w:t xml:space="preserve"> identified that </w:t>
      </w:r>
      <w:r>
        <w:rPr>
          <w:rFonts w:cs="Times New Roman"/>
          <w:szCs w:val="24"/>
        </w:rPr>
        <w:t>exposure to 46</w:t>
      </w:r>
      <w:r w:rsidRPr="00113B72">
        <w:rPr>
          <w:rFonts w:cs="Times New Roman"/>
          <w:szCs w:val="24"/>
        </w:rPr>
        <w:t xml:space="preserve"> out of 292 unique chemicals </w:t>
      </w:r>
      <w:r>
        <w:rPr>
          <w:rFonts w:cs="Times New Roman"/>
          <w:szCs w:val="24"/>
        </w:rPr>
        <w:t xml:space="preserve">resulted in fewer PLL neuromasts being deposited </w:t>
      </w:r>
      <w:r w:rsidRPr="00242745">
        <w:rPr>
          <w:rFonts w:cs="Times New Roman"/>
          <w:szCs w:val="24"/>
        </w:rPr>
        <w:t>(Appendix Table 2)</w:t>
      </w:r>
      <w:r w:rsidRPr="00113B72">
        <w:rPr>
          <w:rFonts w:cs="Times New Roman"/>
          <w:szCs w:val="24"/>
        </w:rPr>
        <w:t xml:space="preserve"> by visual determination. These chemicals were then re-screened in follow-up experiments with</w:t>
      </w:r>
      <w:r w:rsidR="00165A57">
        <w:rPr>
          <w:rFonts w:cs="Times New Roman"/>
          <w:szCs w:val="24"/>
        </w:rPr>
        <w:t xml:space="preserve"> a</w:t>
      </w:r>
      <w:r w:rsidRPr="00113B72">
        <w:rPr>
          <w:rFonts w:cs="Times New Roman"/>
          <w:szCs w:val="24"/>
        </w:rPr>
        <w:t xml:space="preserve"> higher number of replicates</w:t>
      </w:r>
      <w:r>
        <w:rPr>
          <w:rFonts w:cs="Times New Roman"/>
          <w:szCs w:val="24"/>
        </w:rPr>
        <w:t xml:space="preserve"> </w:t>
      </w:r>
      <w:r w:rsidRPr="00242745">
        <w:rPr>
          <w:rFonts w:cs="Times New Roman"/>
          <w:szCs w:val="24"/>
        </w:rPr>
        <w:t>(Appendix Table 2).</w:t>
      </w:r>
      <w:r w:rsidRPr="00113B72">
        <w:rPr>
          <w:rFonts w:cs="Times New Roman"/>
          <w:szCs w:val="24"/>
        </w:rPr>
        <w:t xml:space="preserve"> </w:t>
      </w:r>
      <w:r>
        <w:rPr>
          <w:rFonts w:cs="Times New Roman"/>
          <w:szCs w:val="24"/>
        </w:rPr>
        <w:t>Twenty-two</w:t>
      </w:r>
      <w:r w:rsidRPr="00113B72">
        <w:rPr>
          <w:rFonts w:cs="Times New Roman"/>
          <w:szCs w:val="24"/>
        </w:rPr>
        <w:t xml:space="preserve"> compounds were confirmed to </w:t>
      </w:r>
      <w:r>
        <w:rPr>
          <w:rFonts w:cs="Times New Roman"/>
          <w:szCs w:val="24"/>
        </w:rPr>
        <w:t>alter</w:t>
      </w:r>
      <w:r w:rsidRPr="00113B72">
        <w:rPr>
          <w:rFonts w:cs="Times New Roman"/>
          <w:szCs w:val="24"/>
        </w:rPr>
        <w:t xml:space="preserve"> </w:t>
      </w:r>
      <w:r>
        <w:rPr>
          <w:rFonts w:cs="Times New Roman"/>
          <w:szCs w:val="24"/>
        </w:rPr>
        <w:t>the number of PLL neuromasts deposited; in a dose</w:t>
      </w:r>
      <w:r w:rsidR="00165A57">
        <w:rPr>
          <w:rFonts w:cs="Times New Roman"/>
          <w:szCs w:val="24"/>
        </w:rPr>
        <w:t>-</w:t>
      </w:r>
      <w:r>
        <w:rPr>
          <w:rFonts w:cs="Times New Roman"/>
          <w:szCs w:val="24"/>
        </w:rPr>
        <w:t xml:space="preserve">dependent manner </w:t>
      </w:r>
      <w:r w:rsidRPr="00113B72">
        <w:rPr>
          <w:rFonts w:cs="Times New Roman"/>
          <w:szCs w:val="24"/>
        </w:rPr>
        <w:t xml:space="preserve">compared to vehicle (DMSO) treated </w:t>
      </w:r>
      <w:r>
        <w:rPr>
          <w:rFonts w:cs="Times New Roman"/>
          <w:szCs w:val="24"/>
        </w:rPr>
        <w:t>larvae</w:t>
      </w:r>
      <w:r w:rsidRPr="00113B72">
        <w:rPr>
          <w:rFonts w:cs="Times New Roman"/>
          <w:szCs w:val="24"/>
        </w:rPr>
        <w:t xml:space="preserve"> </w:t>
      </w:r>
      <w:r w:rsidRPr="002F5392">
        <w:rPr>
          <w:rFonts w:cs="Times New Roman"/>
          <w:szCs w:val="24"/>
        </w:rPr>
        <w:t>(</w:t>
      </w:r>
      <w:r w:rsidRPr="0041508D">
        <w:rPr>
          <w:rStyle w:val="Strong"/>
        </w:rPr>
        <w:t>Figure 2.</w:t>
      </w:r>
      <w:r w:rsidR="004E696D">
        <w:rPr>
          <w:rStyle w:val="Strong"/>
        </w:rPr>
        <w:t>3</w:t>
      </w:r>
      <w:r w:rsidRPr="002F5392">
        <w:rPr>
          <w:rFonts w:cs="Times New Roman"/>
          <w:szCs w:val="24"/>
        </w:rPr>
        <w:t>).</w:t>
      </w:r>
      <w:r>
        <w:rPr>
          <w:rFonts w:cs="Times New Roman"/>
          <w:szCs w:val="24"/>
        </w:rPr>
        <w:t xml:space="preserve"> </w:t>
      </w:r>
      <w:r w:rsidRPr="00113B72">
        <w:rPr>
          <w:rFonts w:cs="Times New Roman"/>
          <w:szCs w:val="24"/>
        </w:rPr>
        <w:t>The</w:t>
      </w:r>
      <w:r>
        <w:rPr>
          <w:rFonts w:cs="Times New Roman"/>
          <w:szCs w:val="24"/>
        </w:rPr>
        <w:t>se</w:t>
      </w:r>
      <w:r w:rsidRPr="00113B72">
        <w:rPr>
          <w:rFonts w:cs="Times New Roman"/>
          <w:szCs w:val="24"/>
        </w:rPr>
        <w:t xml:space="preserve"> compounds</w:t>
      </w:r>
      <w:r>
        <w:rPr>
          <w:rFonts w:cs="Times New Roman"/>
          <w:szCs w:val="24"/>
        </w:rPr>
        <w:t xml:space="preserve">, </w:t>
      </w:r>
      <w:r w:rsidRPr="00113B72">
        <w:rPr>
          <w:rFonts w:cs="Times New Roman"/>
          <w:szCs w:val="24"/>
        </w:rPr>
        <w:t xml:space="preserve">their lowest effect levels (LELs) </w:t>
      </w:r>
      <w:r>
        <w:rPr>
          <w:rFonts w:cs="Times New Roman"/>
          <w:szCs w:val="24"/>
        </w:rPr>
        <w:t>and their dose</w:t>
      </w:r>
      <w:r w:rsidR="00165A57">
        <w:rPr>
          <w:rFonts w:cs="Times New Roman"/>
          <w:szCs w:val="24"/>
        </w:rPr>
        <w:t>-</w:t>
      </w:r>
      <w:r>
        <w:rPr>
          <w:rFonts w:cs="Times New Roman"/>
          <w:szCs w:val="24"/>
        </w:rPr>
        <w:t xml:space="preserve">response graphs </w:t>
      </w:r>
      <w:r w:rsidRPr="00113B72">
        <w:rPr>
          <w:rFonts w:cs="Times New Roman"/>
          <w:szCs w:val="24"/>
        </w:rPr>
        <w:t xml:space="preserve">are summarized </w:t>
      </w:r>
      <w:r w:rsidRPr="002F5392">
        <w:rPr>
          <w:rFonts w:cs="Times New Roman"/>
          <w:szCs w:val="24"/>
        </w:rPr>
        <w:t xml:space="preserve">in </w:t>
      </w:r>
      <w:r w:rsidRPr="0041508D">
        <w:rPr>
          <w:rStyle w:val="Strong"/>
        </w:rPr>
        <w:t>Table 2.1</w:t>
      </w:r>
      <w:r w:rsidRPr="002F5392">
        <w:rPr>
          <w:rFonts w:cs="Times New Roman"/>
          <w:szCs w:val="24"/>
        </w:rPr>
        <w:t>.</w:t>
      </w:r>
      <w:r w:rsidRPr="00113B72">
        <w:rPr>
          <w:rFonts w:cs="Times New Roman"/>
          <w:szCs w:val="24"/>
        </w:rPr>
        <w:t xml:space="preserve"> </w:t>
      </w:r>
    </w:p>
    <w:p w14:paraId="45407EDC" w14:textId="77777777" w:rsidR="0069328F" w:rsidRDefault="0069328F" w:rsidP="00242745">
      <w:pPr>
        <w:spacing w:before="0" w:after="0" w:line="276" w:lineRule="auto"/>
        <w:jc w:val="both"/>
        <w:rPr>
          <w:rFonts w:cs="Times New Roman"/>
          <w:szCs w:val="24"/>
        </w:rPr>
      </w:pPr>
      <w:r>
        <w:rPr>
          <w:rFonts w:cs="Times New Roman"/>
          <w:noProof/>
          <w:szCs w:val="24"/>
        </w:rPr>
        <w:lastRenderedPageBreak/>
        <w:drawing>
          <wp:inline distT="0" distB="0" distL="0" distR="0" wp14:anchorId="3AC49DB7" wp14:editId="2E781807">
            <wp:extent cx="5852160" cy="4993571"/>
            <wp:effectExtent l="0" t="0" r="0" b="0"/>
            <wp:docPr id="10" name="Picture 10" descr="C:\Users\jlaqkc\Desktop\Rachna Papers\Introduction Notes\Updated Figures 3.3\Fig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laqkc\Desktop\Rachna Papers\Introduction Notes\Updated Figures 3.3\Figure 2.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581" t="14851" r="3146" b="35574"/>
                    <a:stretch/>
                  </pic:blipFill>
                  <pic:spPr bwMode="auto">
                    <a:xfrm>
                      <a:off x="0" y="0"/>
                      <a:ext cx="5852160" cy="4993571"/>
                    </a:xfrm>
                    <a:prstGeom prst="rect">
                      <a:avLst/>
                    </a:prstGeom>
                    <a:noFill/>
                    <a:ln>
                      <a:noFill/>
                    </a:ln>
                    <a:extLst>
                      <a:ext uri="{53640926-AAD7-44D8-BBD7-CCE9431645EC}">
                        <a14:shadowObscured xmlns:a14="http://schemas.microsoft.com/office/drawing/2010/main"/>
                      </a:ext>
                    </a:extLst>
                  </pic:spPr>
                </pic:pic>
              </a:graphicData>
            </a:graphic>
          </wp:inline>
        </w:drawing>
      </w:r>
    </w:p>
    <w:p w14:paraId="564F8B2C" w14:textId="18EB4E6C" w:rsidR="0069328F" w:rsidRPr="008F4726" w:rsidRDefault="0069328F" w:rsidP="00205E0F">
      <w:pPr>
        <w:spacing w:before="0" w:line="240" w:lineRule="auto"/>
        <w:jc w:val="both"/>
        <w:rPr>
          <w:rFonts w:cs="Times New Roman"/>
          <w:szCs w:val="24"/>
        </w:rPr>
      </w:pPr>
      <w:r w:rsidRPr="008F4726">
        <w:rPr>
          <w:rFonts w:cs="Times New Roman"/>
          <w:b/>
          <w:bCs/>
          <w:color w:val="000000"/>
          <w:szCs w:val="24"/>
        </w:rPr>
        <w:t xml:space="preserve">Figure </w:t>
      </w:r>
      <w:bookmarkStart w:id="27" w:name="_Hlk39499713"/>
      <w:r w:rsidRPr="008F4726">
        <w:rPr>
          <w:rFonts w:cs="Times New Roman"/>
          <w:b/>
          <w:bCs/>
          <w:color w:val="000000"/>
          <w:szCs w:val="24"/>
        </w:rPr>
        <w:t>2.</w:t>
      </w:r>
      <w:r w:rsidR="004E696D">
        <w:rPr>
          <w:rFonts w:cs="Times New Roman"/>
          <w:b/>
          <w:bCs/>
          <w:color w:val="000000"/>
          <w:szCs w:val="24"/>
        </w:rPr>
        <w:t>3</w:t>
      </w:r>
      <w:r w:rsidRPr="008F4726">
        <w:rPr>
          <w:rFonts w:cs="Times New Roman"/>
          <w:b/>
          <w:bCs/>
          <w:color w:val="000000"/>
          <w:szCs w:val="24"/>
        </w:rPr>
        <w:t xml:space="preserve"> Example images of effects caused by the 22 confirmed PLLDs</w:t>
      </w:r>
      <w:bookmarkEnd w:id="27"/>
      <w:r w:rsidRPr="008F4726">
        <w:rPr>
          <w:rFonts w:cs="Times New Roman"/>
          <w:b/>
          <w:bCs/>
          <w:color w:val="000000"/>
          <w:szCs w:val="24"/>
        </w:rPr>
        <w:t>.</w:t>
      </w:r>
      <w:r w:rsidRPr="008F4726">
        <w:rPr>
          <w:rFonts w:cs="Times New Roman"/>
          <w:color w:val="000000"/>
          <w:szCs w:val="24"/>
        </w:rPr>
        <w:t xml:space="preserve"> Images of </w:t>
      </w:r>
      <w:r w:rsidR="00F814BB">
        <w:rPr>
          <w:rFonts w:cs="Times New Roman"/>
          <w:color w:val="000000"/>
          <w:szCs w:val="24"/>
        </w:rPr>
        <w:t>four</w:t>
      </w:r>
      <w:r w:rsidR="008C5A13">
        <w:rPr>
          <w:rFonts w:cs="Times New Roman"/>
          <w:color w:val="000000"/>
          <w:szCs w:val="24"/>
        </w:rPr>
        <w:t xml:space="preserve"> </w:t>
      </w:r>
      <w:r w:rsidRPr="008F4726">
        <w:rPr>
          <w:rFonts w:cs="Times New Roman"/>
          <w:color w:val="000000"/>
          <w:szCs w:val="24"/>
        </w:rPr>
        <w:t xml:space="preserve">dpf </w:t>
      </w:r>
      <w:r w:rsidR="009A0B96">
        <w:rPr>
          <w:rFonts w:cs="Times New Roman"/>
          <w:i/>
          <w:iCs/>
          <w:color w:val="000000"/>
          <w:szCs w:val="24"/>
        </w:rPr>
        <w:t>T</w:t>
      </w:r>
      <w:r w:rsidRPr="0093738C">
        <w:rPr>
          <w:rFonts w:cs="Times New Roman"/>
          <w:i/>
          <w:iCs/>
          <w:color w:val="000000"/>
          <w:szCs w:val="24"/>
        </w:rPr>
        <w:t>g</w:t>
      </w:r>
      <w:r w:rsidR="0093738C" w:rsidRPr="00DD79FA">
        <w:rPr>
          <w:rFonts w:cs="Times New Roman"/>
          <w:color w:val="000000"/>
          <w:szCs w:val="24"/>
        </w:rPr>
        <w:t> </w:t>
      </w:r>
      <w:r w:rsidRPr="009A0B96">
        <w:rPr>
          <w:rFonts w:cs="Times New Roman"/>
          <w:i/>
          <w:iCs/>
          <w:color w:val="000000"/>
          <w:szCs w:val="24"/>
        </w:rPr>
        <w:t>(neuromast:GFP)</w:t>
      </w:r>
      <w:r w:rsidRPr="008F4726">
        <w:rPr>
          <w:rFonts w:cs="Times New Roman"/>
          <w:color w:val="000000"/>
          <w:szCs w:val="24"/>
        </w:rPr>
        <w:t xml:space="preserve"> larvae exposed to PLLDs from </w:t>
      </w:r>
      <w:r w:rsidR="00F814BB">
        <w:rPr>
          <w:rFonts w:cs="Times New Roman"/>
          <w:color w:val="000000"/>
          <w:szCs w:val="24"/>
        </w:rPr>
        <w:t>five</w:t>
      </w:r>
      <w:r w:rsidRPr="008F4726">
        <w:rPr>
          <w:rFonts w:cs="Times New Roman"/>
          <w:color w:val="000000"/>
          <w:szCs w:val="24"/>
        </w:rPr>
        <w:t xml:space="preserve"> hpf. The neuromasts enclosed within the dashed white boxes were assessed for variations in the number of neuromasts compared to vehicle</w:t>
      </w:r>
      <w:r w:rsidR="00165A57">
        <w:rPr>
          <w:rFonts w:cs="Times New Roman"/>
          <w:color w:val="000000"/>
          <w:szCs w:val="24"/>
        </w:rPr>
        <w:t>-</w:t>
      </w:r>
      <w:r w:rsidRPr="008F4726">
        <w:rPr>
          <w:rFonts w:cs="Times New Roman"/>
          <w:color w:val="000000"/>
          <w:szCs w:val="24"/>
        </w:rPr>
        <w:t xml:space="preserve">treated embryos; A. Vehicle (DMSO); B. 1 </w:t>
      </w:r>
      <w:r w:rsidR="008C5A13">
        <w:rPr>
          <w:rFonts w:cs="Times New Roman"/>
          <w:color w:val="000000"/>
          <w:szCs w:val="24"/>
        </w:rPr>
        <w:t>µ</w:t>
      </w:r>
      <w:r w:rsidRPr="008F4726">
        <w:rPr>
          <w:rFonts w:cs="Times New Roman"/>
          <w:color w:val="000000"/>
          <w:szCs w:val="24"/>
        </w:rPr>
        <w:t xml:space="preserve">M Ethylene Thiourea; C. 10 </w:t>
      </w:r>
      <w:r w:rsidR="008C5A13">
        <w:rPr>
          <w:rFonts w:cs="Times New Roman"/>
          <w:color w:val="000000"/>
          <w:szCs w:val="24"/>
        </w:rPr>
        <w:t>µ</w:t>
      </w:r>
      <w:r w:rsidRPr="008F4726">
        <w:rPr>
          <w:rFonts w:cs="Times New Roman"/>
          <w:color w:val="000000"/>
          <w:szCs w:val="24"/>
        </w:rPr>
        <w:t xml:space="preserve">M Propanil; D. 20 </w:t>
      </w:r>
      <w:r w:rsidR="008C5A13">
        <w:rPr>
          <w:rFonts w:cs="Times New Roman"/>
          <w:color w:val="000000"/>
          <w:szCs w:val="24"/>
        </w:rPr>
        <w:t>µ</w:t>
      </w:r>
      <w:r w:rsidRPr="008F4726">
        <w:rPr>
          <w:rFonts w:cs="Times New Roman"/>
          <w:color w:val="000000"/>
          <w:szCs w:val="24"/>
        </w:rPr>
        <w:t>M Bisphenol A</w:t>
      </w:r>
    </w:p>
    <w:p w14:paraId="449AFB3D" w14:textId="4242CE08" w:rsidR="0069328F" w:rsidRDefault="00A64DAD" w:rsidP="00242745">
      <w:pPr>
        <w:spacing w:before="0" w:after="0" w:line="480" w:lineRule="auto"/>
        <w:jc w:val="both"/>
        <w:rPr>
          <w:rFonts w:cs="Times New Roman"/>
          <w:szCs w:val="24"/>
        </w:rPr>
      </w:pPr>
      <w:r>
        <w:rPr>
          <w:rFonts w:cs="Times New Roman"/>
          <w:noProof/>
          <w:szCs w:val="24"/>
        </w:rPr>
        <w:lastRenderedPageBreak/>
        <w:drawing>
          <wp:inline distT="0" distB="0" distL="0" distR="0" wp14:anchorId="5B47CC92" wp14:editId="7C160D73">
            <wp:extent cx="5115223" cy="8074152"/>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15223" cy="8074152"/>
                    </a:xfrm>
                    <a:prstGeom prst="rect">
                      <a:avLst/>
                    </a:prstGeom>
                    <a:noFill/>
                  </pic:spPr>
                </pic:pic>
              </a:graphicData>
            </a:graphic>
          </wp:inline>
        </w:drawing>
      </w:r>
    </w:p>
    <w:p w14:paraId="08A52E5A" w14:textId="75E5B7CD" w:rsidR="0069328F" w:rsidRDefault="00F814BB" w:rsidP="00A5237A">
      <w:pPr>
        <w:spacing w:line="480" w:lineRule="auto"/>
        <w:jc w:val="both"/>
        <w:rPr>
          <w:rFonts w:cs="Times New Roman"/>
          <w:szCs w:val="24"/>
        </w:rPr>
      </w:pPr>
      <w:r>
        <w:rPr>
          <w:rFonts w:cs="Times New Roman"/>
          <w:noProof/>
          <w:szCs w:val="24"/>
        </w:rPr>
        <w:lastRenderedPageBreak/>
        <w:drawing>
          <wp:inline distT="0" distB="0" distL="0" distR="0" wp14:anchorId="5DCF2947" wp14:editId="0179C375">
            <wp:extent cx="5149027" cy="8074152"/>
            <wp:effectExtent l="0" t="0" r="0" b="3175"/>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49027" cy="8074152"/>
                    </a:xfrm>
                    <a:prstGeom prst="rect">
                      <a:avLst/>
                    </a:prstGeom>
                    <a:noFill/>
                  </pic:spPr>
                </pic:pic>
              </a:graphicData>
            </a:graphic>
          </wp:inline>
        </w:drawing>
      </w:r>
    </w:p>
    <w:p w14:paraId="7E610341" w14:textId="5392B707" w:rsidR="00F814BB" w:rsidRDefault="00F814BB" w:rsidP="00A5237A">
      <w:pPr>
        <w:spacing w:line="480" w:lineRule="auto"/>
        <w:jc w:val="both"/>
        <w:rPr>
          <w:rFonts w:cs="Times New Roman"/>
          <w:szCs w:val="24"/>
        </w:rPr>
      </w:pPr>
      <w:r>
        <w:rPr>
          <w:rFonts w:cs="Times New Roman"/>
          <w:noProof/>
          <w:szCs w:val="24"/>
        </w:rPr>
        <w:lastRenderedPageBreak/>
        <w:drawing>
          <wp:inline distT="0" distB="0" distL="0" distR="0" wp14:anchorId="2F96C393" wp14:editId="31CF753F">
            <wp:extent cx="5148072" cy="6317918"/>
            <wp:effectExtent l="0" t="0" r="0" b="6985"/>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8072" cy="6317918"/>
                    </a:xfrm>
                    <a:prstGeom prst="rect">
                      <a:avLst/>
                    </a:prstGeom>
                    <a:noFill/>
                  </pic:spPr>
                </pic:pic>
              </a:graphicData>
            </a:graphic>
          </wp:inline>
        </w:drawing>
      </w:r>
    </w:p>
    <w:p w14:paraId="65B153E7" w14:textId="70DBAE03" w:rsidR="0069328F" w:rsidRPr="006F29C0" w:rsidRDefault="0069328F" w:rsidP="00DD79FA">
      <w:pPr>
        <w:spacing w:line="480" w:lineRule="auto"/>
        <w:jc w:val="both"/>
      </w:pPr>
      <w:bookmarkStart w:id="28" w:name="_Toc39502042"/>
      <w:r>
        <w:t xml:space="preserve">2.2.2 </w:t>
      </w:r>
      <w:r w:rsidRPr="00664222">
        <w:t xml:space="preserve">Identification of </w:t>
      </w:r>
      <w:r w:rsidR="00181B79">
        <w:t>A</w:t>
      </w:r>
      <w:r w:rsidRPr="00664222">
        <w:t xml:space="preserve">ltered </w:t>
      </w:r>
      <w:r w:rsidR="00181B79">
        <w:t>P</w:t>
      </w:r>
      <w:r w:rsidRPr="00664222">
        <w:t xml:space="preserve">athways </w:t>
      </w:r>
      <w:r w:rsidR="00661A93">
        <w:t>t</w:t>
      </w:r>
      <w:r w:rsidRPr="00664222">
        <w:t xml:space="preserve">hrough </w:t>
      </w:r>
      <w:r w:rsidR="00181B79">
        <w:t>C</w:t>
      </w:r>
      <w:r w:rsidRPr="00664222">
        <w:t xml:space="preserve">omputational </w:t>
      </w:r>
      <w:r w:rsidR="00181B79">
        <w:t>T</w:t>
      </w:r>
      <w:r w:rsidRPr="00664222">
        <w:t>oxicology</w:t>
      </w:r>
      <w:bookmarkEnd w:id="28"/>
      <w:r w:rsidRPr="006F29C0">
        <w:t xml:space="preserve"> </w:t>
      </w:r>
    </w:p>
    <w:p w14:paraId="5EECC040" w14:textId="65DC829E" w:rsidR="0069328F" w:rsidRDefault="0069328F" w:rsidP="00242745">
      <w:pPr>
        <w:spacing w:before="0" w:line="480" w:lineRule="auto"/>
        <w:jc w:val="both"/>
        <w:rPr>
          <w:rFonts w:cs="Times New Roman"/>
          <w:szCs w:val="24"/>
        </w:rPr>
      </w:pPr>
      <w:r w:rsidRPr="00DE4962">
        <w:rPr>
          <w:rFonts w:cs="Times New Roman"/>
          <w:szCs w:val="24"/>
        </w:rPr>
        <w:t xml:space="preserve">We used the PLL screening results to identify ToxCast </w:t>
      </w:r>
      <w:r w:rsidRPr="00DE4962">
        <w:rPr>
          <w:rFonts w:cs="Times New Roman"/>
          <w:i/>
          <w:szCs w:val="24"/>
        </w:rPr>
        <w:t>in vitro</w:t>
      </w:r>
      <w:r w:rsidRPr="00DE4962">
        <w:rPr>
          <w:rFonts w:cs="Times New Roman"/>
          <w:szCs w:val="24"/>
        </w:rPr>
        <w:t xml:space="preserve"> assays that correlate with the identified zebrafish PLL disruptors by univariate correlation analysis. </w:t>
      </w:r>
      <w:r w:rsidRPr="0041508D">
        <w:rPr>
          <w:rStyle w:val="Strong"/>
        </w:rPr>
        <w:t>Figure 2.</w:t>
      </w:r>
      <w:r w:rsidR="004E696D">
        <w:rPr>
          <w:rStyle w:val="Strong"/>
        </w:rPr>
        <w:t>4</w:t>
      </w:r>
      <w:r w:rsidRPr="00DE4962">
        <w:rPr>
          <w:rFonts w:cs="Times New Roman"/>
          <w:szCs w:val="24"/>
        </w:rPr>
        <w:t xml:space="preserve"> shows the </w:t>
      </w:r>
      <w:r w:rsidRPr="00DE4962">
        <w:rPr>
          <w:rFonts w:cs="Times New Roman"/>
          <w:szCs w:val="24"/>
        </w:rPr>
        <w:lastRenderedPageBreak/>
        <w:t xml:space="preserve">workflow of ToxCast analysis. Thirteen assays significantly correlated with the twenty-two PLL </w:t>
      </w:r>
      <w:r w:rsidRPr="00242745">
        <w:rPr>
          <w:rFonts w:cs="Times New Roman"/>
          <w:szCs w:val="24"/>
        </w:rPr>
        <w:t>disruptors. Appendix Table 3 shows</w:t>
      </w:r>
      <w:r w:rsidRPr="00DE4962">
        <w:rPr>
          <w:rFonts w:cs="Times New Roman"/>
          <w:szCs w:val="24"/>
        </w:rPr>
        <w:t xml:space="preserve"> the list of assays with their true positive and p-values. The</w:t>
      </w:r>
      <w:r w:rsidRPr="00502141">
        <w:rPr>
          <w:rFonts w:cs="Times New Roman"/>
          <w:szCs w:val="24"/>
        </w:rPr>
        <w:t xml:space="preserve">se </w:t>
      </w:r>
      <w:r w:rsidRPr="00DE4962">
        <w:rPr>
          <w:rFonts w:cs="Times New Roman"/>
          <w:szCs w:val="24"/>
        </w:rPr>
        <w:t xml:space="preserve">assays </w:t>
      </w:r>
      <w:r w:rsidRPr="00502141">
        <w:rPr>
          <w:rFonts w:cs="Times New Roman"/>
          <w:szCs w:val="24"/>
        </w:rPr>
        <w:t xml:space="preserve">included </w:t>
      </w:r>
      <w:r w:rsidRPr="00DE4962">
        <w:rPr>
          <w:rFonts w:cs="Times New Roman"/>
          <w:szCs w:val="24"/>
        </w:rPr>
        <w:t>five serotonin</w:t>
      </w:r>
      <w:r w:rsidR="00165A57">
        <w:rPr>
          <w:rFonts w:cs="Times New Roman"/>
          <w:szCs w:val="24"/>
        </w:rPr>
        <w:t>-</w:t>
      </w:r>
      <w:r w:rsidRPr="00DE4962">
        <w:rPr>
          <w:rFonts w:cs="Times New Roman"/>
          <w:szCs w:val="24"/>
        </w:rPr>
        <w:t>related assays (SLC18A2, MAO-A, HTR7, CYP2D1, ADRA2B), two CYP450 assays</w:t>
      </w:r>
      <w:r w:rsidRPr="00502141">
        <w:rPr>
          <w:rFonts w:cs="Times New Roman"/>
          <w:szCs w:val="24"/>
        </w:rPr>
        <w:t xml:space="preserve"> not related to serotonin (CYP2A1 and CYP2C13), and assays for</w:t>
      </w:r>
      <w:r w:rsidRPr="00DE4962">
        <w:rPr>
          <w:rFonts w:cs="Times New Roman"/>
          <w:szCs w:val="24"/>
        </w:rPr>
        <w:t xml:space="preserve"> an enzyme (TPO), </w:t>
      </w:r>
      <w:r w:rsidRPr="00502141">
        <w:rPr>
          <w:rFonts w:cs="Times New Roman"/>
          <w:szCs w:val="24"/>
        </w:rPr>
        <w:t xml:space="preserve">two </w:t>
      </w:r>
      <w:r w:rsidRPr="00DE4962">
        <w:rPr>
          <w:rFonts w:cs="Times New Roman"/>
          <w:szCs w:val="24"/>
        </w:rPr>
        <w:t>nuclear receptor</w:t>
      </w:r>
      <w:r w:rsidR="00661A93">
        <w:rPr>
          <w:rFonts w:cs="Times New Roman"/>
          <w:szCs w:val="24"/>
        </w:rPr>
        <w:t>s</w:t>
      </w:r>
      <w:r w:rsidRPr="00DE4962">
        <w:rPr>
          <w:rFonts w:cs="Times New Roman"/>
          <w:szCs w:val="24"/>
        </w:rPr>
        <w:t xml:space="preserve"> (RAR and </w:t>
      </w:r>
      <w:r w:rsidRPr="00502141">
        <w:rPr>
          <w:rFonts w:cs="Times New Roman"/>
          <w:szCs w:val="24"/>
        </w:rPr>
        <w:t>FXR (NR1H4)) and three</w:t>
      </w:r>
      <w:r w:rsidRPr="00DE4962">
        <w:rPr>
          <w:rFonts w:cs="Times New Roman"/>
          <w:szCs w:val="24"/>
        </w:rPr>
        <w:t xml:space="preserve"> other receptors (TSPO, SIGMAR1, </w:t>
      </w:r>
      <w:r w:rsidRPr="00502141">
        <w:rPr>
          <w:rFonts w:cs="Times New Roman"/>
          <w:szCs w:val="24"/>
        </w:rPr>
        <w:t xml:space="preserve">and </w:t>
      </w:r>
      <w:r w:rsidRPr="00DE4962">
        <w:rPr>
          <w:rFonts w:cs="Times New Roman"/>
          <w:szCs w:val="24"/>
        </w:rPr>
        <w:t>PLAUR</w:t>
      </w:r>
      <w:r w:rsidRPr="00502141">
        <w:rPr>
          <w:rFonts w:cs="Times New Roman"/>
          <w:szCs w:val="24"/>
        </w:rPr>
        <w:t>).</w:t>
      </w:r>
      <w:r w:rsidRPr="00DE4962">
        <w:rPr>
          <w:rFonts w:cs="Times New Roman"/>
          <w:szCs w:val="24"/>
        </w:rPr>
        <w:t xml:space="preserve"> </w:t>
      </w:r>
    </w:p>
    <w:p w14:paraId="182C554A" w14:textId="77777777" w:rsidR="004E696D" w:rsidRDefault="004E696D" w:rsidP="00242745">
      <w:pPr>
        <w:spacing w:before="0" w:after="0" w:line="480" w:lineRule="auto"/>
        <w:jc w:val="both"/>
        <w:rPr>
          <w:rFonts w:cs="Times New Roman"/>
          <w:szCs w:val="24"/>
        </w:rPr>
      </w:pPr>
    </w:p>
    <w:p w14:paraId="40F9F007" w14:textId="77777777" w:rsidR="0069328F" w:rsidRDefault="0069328F" w:rsidP="00242745">
      <w:pPr>
        <w:spacing w:before="0" w:after="0" w:line="276" w:lineRule="auto"/>
        <w:jc w:val="both"/>
        <w:rPr>
          <w:rFonts w:cs="Times New Roman"/>
          <w:szCs w:val="24"/>
        </w:rPr>
      </w:pPr>
      <w:r>
        <w:rPr>
          <w:rFonts w:cs="Times New Roman"/>
          <w:noProof/>
          <w:szCs w:val="24"/>
        </w:rPr>
        <w:lastRenderedPageBreak/>
        <w:drawing>
          <wp:inline distT="0" distB="0" distL="0" distR="0" wp14:anchorId="6CB4748F" wp14:editId="79D56B9F">
            <wp:extent cx="5852160" cy="5765158"/>
            <wp:effectExtent l="0" t="0" r="0" b="7620"/>
            <wp:docPr id="18" name="Picture 18" descr="C:\Users\jlaqkc\Downloads\Figure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laqkc\Downloads\Figure 2.3.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888" b="36749"/>
                    <a:stretch/>
                  </pic:blipFill>
                  <pic:spPr bwMode="auto">
                    <a:xfrm>
                      <a:off x="0" y="0"/>
                      <a:ext cx="5852160" cy="5765158"/>
                    </a:xfrm>
                    <a:prstGeom prst="rect">
                      <a:avLst/>
                    </a:prstGeom>
                    <a:noFill/>
                    <a:ln>
                      <a:noFill/>
                    </a:ln>
                    <a:extLst>
                      <a:ext uri="{53640926-AAD7-44D8-BBD7-CCE9431645EC}">
                        <a14:shadowObscured xmlns:a14="http://schemas.microsoft.com/office/drawing/2010/main"/>
                      </a:ext>
                    </a:extLst>
                  </pic:spPr>
                </pic:pic>
              </a:graphicData>
            </a:graphic>
          </wp:inline>
        </w:drawing>
      </w:r>
    </w:p>
    <w:p w14:paraId="4B01B7C7" w14:textId="1BF43A2B" w:rsidR="00205E0F" w:rsidRDefault="00205E0F" w:rsidP="00205E0F">
      <w:pPr>
        <w:spacing w:before="0" w:after="0" w:line="240" w:lineRule="auto"/>
        <w:jc w:val="both"/>
        <w:rPr>
          <w:rFonts w:cs="Times New Roman"/>
          <w:szCs w:val="24"/>
        </w:rPr>
      </w:pPr>
      <w:r>
        <w:rPr>
          <w:rFonts w:cs="Times New Roman"/>
          <w:b/>
          <w:bCs/>
          <w:szCs w:val="24"/>
        </w:rPr>
        <w:t xml:space="preserve">Figure </w:t>
      </w:r>
      <w:bookmarkStart w:id="29" w:name="_Hlk39499884"/>
      <w:r>
        <w:rPr>
          <w:rFonts w:cs="Times New Roman"/>
          <w:b/>
          <w:bCs/>
          <w:szCs w:val="24"/>
        </w:rPr>
        <w:t>2.4</w:t>
      </w:r>
      <w:r w:rsidRPr="00732FF6">
        <w:rPr>
          <w:rFonts w:cs="Times New Roman"/>
          <w:szCs w:val="24"/>
        </w:rPr>
        <w:t xml:space="preserve"> </w:t>
      </w:r>
      <w:r w:rsidRPr="00732FF6">
        <w:rPr>
          <w:rFonts w:cs="Times New Roman"/>
          <w:b/>
          <w:bCs/>
          <w:szCs w:val="24"/>
        </w:rPr>
        <w:t xml:space="preserve">Workflow of </w:t>
      </w:r>
      <w:r>
        <w:rPr>
          <w:rFonts w:cs="Times New Roman"/>
          <w:b/>
          <w:bCs/>
          <w:szCs w:val="24"/>
        </w:rPr>
        <w:t xml:space="preserve">the </w:t>
      </w:r>
      <w:r w:rsidRPr="00732FF6">
        <w:rPr>
          <w:rFonts w:cs="Times New Roman"/>
          <w:b/>
          <w:bCs/>
          <w:szCs w:val="24"/>
        </w:rPr>
        <w:t>ToxCast analysis</w:t>
      </w:r>
      <w:bookmarkEnd w:id="29"/>
      <w:r w:rsidRPr="00732FF6">
        <w:rPr>
          <w:rFonts w:cs="Times New Roman"/>
          <w:b/>
          <w:bCs/>
          <w:szCs w:val="24"/>
        </w:rPr>
        <w:t>.</w:t>
      </w:r>
      <w:r w:rsidRPr="00732FF6">
        <w:rPr>
          <w:rFonts w:cs="Times New Roman"/>
          <w:szCs w:val="24"/>
        </w:rPr>
        <w:t xml:space="preserve"> Zebrafish high-throughput screening of 292 ToxCast Phase I compounds identified </w:t>
      </w:r>
      <w:r>
        <w:rPr>
          <w:rFonts w:cs="Times New Roman"/>
          <w:szCs w:val="24"/>
        </w:rPr>
        <w:t>46</w:t>
      </w:r>
      <w:r w:rsidRPr="00732FF6">
        <w:rPr>
          <w:rFonts w:cs="Times New Roman"/>
          <w:szCs w:val="24"/>
        </w:rPr>
        <w:t xml:space="preserve"> compounds causing </w:t>
      </w:r>
      <w:r>
        <w:rPr>
          <w:rFonts w:cs="Times New Roman"/>
          <w:szCs w:val="24"/>
        </w:rPr>
        <w:t>PLL disruption</w:t>
      </w:r>
      <w:r w:rsidRPr="00732FF6">
        <w:rPr>
          <w:rFonts w:cs="Times New Roman"/>
          <w:szCs w:val="24"/>
        </w:rPr>
        <w:t xml:space="preserve">. These </w:t>
      </w:r>
      <w:r>
        <w:rPr>
          <w:rFonts w:cs="Times New Roman"/>
          <w:szCs w:val="24"/>
        </w:rPr>
        <w:t>46</w:t>
      </w:r>
      <w:r w:rsidRPr="00732FF6">
        <w:rPr>
          <w:rFonts w:cs="Times New Roman"/>
          <w:szCs w:val="24"/>
        </w:rPr>
        <w:t xml:space="preserve"> compounds were re-screened in a low-throughput manner</w:t>
      </w:r>
      <w:r>
        <w:rPr>
          <w:rFonts w:cs="Times New Roman"/>
          <w:szCs w:val="24"/>
        </w:rPr>
        <w:t>, which</w:t>
      </w:r>
      <w:r w:rsidRPr="00732FF6">
        <w:rPr>
          <w:rFonts w:cs="Times New Roman"/>
          <w:szCs w:val="24"/>
        </w:rPr>
        <w:t xml:space="preserve"> confirmed </w:t>
      </w:r>
      <w:r>
        <w:rPr>
          <w:rFonts w:cs="Times New Roman"/>
          <w:szCs w:val="24"/>
        </w:rPr>
        <w:t>22</w:t>
      </w:r>
      <w:r w:rsidRPr="00732FF6">
        <w:rPr>
          <w:rFonts w:cs="Times New Roman"/>
          <w:szCs w:val="24"/>
        </w:rPr>
        <w:t xml:space="preserve"> </w:t>
      </w:r>
      <w:r>
        <w:rPr>
          <w:rFonts w:cs="Times New Roman"/>
          <w:szCs w:val="24"/>
        </w:rPr>
        <w:t xml:space="preserve">PLL disruptors. </w:t>
      </w:r>
      <w:r w:rsidRPr="00732FF6">
        <w:rPr>
          <w:rFonts w:cs="Times New Roman"/>
          <w:szCs w:val="24"/>
        </w:rPr>
        <w:t xml:space="preserve">ToxCast univariate </w:t>
      </w:r>
      <w:r>
        <w:rPr>
          <w:rFonts w:cs="Times New Roman"/>
          <w:szCs w:val="24"/>
        </w:rPr>
        <w:t xml:space="preserve">correlation </w:t>
      </w:r>
      <w:r w:rsidRPr="00732FF6">
        <w:rPr>
          <w:rFonts w:cs="Times New Roman"/>
          <w:szCs w:val="24"/>
        </w:rPr>
        <w:t xml:space="preserve">analysis was performed for the </w:t>
      </w:r>
      <w:r>
        <w:rPr>
          <w:rFonts w:cs="Times New Roman"/>
          <w:szCs w:val="24"/>
        </w:rPr>
        <w:t xml:space="preserve">confirmed PLLD </w:t>
      </w:r>
      <w:r w:rsidRPr="00732FF6">
        <w:rPr>
          <w:rFonts w:cs="Times New Roman"/>
          <w:szCs w:val="24"/>
        </w:rPr>
        <w:t xml:space="preserve">compounds. </w:t>
      </w:r>
      <w:r>
        <w:rPr>
          <w:rFonts w:cs="Times New Roman"/>
          <w:szCs w:val="24"/>
        </w:rPr>
        <w:t>Thirteen</w:t>
      </w:r>
      <w:r w:rsidRPr="00732FF6">
        <w:rPr>
          <w:rFonts w:cs="Times New Roman"/>
          <w:szCs w:val="24"/>
        </w:rPr>
        <w:t xml:space="preserve"> assays were correlated with the </w:t>
      </w:r>
      <w:r>
        <w:rPr>
          <w:rFonts w:cs="Times New Roman"/>
          <w:szCs w:val="24"/>
        </w:rPr>
        <w:t xml:space="preserve">PLLD effects. </w:t>
      </w:r>
      <w:r w:rsidRPr="00732FF6">
        <w:rPr>
          <w:rFonts w:cs="Times New Roman"/>
          <w:szCs w:val="24"/>
        </w:rPr>
        <w:t>ToxPi profiles were created for the 2</w:t>
      </w:r>
      <w:r>
        <w:rPr>
          <w:rFonts w:cs="Times New Roman"/>
          <w:szCs w:val="24"/>
        </w:rPr>
        <w:t>2</w:t>
      </w:r>
      <w:r w:rsidRPr="00732FF6">
        <w:rPr>
          <w:rFonts w:cs="Times New Roman"/>
          <w:szCs w:val="24"/>
        </w:rPr>
        <w:t xml:space="preserve"> chemicals</w:t>
      </w:r>
      <w:r>
        <w:rPr>
          <w:rFonts w:cs="Times New Roman"/>
          <w:szCs w:val="24"/>
        </w:rPr>
        <w:t>.</w:t>
      </w:r>
    </w:p>
    <w:p w14:paraId="176C39CA" w14:textId="741D4A3E" w:rsidR="0069328F" w:rsidRDefault="0069328F" w:rsidP="00A5237A">
      <w:pPr>
        <w:spacing w:line="480" w:lineRule="auto"/>
        <w:jc w:val="both"/>
        <w:rPr>
          <w:rFonts w:cs="Times New Roman"/>
          <w:szCs w:val="24"/>
        </w:rPr>
      </w:pPr>
      <w:r w:rsidRPr="00DE4962">
        <w:rPr>
          <w:rFonts w:cs="Times New Roman"/>
          <w:szCs w:val="24"/>
        </w:rPr>
        <w:t>The AC</w:t>
      </w:r>
      <w:r w:rsidRPr="00DE4962">
        <w:rPr>
          <w:rFonts w:cs="Times New Roman"/>
          <w:szCs w:val="24"/>
          <w:vertAlign w:val="subscript"/>
        </w:rPr>
        <w:t>50</w:t>
      </w:r>
      <w:r w:rsidRPr="00DE4962">
        <w:rPr>
          <w:rFonts w:cs="Times New Roman"/>
          <w:szCs w:val="24"/>
        </w:rPr>
        <w:t xml:space="preserve"> values for each chemical and assay were </w:t>
      </w:r>
      <w:r w:rsidRPr="00502141">
        <w:rPr>
          <w:rFonts w:cs="Times New Roman"/>
          <w:szCs w:val="24"/>
        </w:rPr>
        <w:t xml:space="preserve">obtained </w:t>
      </w:r>
      <w:r w:rsidRPr="00DE4962">
        <w:rPr>
          <w:rFonts w:cs="Times New Roman"/>
          <w:szCs w:val="24"/>
        </w:rPr>
        <w:t xml:space="preserve">from the </w:t>
      </w:r>
      <w:r w:rsidRPr="00502141">
        <w:rPr>
          <w:rFonts w:cs="Times New Roman"/>
          <w:szCs w:val="24"/>
        </w:rPr>
        <w:t xml:space="preserve">CompTox Dashboard </w:t>
      </w:r>
      <w:r w:rsidRPr="00465302">
        <w:rPr>
          <w:rFonts w:cs="Times New Roman"/>
          <w:color w:val="auto"/>
          <w:szCs w:val="24"/>
        </w:rPr>
        <w:t xml:space="preserve">(Appendix Table 5) and were used to create PLL disruptor bioactivity profiles using the ToxPi tool </w:t>
      </w:r>
      <w:r w:rsidRPr="00465302">
        <w:rPr>
          <w:rFonts w:cs="Times New Roman"/>
          <w:color w:val="auto"/>
          <w:szCs w:val="24"/>
        </w:rPr>
        <w:fldChar w:fldCharType="begin" w:fldLock="1"/>
      </w:r>
      <w:r w:rsidRPr="00465302">
        <w:rPr>
          <w:rFonts w:cs="Times New Roman"/>
          <w:color w:val="auto"/>
          <w:szCs w:val="24"/>
        </w:rPr>
        <w:instrText>ADDIN CSL_CITATION {"citationItems":[{"id":"ITEM-1","itemData":{"DOI":"10.1186/s12859-018-2089-2","ISSN":"1471-2105","abstract":"BACKGROUND: Drawing integrated conclusions from diverse source data requires synthesis across multiple types of information. The ToxPi (Toxicological Prioritization Index) is an analytical framework that was developed to enable integration of multiple sources of evidence by transforming data into integrated, visual profiles. Methodological improvements have advanced ToxPi and expanded its applicability, necessitating a new, consolidated software platform to provide functionality, while preserving flexibility for future updates. RESULTS: We detail the implementation of a new graphical user interface for ToxPi (Toxicological Prioritization Index) that provides interactive visualization, analysis, reporting, and portability. The interface is deployed as a stand-alone, platform-independent Java application, with a modular design to accommodate inclusion of future analytics. The new ToxPi interface introduces several features, from flexible data import formats (including legacy formats that permit backward compatibility) to similarity-based clustering to options for high-resolution graphical output. CONCLUSIONS: We present the new ToxPi interface for dynamic exploration, visualization, and sharing of integrated data models. The ToxPi interface is freely-available as a single compressed download that includes the main Java executable, all libraries, example data files, and a complete user manual from http://toxpi.org .","author":[{"dropping-particle":"","family":"Marvel","given":"Skylar W","non-dropping-particle":"","parse-names":false,"suffix":""},{"dropping-particle":"","family":"To","given":"Kimberly","non-dropping-particle":"","parse-names":false,"suffix":""},{"dropping-particle":"","family":"Grimm","given":"Fabian A","non-dropping-particle":"","parse-names":false,"suffix":""},{"dropping-particle":"","family":"Wright","given":"Fred A","non-dropping-particle":"","parse-names":false,"suffix":""},{"dropping-particle":"","family":"Rusyn","given":"Ivan","non-dropping-particle":"","parse-names":false,"suffix":""},{"dropping-particle":"","family":"Reif","given":"David M","non-dropping-particle":"","parse-names":false,"suffix":""}],"container-title":"BMC bioinformatics","id":"ITEM-1","issue":"1","issued":{"date-parts":[["2018","3","5"]]},"language":"eng","page":"80","publisher":"BioMed Central","title":"ToxPi Graphical User Interface 2.0: Dynamic exploration, visualization, and sharing of integrated data models","type":"article-journal","volume":"19"},"uris":["http://www.mendeley.com/documents/?uuid=7a2593a6-00fb-4649-8637-5236534ca1c2"]},{"id":"ITEM-2","itemData":{"DOI":"10.1289/ehp.1002180","ISSN":"1552-9924","abstract":"BACKGROUND: The prioritization of chemicals for toxicity testing is a primary goal of the U.S. Environmental Protection Agency (EPA) ToxCast™ program. Phase I of ToxCast used a battery of 467 in vitro, high-throughput screening assays to assess 309 environmental chemicals. One important mode of action leading to toxicity is endocrine disruption, and the U.S. EPA's Endocrine Disruptor Screening Program (EDSP) has been charged with screening pesticide chemicals and environmental contaminants for their potential to affect the endocrine systems of humans and wildlife. OBJECTIVE: The goal of this study was to develop a flexible method to facilitate the rational prioritization of chemicals for further evaluation and demonstrate its application as a candidate decision-support tool for EDSP. METHODS: Focusing on estrogen, androgen, and thyroid pathways, we defined putative endocrine profiles and derived a relative rank or score for the entire ToxCast library of 309 unique chemicals. Effects on other nuclear receptors and xenobiotic metabolizing enzymes were also considered, as were pertinent chemical descriptors and pathways relevant to endocrine-mediated signaling. RESULTS: Combining multiple data sources into an overall, weight-of-evidence Toxicological Priority Index (ToxPi) score for prioritizing further chemical testing resulted in more robust conclusions than any single data source taken alone. CONCLUSIONS: Incorporating data from in vitro assays, chemical descriptors, and biological pathways in this prioritization schema provided a flexible, comprehensive visualization and ranking of each chemical's potential endocrine activity. Importantly, ToxPi profiles provide a transparent visualization of the relative contribution of all information sources to an overall priority ranking. The method developed here is readily adaptable to diverse chemical prioritization tasks.","author":[{"dropping-particle":"","family":"Reif","given":"David M","non-dropping-particle":"","parse-names":false,"suffix":""},{"dropping-particle":"","family":"Martin","given":"Matthew T","non-dropping-particle":"","parse-names":false,"suffix":""},{"dropping-particle":"","family":"Tan","given":"Shirlee W","non-dropping-particle":"","parse-names":false,"suffix":""},{"dropping-particle":"","family":"Houck","given":"Keith A","non-dropping-particle":"","parse-names":false,"suffix":""},{"dropping-particle":"","family":"Judson","given":"Richard S","non-dropping-particle":"","parse-names":false,"suffix":""},{"dropping-particle":"","family":"Richard","given":"Ann M","non-dropping-particle":"","parse-names":false,"suffix":""},{"dropping-particle":"","family":"Knudsen","given":"Thomas B","non-dropping-particle":"","parse-names":false,"suffix":""},{"dropping-particle":"","family":"Dix","given":"David J","non-dropping-particle":"","parse-names":false,"suffix":""},{"dropping-particle":"","family":"Kavlock","given":"Robert J","non-dropping-particle":"","parse-names":false,"suffix":""}],"container-title":"Environmental health perspectives","edition":"2010/09/08","id":"ITEM-2","issue":"12","issued":{"date-parts":[["2010","12"]]},"language":"eng","page":"1714-1720","publisher":"National Institute of Environmental Health Sciences","title":"Endocrine profiling and prioritization of environmental chemicals using ToxCast data","type":"article-journal","volume":"118"},"uris":["http://www.mendeley.com/documents/?uuid=a63fad8e-a146-4200-92c9-44557879bf61"]}],"mendeley":{"formattedCitation":"(Reif &lt;i&gt;et al.&lt;/i&gt;, 2010; Marvel &lt;i&gt;et al.&lt;/i&gt;, 2018)","plainTextFormattedCitation":"(Reif et al., 2010; Marvel et al., 2018)","previouslyFormattedCitation":"(Reif &lt;i&gt;et al.&lt;/i&gt;, 2010; Marvel &lt;i&gt;et al.&lt;/i&gt;, 2018)"},"properties":{"noteIndex":0},"schema":"https://github.com/citation-style-language/schema/raw/master/csl-citation.json"}</w:instrText>
      </w:r>
      <w:r w:rsidRPr="00465302">
        <w:rPr>
          <w:rFonts w:cs="Times New Roman"/>
          <w:color w:val="auto"/>
          <w:szCs w:val="24"/>
        </w:rPr>
        <w:fldChar w:fldCharType="separate"/>
      </w:r>
      <w:r w:rsidRPr="00465302">
        <w:rPr>
          <w:rFonts w:cs="Times New Roman"/>
          <w:noProof/>
          <w:color w:val="auto"/>
          <w:szCs w:val="24"/>
        </w:rPr>
        <w:t xml:space="preserve">(Reif </w:t>
      </w:r>
      <w:r w:rsidRPr="00465302">
        <w:rPr>
          <w:rFonts w:cs="Times New Roman"/>
          <w:i/>
          <w:noProof/>
          <w:color w:val="auto"/>
          <w:szCs w:val="24"/>
        </w:rPr>
        <w:t>et al.</w:t>
      </w:r>
      <w:r w:rsidRPr="00465302">
        <w:rPr>
          <w:rFonts w:cs="Times New Roman"/>
          <w:noProof/>
          <w:color w:val="auto"/>
          <w:szCs w:val="24"/>
        </w:rPr>
        <w:t xml:space="preserve">, 2010; Marvel </w:t>
      </w:r>
      <w:r w:rsidRPr="00465302">
        <w:rPr>
          <w:rFonts w:cs="Times New Roman"/>
          <w:i/>
          <w:noProof/>
          <w:color w:val="auto"/>
          <w:szCs w:val="24"/>
        </w:rPr>
        <w:t>et al.</w:t>
      </w:r>
      <w:r w:rsidRPr="00465302">
        <w:rPr>
          <w:rFonts w:cs="Times New Roman"/>
          <w:noProof/>
          <w:color w:val="auto"/>
          <w:szCs w:val="24"/>
        </w:rPr>
        <w:t>, 2018)</w:t>
      </w:r>
      <w:r w:rsidRPr="00465302">
        <w:rPr>
          <w:rFonts w:cs="Times New Roman"/>
          <w:color w:val="auto"/>
          <w:szCs w:val="24"/>
        </w:rPr>
        <w:fldChar w:fldCharType="end"/>
      </w:r>
      <w:r w:rsidRPr="00465302">
        <w:rPr>
          <w:rFonts w:cs="Times New Roman"/>
          <w:color w:val="auto"/>
          <w:szCs w:val="24"/>
        </w:rPr>
        <w:t xml:space="preserve"> (</w:t>
      </w:r>
      <w:r w:rsidRPr="00465302">
        <w:rPr>
          <w:rStyle w:val="Strong"/>
          <w:color w:val="auto"/>
        </w:rPr>
        <w:t xml:space="preserve">Figure </w:t>
      </w:r>
      <w:r w:rsidRPr="0041508D">
        <w:rPr>
          <w:rStyle w:val="Strong"/>
        </w:rPr>
        <w:t>2.</w:t>
      </w:r>
      <w:r w:rsidR="00DA57DF">
        <w:rPr>
          <w:rStyle w:val="Strong"/>
        </w:rPr>
        <w:t>5</w:t>
      </w:r>
      <w:r w:rsidRPr="002F5392">
        <w:rPr>
          <w:rFonts w:cs="Times New Roman"/>
          <w:szCs w:val="24"/>
        </w:rPr>
        <w:t>).</w:t>
      </w:r>
      <w:r w:rsidRPr="00DE4962">
        <w:rPr>
          <w:rFonts w:cs="Times New Roman"/>
          <w:szCs w:val="24"/>
        </w:rPr>
        <w:t xml:space="preserve"> </w:t>
      </w:r>
      <w:r w:rsidRPr="00502141">
        <w:rPr>
          <w:rFonts w:cs="Times New Roman"/>
          <w:szCs w:val="24"/>
        </w:rPr>
        <w:t xml:space="preserve">The bioactivity profiles showed that </w:t>
      </w:r>
      <w:r w:rsidRPr="00DE4962">
        <w:rPr>
          <w:rFonts w:cs="Times New Roman"/>
          <w:szCs w:val="24"/>
        </w:rPr>
        <w:t xml:space="preserve">at least </w:t>
      </w:r>
      <w:r w:rsidR="009A0B96">
        <w:rPr>
          <w:rFonts w:cs="Times New Roman"/>
          <w:szCs w:val="24"/>
        </w:rPr>
        <w:lastRenderedPageBreak/>
        <w:t>six</w:t>
      </w:r>
      <w:r w:rsidRPr="00502141">
        <w:rPr>
          <w:rFonts w:cs="Times New Roman"/>
          <w:szCs w:val="24"/>
        </w:rPr>
        <w:t xml:space="preserve"> </w:t>
      </w:r>
      <w:r w:rsidRPr="00DE4962">
        <w:rPr>
          <w:rFonts w:cs="Times New Roman"/>
          <w:szCs w:val="24"/>
        </w:rPr>
        <w:t>of the 22 PLLDs affected</w:t>
      </w:r>
      <w:r w:rsidRPr="00502141">
        <w:rPr>
          <w:rFonts w:cs="Times New Roman"/>
          <w:szCs w:val="24"/>
        </w:rPr>
        <w:t xml:space="preserve"> </w:t>
      </w:r>
      <w:r w:rsidRPr="00DE4962">
        <w:rPr>
          <w:rFonts w:cs="Times New Roman"/>
          <w:szCs w:val="24"/>
        </w:rPr>
        <w:t xml:space="preserve">each of the </w:t>
      </w:r>
      <w:r w:rsidRPr="00502141">
        <w:rPr>
          <w:rFonts w:cs="Times New Roman"/>
          <w:szCs w:val="24"/>
        </w:rPr>
        <w:t>serotonin assay</w:t>
      </w:r>
      <w:r w:rsidR="00165A57">
        <w:rPr>
          <w:rFonts w:cs="Times New Roman"/>
          <w:szCs w:val="24"/>
        </w:rPr>
        <w:t>s</w:t>
      </w:r>
      <w:r w:rsidRPr="00502141">
        <w:rPr>
          <w:rFonts w:cs="Times New Roman"/>
          <w:szCs w:val="24"/>
        </w:rPr>
        <w:t xml:space="preserve">, </w:t>
      </w:r>
      <w:r w:rsidR="00651754">
        <w:rPr>
          <w:rFonts w:cs="Times New Roman"/>
          <w:szCs w:val="24"/>
        </w:rPr>
        <w:t xml:space="preserve">and 13 chemicals affected at least one of the serotonin assays, </w:t>
      </w:r>
      <w:r w:rsidRPr="00502141">
        <w:rPr>
          <w:rFonts w:cs="Times New Roman"/>
          <w:szCs w:val="24"/>
        </w:rPr>
        <w:t>indicating</w:t>
      </w:r>
      <w:r w:rsidRPr="00DE4962">
        <w:rPr>
          <w:rFonts w:cs="Times New Roman"/>
          <w:szCs w:val="24"/>
        </w:rPr>
        <w:t xml:space="preserve"> a strong correlation for</w:t>
      </w:r>
      <w:r w:rsidRPr="00502141">
        <w:rPr>
          <w:rFonts w:cs="Times New Roman"/>
          <w:szCs w:val="24"/>
        </w:rPr>
        <w:t xml:space="preserve"> alterations in serotonin signaling interfer</w:t>
      </w:r>
      <w:r w:rsidRPr="00DE4962">
        <w:rPr>
          <w:rFonts w:cs="Times New Roman"/>
          <w:szCs w:val="24"/>
        </w:rPr>
        <w:t>ing</w:t>
      </w:r>
      <w:r w:rsidRPr="00502141">
        <w:rPr>
          <w:rFonts w:cs="Times New Roman"/>
          <w:szCs w:val="24"/>
        </w:rPr>
        <w:t xml:space="preserve"> with neuromast positioning. While </w:t>
      </w:r>
      <w:r w:rsidR="00651754">
        <w:rPr>
          <w:rFonts w:cs="Times New Roman"/>
          <w:szCs w:val="24"/>
        </w:rPr>
        <w:t>twenty-one</w:t>
      </w:r>
      <w:r w:rsidRPr="00502141">
        <w:rPr>
          <w:rFonts w:cs="Times New Roman"/>
          <w:szCs w:val="24"/>
        </w:rPr>
        <w:t xml:space="preserve"> PLL disruptors affected at least </w:t>
      </w:r>
      <w:r w:rsidR="00651754">
        <w:rPr>
          <w:rFonts w:cs="Times New Roman"/>
          <w:szCs w:val="24"/>
        </w:rPr>
        <w:t>one</w:t>
      </w:r>
      <w:r w:rsidRPr="00502141">
        <w:rPr>
          <w:rFonts w:cs="Times New Roman"/>
          <w:szCs w:val="24"/>
        </w:rPr>
        <w:t xml:space="preserve"> of the correlating </w:t>
      </w:r>
      <w:r w:rsidR="00651754">
        <w:rPr>
          <w:rFonts w:cs="Times New Roman"/>
          <w:szCs w:val="24"/>
        </w:rPr>
        <w:t>thirteen</w:t>
      </w:r>
      <w:r w:rsidRPr="00502141">
        <w:rPr>
          <w:rFonts w:cs="Times New Roman"/>
          <w:szCs w:val="24"/>
        </w:rPr>
        <w:t xml:space="preserve"> assays, </w:t>
      </w:r>
      <w:r w:rsidR="00651754">
        <w:rPr>
          <w:rFonts w:cs="Times New Roman"/>
          <w:szCs w:val="24"/>
        </w:rPr>
        <w:t>one</w:t>
      </w:r>
      <w:r w:rsidRPr="00502141">
        <w:rPr>
          <w:rFonts w:cs="Times New Roman"/>
          <w:szCs w:val="24"/>
        </w:rPr>
        <w:t xml:space="preserve"> chemical (iodosulfuron-methyl-sodium) did not affect any of the assays, suggesting that this compound perturbs PLL development through pathways not yet tested for in Tox21. </w:t>
      </w:r>
    </w:p>
    <w:p w14:paraId="792ED691" w14:textId="6FABEB49" w:rsidR="00DA57DF" w:rsidRPr="00DE4962" w:rsidRDefault="00DA57DF" w:rsidP="00DA57DF">
      <w:pPr>
        <w:spacing w:line="480" w:lineRule="auto"/>
        <w:jc w:val="both"/>
        <w:rPr>
          <w:rFonts w:cs="Times New Roman"/>
          <w:szCs w:val="24"/>
        </w:rPr>
      </w:pPr>
      <w:r w:rsidRPr="00DE4962">
        <w:rPr>
          <w:rFonts w:cs="Times New Roman"/>
          <w:szCs w:val="24"/>
        </w:rPr>
        <w:t>The ToxPi tool calculates a ToxPi score, which relates to the number of assays perturbed by each chemical and its AC</w:t>
      </w:r>
      <w:r w:rsidRPr="00DE4962">
        <w:rPr>
          <w:rFonts w:cs="Times New Roman"/>
          <w:szCs w:val="24"/>
          <w:vertAlign w:val="subscript"/>
        </w:rPr>
        <w:t>50</w:t>
      </w:r>
      <w:r w:rsidRPr="00DE4962">
        <w:rPr>
          <w:rFonts w:cs="Times New Roman"/>
          <w:szCs w:val="24"/>
        </w:rPr>
        <w:t xml:space="preserve"> for each assay. A chemical with a high score is interpreted as a potent chemical interfering with many assays at low AC</w:t>
      </w:r>
      <w:r w:rsidRPr="00DE4962">
        <w:rPr>
          <w:rFonts w:cs="Times New Roman"/>
          <w:szCs w:val="24"/>
          <w:vertAlign w:val="subscript"/>
        </w:rPr>
        <w:t>50</w:t>
      </w:r>
      <w:r w:rsidRPr="00DE4962">
        <w:rPr>
          <w:rFonts w:cs="Times New Roman"/>
          <w:szCs w:val="24"/>
        </w:rPr>
        <w:t xml:space="preserve">s. We used this score to rank the PLL disruptors; the highest score of 0.82 was noted for </w:t>
      </w:r>
      <w:r w:rsidR="00050ABD">
        <w:rPr>
          <w:rFonts w:cs="Times New Roman"/>
          <w:szCs w:val="24"/>
        </w:rPr>
        <w:t>d</w:t>
      </w:r>
      <w:r w:rsidRPr="00DE4962">
        <w:rPr>
          <w:rFonts w:cs="Times New Roman"/>
          <w:szCs w:val="24"/>
        </w:rPr>
        <w:t xml:space="preserve">ifenoconazole followed by 0.75 for </w:t>
      </w:r>
      <w:r w:rsidR="00050ABD">
        <w:rPr>
          <w:rFonts w:cs="Times New Roman"/>
          <w:szCs w:val="24"/>
        </w:rPr>
        <w:t>p</w:t>
      </w:r>
      <w:r w:rsidRPr="00DE4962">
        <w:rPr>
          <w:rFonts w:cs="Times New Roman"/>
          <w:szCs w:val="24"/>
        </w:rPr>
        <w:t xml:space="preserve">rochloraz and 0.69 for </w:t>
      </w:r>
      <w:r w:rsidR="00050ABD">
        <w:rPr>
          <w:rFonts w:cs="Times New Roman"/>
          <w:szCs w:val="24"/>
        </w:rPr>
        <w:t>b</w:t>
      </w:r>
      <w:r w:rsidRPr="00DE4962">
        <w:rPr>
          <w:rFonts w:cs="Times New Roman"/>
          <w:szCs w:val="24"/>
        </w:rPr>
        <w:t xml:space="preserve">isphenol A </w:t>
      </w:r>
      <w:r w:rsidRPr="002F5392">
        <w:rPr>
          <w:rFonts w:cs="Times New Roman"/>
          <w:szCs w:val="24"/>
        </w:rPr>
        <w:t>(</w:t>
      </w:r>
      <w:r w:rsidRPr="0041508D">
        <w:rPr>
          <w:rStyle w:val="Strong"/>
        </w:rPr>
        <w:t>Figure 2.</w:t>
      </w:r>
      <w:r>
        <w:rPr>
          <w:rStyle w:val="Strong"/>
        </w:rPr>
        <w:t>5</w:t>
      </w:r>
      <w:r w:rsidRPr="002F5392">
        <w:rPr>
          <w:rFonts w:cs="Times New Roman"/>
          <w:szCs w:val="24"/>
        </w:rPr>
        <w:t>).</w:t>
      </w:r>
    </w:p>
    <w:p w14:paraId="56450A6B" w14:textId="22B6259C" w:rsidR="00DA57DF" w:rsidRPr="00732FF6" w:rsidRDefault="00DA57DF" w:rsidP="00205E0F">
      <w:pPr>
        <w:spacing w:line="240" w:lineRule="auto"/>
        <w:jc w:val="both"/>
        <w:rPr>
          <w:rFonts w:cs="Times New Roman"/>
          <w:szCs w:val="24"/>
        </w:rPr>
      </w:pPr>
      <w:r w:rsidRPr="00732FF6">
        <w:rPr>
          <w:rFonts w:cs="Times New Roman"/>
          <w:b/>
          <w:bCs/>
          <w:szCs w:val="24"/>
        </w:rPr>
        <w:t xml:space="preserve">Figure </w:t>
      </w:r>
      <w:bookmarkStart w:id="30" w:name="_Hlk39499912"/>
      <w:r>
        <w:rPr>
          <w:rFonts w:cs="Times New Roman"/>
          <w:b/>
          <w:bCs/>
          <w:szCs w:val="24"/>
        </w:rPr>
        <w:t>2.5</w:t>
      </w:r>
      <w:r w:rsidRPr="00732FF6">
        <w:rPr>
          <w:rFonts w:cs="Times New Roman"/>
          <w:szCs w:val="24"/>
        </w:rPr>
        <w:t xml:space="preserve"> </w:t>
      </w:r>
      <w:r w:rsidRPr="00732FF6">
        <w:rPr>
          <w:rFonts w:cs="Times New Roman"/>
          <w:i/>
          <w:iCs/>
          <w:szCs w:val="24"/>
        </w:rPr>
        <w:t>I</w:t>
      </w:r>
      <w:r w:rsidRPr="00732FF6">
        <w:rPr>
          <w:rFonts w:cs="Times New Roman"/>
          <w:b/>
          <w:bCs/>
          <w:i/>
          <w:iCs/>
          <w:szCs w:val="24"/>
        </w:rPr>
        <w:t>n vitro</w:t>
      </w:r>
      <w:r w:rsidRPr="00732FF6">
        <w:rPr>
          <w:rFonts w:cs="Times New Roman"/>
          <w:b/>
          <w:bCs/>
          <w:szCs w:val="24"/>
        </w:rPr>
        <w:t xml:space="preserve"> assay signatures for confirmed PLLDs identified through univariate </w:t>
      </w:r>
      <w:r w:rsidR="00661A93">
        <w:rPr>
          <w:rFonts w:cs="Times New Roman"/>
          <w:b/>
          <w:bCs/>
          <w:szCs w:val="24"/>
        </w:rPr>
        <w:t xml:space="preserve">correlation </w:t>
      </w:r>
      <w:r w:rsidRPr="00732FF6">
        <w:rPr>
          <w:rFonts w:cs="Times New Roman"/>
          <w:b/>
          <w:bCs/>
          <w:szCs w:val="24"/>
        </w:rPr>
        <w:t>analysis.</w:t>
      </w:r>
      <w:bookmarkEnd w:id="30"/>
      <w:r w:rsidRPr="00732FF6">
        <w:rPr>
          <w:rFonts w:cs="Times New Roman"/>
          <w:szCs w:val="24"/>
        </w:rPr>
        <w:t xml:space="preserve"> ToxPis and potency scores for each of the 22 compounds </w:t>
      </w:r>
      <w:r w:rsidR="00090839">
        <w:rPr>
          <w:rFonts w:cs="Times New Roman"/>
          <w:szCs w:val="24"/>
        </w:rPr>
        <w:t xml:space="preserve">were </w:t>
      </w:r>
      <w:r w:rsidRPr="00732FF6">
        <w:rPr>
          <w:rFonts w:cs="Times New Roman"/>
          <w:szCs w:val="24"/>
        </w:rPr>
        <w:t>confirmed to be PLL development disruptors</w:t>
      </w:r>
      <w:r w:rsidR="00651754">
        <w:rPr>
          <w:rFonts w:cs="Times New Roman"/>
          <w:szCs w:val="24"/>
        </w:rPr>
        <w:t>, g</w:t>
      </w:r>
      <w:r w:rsidRPr="00732FF6">
        <w:rPr>
          <w:rFonts w:cs="Times New Roman"/>
          <w:szCs w:val="24"/>
        </w:rPr>
        <w:t xml:space="preserve">enerated by running the PLLD hit list against ToxCast in vitro biochemical assays. Only assays that have at least </w:t>
      </w:r>
      <w:r w:rsidR="00F814BB">
        <w:rPr>
          <w:rFonts w:cs="Times New Roman"/>
          <w:szCs w:val="24"/>
        </w:rPr>
        <w:t>five</w:t>
      </w:r>
      <w:r w:rsidRPr="00732FF6">
        <w:rPr>
          <w:rFonts w:cs="Times New Roman"/>
          <w:szCs w:val="24"/>
        </w:rPr>
        <w:t xml:space="preserve"> or more of the 22 compounds as hits with a p-value &lt;0.05 were shortlisted. Bigger pie slices show more potency at lower concentrations. All serotonin pathway compounds are represented by purple/pink slices.</w:t>
      </w:r>
    </w:p>
    <w:p w14:paraId="2DF1AE3C" w14:textId="77777777" w:rsidR="0069328F" w:rsidRDefault="0069328F" w:rsidP="00A5237A">
      <w:pPr>
        <w:spacing w:line="480" w:lineRule="auto"/>
        <w:jc w:val="both"/>
        <w:rPr>
          <w:rFonts w:cs="Times New Roman"/>
          <w:szCs w:val="24"/>
        </w:rPr>
      </w:pPr>
    </w:p>
    <w:p w14:paraId="2BB601F3" w14:textId="77777777" w:rsidR="0069328F" w:rsidRDefault="0069328F" w:rsidP="00242745">
      <w:pPr>
        <w:spacing w:before="0" w:after="0" w:line="480" w:lineRule="auto"/>
        <w:jc w:val="both"/>
        <w:rPr>
          <w:rFonts w:cs="Times New Roman"/>
          <w:szCs w:val="24"/>
        </w:rPr>
      </w:pPr>
      <w:r>
        <w:rPr>
          <w:rFonts w:cs="Times New Roman"/>
          <w:noProof/>
          <w:szCs w:val="24"/>
        </w:rPr>
        <w:lastRenderedPageBreak/>
        <w:drawing>
          <wp:inline distT="0" distB="0" distL="0" distR="0" wp14:anchorId="31026216" wp14:editId="0B8EB178">
            <wp:extent cx="5029200" cy="8074025"/>
            <wp:effectExtent l="0" t="0" r="0" b="3175"/>
            <wp:docPr id="256" name="Picture 256" descr="C:\Users\jlaqkc\Downloads\Figure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laqkc\Downloads\Figure 2.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29200" cy="8074025"/>
                    </a:xfrm>
                    <a:prstGeom prst="rect">
                      <a:avLst/>
                    </a:prstGeom>
                    <a:noFill/>
                    <a:ln>
                      <a:noFill/>
                    </a:ln>
                  </pic:spPr>
                </pic:pic>
              </a:graphicData>
            </a:graphic>
          </wp:inline>
        </w:drawing>
      </w:r>
    </w:p>
    <w:p w14:paraId="534ED3AC" w14:textId="740FD598" w:rsidR="0069328F" w:rsidRPr="006F29C0" w:rsidRDefault="0069328F" w:rsidP="00317481">
      <w:pPr>
        <w:pStyle w:val="Heading3"/>
      </w:pPr>
      <w:bookmarkStart w:id="31" w:name="_Toc39502043"/>
      <w:r>
        <w:lastRenderedPageBreak/>
        <w:t xml:space="preserve">2.2.3 </w:t>
      </w:r>
      <w:r w:rsidRPr="006F29C0">
        <w:t xml:space="preserve">Serotonin </w:t>
      </w:r>
      <w:r w:rsidR="00181B79">
        <w:t>S</w:t>
      </w:r>
      <w:r w:rsidRPr="006F29C0">
        <w:t xml:space="preserve">ignaling is </w:t>
      </w:r>
      <w:r w:rsidR="00181B79">
        <w:t>R</w:t>
      </w:r>
      <w:r w:rsidRPr="006F29C0">
        <w:t xml:space="preserve">equired for </w:t>
      </w:r>
      <w:r w:rsidR="00181B79">
        <w:t>N</w:t>
      </w:r>
      <w:r>
        <w:t xml:space="preserve">ormal </w:t>
      </w:r>
      <w:r w:rsidRPr="006F29C0">
        <w:t xml:space="preserve">Posterior Lateral Line </w:t>
      </w:r>
      <w:r w:rsidR="00181B79">
        <w:t>D</w:t>
      </w:r>
      <w:r w:rsidRPr="006F29C0">
        <w:t>evelopment</w:t>
      </w:r>
      <w:bookmarkEnd w:id="31"/>
    </w:p>
    <w:p w14:paraId="121B4FB8" w14:textId="40CD9987" w:rsidR="0069328F" w:rsidRDefault="0069328F" w:rsidP="00A5237A">
      <w:pPr>
        <w:pStyle w:val="NoSpacing"/>
        <w:spacing w:line="480" w:lineRule="auto"/>
        <w:contextualSpacing/>
        <w:jc w:val="both"/>
        <w:rPr>
          <w:rFonts w:cs="Times New Roman"/>
          <w:szCs w:val="24"/>
        </w:rPr>
      </w:pPr>
      <w:r>
        <w:t xml:space="preserve">The univariate correlation analysis described above suggests that perturbations of serotonin signaling result in alteration </w:t>
      </w:r>
      <w:r w:rsidR="003B5489">
        <w:t>of</w:t>
      </w:r>
      <w:r>
        <w:t xml:space="preserve"> neuromast numbers. To investigate this hypothesis,</w:t>
      </w:r>
      <w:r>
        <w:rPr>
          <w:rFonts w:cs="Times New Roman"/>
          <w:szCs w:val="24"/>
        </w:rPr>
        <w:t xml:space="preserve"> we selected four compounds (</w:t>
      </w:r>
      <w:r w:rsidR="00661A93">
        <w:rPr>
          <w:rFonts w:cs="Times New Roman"/>
          <w:szCs w:val="24"/>
        </w:rPr>
        <w:t>p</w:t>
      </w:r>
      <w:r w:rsidR="00661A93" w:rsidRPr="00661A93">
        <w:rPr>
          <w:rFonts w:cs="Times New Roman"/>
          <w:szCs w:val="24"/>
        </w:rPr>
        <w:t>ara-chlorophenylalanine</w:t>
      </w:r>
      <w:r w:rsidR="00661A93">
        <w:rPr>
          <w:rFonts w:cs="Times New Roman"/>
          <w:szCs w:val="24"/>
        </w:rPr>
        <w:t xml:space="preserve"> (</w:t>
      </w:r>
      <w:r>
        <w:rPr>
          <w:rFonts w:cs="Times New Roman"/>
          <w:szCs w:val="24"/>
        </w:rPr>
        <w:t>PCPA</w:t>
      </w:r>
      <w:r w:rsidR="00661A93">
        <w:rPr>
          <w:rFonts w:cs="Times New Roman"/>
          <w:szCs w:val="24"/>
        </w:rPr>
        <w:t>)</w:t>
      </w:r>
      <w:r>
        <w:rPr>
          <w:rFonts w:cs="Times New Roman"/>
          <w:szCs w:val="24"/>
        </w:rPr>
        <w:t>, methylene blue, fluoxetine</w:t>
      </w:r>
      <w:r w:rsidR="00165A57">
        <w:rPr>
          <w:rFonts w:cs="Times New Roman"/>
          <w:szCs w:val="24"/>
        </w:rPr>
        <w:t>,</w:t>
      </w:r>
      <w:r>
        <w:rPr>
          <w:rFonts w:cs="Times New Roman"/>
          <w:szCs w:val="24"/>
        </w:rPr>
        <w:t xml:space="preserve"> and clorgyline) that are known to affect mammalian serotonin levels. Exposure of </w:t>
      </w:r>
      <w:r w:rsidR="009A0B96">
        <w:rPr>
          <w:rFonts w:cs="Times New Roman"/>
          <w:i/>
          <w:szCs w:val="24"/>
        </w:rPr>
        <w:t>T</w:t>
      </w:r>
      <w:r w:rsidRPr="009A0B96">
        <w:rPr>
          <w:rFonts w:cs="Times New Roman"/>
          <w:i/>
          <w:szCs w:val="24"/>
        </w:rPr>
        <w:t>g</w:t>
      </w:r>
      <w:r w:rsidR="0093738C" w:rsidRPr="009A0B96">
        <w:rPr>
          <w:rFonts w:cs="Times New Roman"/>
          <w:i/>
          <w:szCs w:val="24"/>
        </w:rPr>
        <w:t xml:space="preserve"> </w:t>
      </w:r>
      <w:r w:rsidRPr="00DD79FA">
        <w:rPr>
          <w:rFonts w:cs="Times New Roman"/>
          <w:i/>
          <w:szCs w:val="24"/>
        </w:rPr>
        <w:t>(neuromast:GFP)</w:t>
      </w:r>
      <w:r>
        <w:rPr>
          <w:rFonts w:cs="Times New Roman"/>
          <w:szCs w:val="24"/>
        </w:rPr>
        <w:t xml:space="preserve"> embryos to either of the serotonin modulators resulted in altered neuromast numbers in a dose</w:t>
      </w:r>
      <w:r w:rsidR="00165A57">
        <w:rPr>
          <w:rFonts w:cs="Times New Roman"/>
          <w:szCs w:val="24"/>
        </w:rPr>
        <w:t>-</w:t>
      </w:r>
      <w:r>
        <w:rPr>
          <w:rFonts w:cs="Times New Roman"/>
          <w:szCs w:val="24"/>
        </w:rPr>
        <w:t>dependent manner (</w:t>
      </w:r>
      <w:r w:rsidRPr="0041508D">
        <w:rPr>
          <w:rStyle w:val="Strong"/>
        </w:rPr>
        <w:t>Figure 2.</w:t>
      </w:r>
      <w:r w:rsidR="00DA57DF">
        <w:rPr>
          <w:rStyle w:val="Strong"/>
        </w:rPr>
        <w:t>6</w:t>
      </w:r>
      <w:r w:rsidRPr="002F5392">
        <w:rPr>
          <w:rFonts w:cs="Times New Roman"/>
          <w:szCs w:val="24"/>
        </w:rPr>
        <w:t xml:space="preserve"> and </w:t>
      </w:r>
      <w:r w:rsidRPr="0041508D">
        <w:rPr>
          <w:rStyle w:val="Strong"/>
        </w:rPr>
        <w:t>Figure 2.</w:t>
      </w:r>
      <w:r w:rsidR="00DA57DF">
        <w:rPr>
          <w:rStyle w:val="Strong"/>
        </w:rPr>
        <w:t>7</w:t>
      </w:r>
      <w:r w:rsidRPr="00242745">
        <w:rPr>
          <w:rFonts w:cs="Times New Roman"/>
          <w:szCs w:val="24"/>
        </w:rPr>
        <w:t>) (Appendix Table 4).</w:t>
      </w:r>
      <w:r>
        <w:rPr>
          <w:rFonts w:cs="Times New Roman"/>
          <w:szCs w:val="24"/>
        </w:rPr>
        <w:t xml:space="preserve"> In serotonin immunostained whole larvae exposed to clorgyline and methylene blue, we observed </w:t>
      </w:r>
      <w:r w:rsidRPr="007D40B8">
        <w:rPr>
          <w:rFonts w:cs="Times New Roman"/>
          <w:szCs w:val="24"/>
        </w:rPr>
        <w:t xml:space="preserve">an </w:t>
      </w:r>
      <w:r w:rsidRPr="00DE4962">
        <w:rPr>
          <w:rFonts w:cs="Times New Roman"/>
          <w:szCs w:val="24"/>
        </w:rPr>
        <w:t>increase</w:t>
      </w:r>
      <w:r>
        <w:rPr>
          <w:rFonts w:cs="Times New Roman"/>
          <w:szCs w:val="24"/>
        </w:rPr>
        <w:t>d expression of</w:t>
      </w:r>
      <w:r w:rsidRPr="00DE4962">
        <w:rPr>
          <w:rFonts w:cs="Times New Roman"/>
          <w:szCs w:val="24"/>
        </w:rPr>
        <w:t xml:space="preserve"> </w:t>
      </w:r>
      <w:r>
        <w:rPr>
          <w:rFonts w:cs="Times New Roman"/>
          <w:szCs w:val="24"/>
        </w:rPr>
        <w:t xml:space="preserve">serotonin, especially in the choroid plexus </w:t>
      </w:r>
      <w:r w:rsidRPr="002F5392">
        <w:rPr>
          <w:rFonts w:cs="Times New Roman"/>
          <w:szCs w:val="24"/>
        </w:rPr>
        <w:t>(</w:t>
      </w:r>
      <w:r w:rsidRPr="0041508D">
        <w:rPr>
          <w:rStyle w:val="Strong"/>
        </w:rPr>
        <w:t>Figure 2.</w:t>
      </w:r>
      <w:r w:rsidR="00DA57DF">
        <w:rPr>
          <w:rStyle w:val="Strong"/>
        </w:rPr>
        <w:t>8</w:t>
      </w:r>
      <w:r w:rsidRPr="002F5392">
        <w:rPr>
          <w:rFonts w:cs="Times New Roman"/>
          <w:szCs w:val="24"/>
        </w:rPr>
        <w:t>). In contrast, larvae exposed to PCPA had decreased serotonin staining (</w:t>
      </w:r>
      <w:r w:rsidRPr="009F6326">
        <w:rPr>
          <w:rStyle w:val="Strong"/>
        </w:rPr>
        <w:t>Figure 2.</w:t>
      </w:r>
      <w:r w:rsidR="00DA57DF">
        <w:rPr>
          <w:rStyle w:val="Strong"/>
        </w:rPr>
        <w:t>8</w:t>
      </w:r>
      <w:r w:rsidRPr="002F5392">
        <w:rPr>
          <w:rFonts w:cs="Times New Roman"/>
          <w:szCs w:val="24"/>
        </w:rPr>
        <w:t>). In fluoxetine-treated larvae, we observed less serotonin staining generally in the brain, but slightly higher staining in the choroid plexus (</w:t>
      </w:r>
      <w:r w:rsidRPr="009F6326">
        <w:rPr>
          <w:rStyle w:val="Strong"/>
        </w:rPr>
        <w:t>Figure 2.</w:t>
      </w:r>
      <w:r w:rsidR="00DA57DF">
        <w:rPr>
          <w:rStyle w:val="Strong"/>
        </w:rPr>
        <w:t>8</w:t>
      </w:r>
      <w:r w:rsidRPr="002F5392">
        <w:rPr>
          <w:rFonts w:cs="Times New Roman"/>
          <w:szCs w:val="24"/>
        </w:rPr>
        <w:t>).</w:t>
      </w:r>
      <w:r>
        <w:rPr>
          <w:rFonts w:cs="Times New Roman"/>
          <w:szCs w:val="24"/>
        </w:rPr>
        <w:t xml:space="preserve"> </w:t>
      </w:r>
    </w:p>
    <w:p w14:paraId="3CCDFE57" w14:textId="77777777" w:rsidR="0069328F" w:rsidRDefault="0069328F" w:rsidP="00A5237A">
      <w:pPr>
        <w:pStyle w:val="NoSpacing"/>
        <w:spacing w:line="480" w:lineRule="auto"/>
        <w:contextualSpacing/>
        <w:jc w:val="both"/>
        <w:rPr>
          <w:rFonts w:cs="Times New Roman"/>
          <w:szCs w:val="24"/>
        </w:rPr>
      </w:pPr>
    </w:p>
    <w:p w14:paraId="45A327CC" w14:textId="77777777" w:rsidR="0069328F" w:rsidRDefault="0069328F" w:rsidP="00242745">
      <w:pPr>
        <w:pStyle w:val="NoSpacing"/>
        <w:spacing w:line="276" w:lineRule="auto"/>
        <w:contextualSpacing/>
        <w:jc w:val="both"/>
        <w:rPr>
          <w:rFonts w:cs="Times New Roman"/>
          <w:szCs w:val="24"/>
        </w:rPr>
      </w:pPr>
      <w:r>
        <w:rPr>
          <w:rFonts w:cs="Times New Roman"/>
          <w:noProof/>
          <w:szCs w:val="24"/>
        </w:rPr>
        <w:lastRenderedPageBreak/>
        <w:drawing>
          <wp:inline distT="0" distB="0" distL="0" distR="0" wp14:anchorId="311A3C0B" wp14:editId="7C3B020F">
            <wp:extent cx="5852160" cy="6283795"/>
            <wp:effectExtent l="0" t="0" r="0" b="3175"/>
            <wp:docPr id="21" name="Picture 21" descr="C:\Users\jlaqkc\Downloads\Figure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laqkc\Downloads\Figure 2.5.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2715" b="20402"/>
                    <a:stretch/>
                  </pic:blipFill>
                  <pic:spPr bwMode="auto">
                    <a:xfrm>
                      <a:off x="0" y="0"/>
                      <a:ext cx="5852160" cy="6283795"/>
                    </a:xfrm>
                    <a:prstGeom prst="rect">
                      <a:avLst/>
                    </a:prstGeom>
                    <a:noFill/>
                    <a:ln>
                      <a:noFill/>
                    </a:ln>
                    <a:extLst>
                      <a:ext uri="{53640926-AAD7-44D8-BBD7-CCE9431645EC}">
                        <a14:shadowObscured xmlns:a14="http://schemas.microsoft.com/office/drawing/2010/main"/>
                      </a:ext>
                    </a:extLst>
                  </pic:spPr>
                </pic:pic>
              </a:graphicData>
            </a:graphic>
          </wp:inline>
        </w:drawing>
      </w:r>
    </w:p>
    <w:p w14:paraId="1F3A8EEF" w14:textId="319DBC7F" w:rsidR="0069328F" w:rsidRPr="00732FF6" w:rsidRDefault="0069328F" w:rsidP="00205E0F">
      <w:pPr>
        <w:pStyle w:val="NoSpacing"/>
        <w:contextualSpacing/>
        <w:jc w:val="both"/>
        <w:rPr>
          <w:rFonts w:cs="Times New Roman"/>
          <w:szCs w:val="24"/>
        </w:rPr>
      </w:pPr>
      <w:r w:rsidRPr="00732FF6">
        <w:rPr>
          <w:rFonts w:cs="Times New Roman"/>
          <w:b/>
          <w:bCs/>
          <w:szCs w:val="24"/>
        </w:rPr>
        <w:t xml:space="preserve">Figure </w:t>
      </w:r>
      <w:bookmarkStart w:id="32" w:name="_Hlk39499943"/>
      <w:r>
        <w:rPr>
          <w:rFonts w:cs="Times New Roman"/>
          <w:b/>
          <w:bCs/>
          <w:szCs w:val="24"/>
        </w:rPr>
        <w:t>2.</w:t>
      </w:r>
      <w:r w:rsidR="00DA57DF">
        <w:rPr>
          <w:rFonts w:cs="Times New Roman"/>
          <w:b/>
          <w:bCs/>
          <w:szCs w:val="24"/>
        </w:rPr>
        <w:t>6</w:t>
      </w:r>
      <w:r w:rsidRPr="00732FF6">
        <w:rPr>
          <w:rFonts w:cs="Times New Roman"/>
          <w:b/>
          <w:bCs/>
          <w:szCs w:val="24"/>
        </w:rPr>
        <w:t xml:space="preserve"> Serotonin modulators interfere with PLL development</w:t>
      </w:r>
      <w:bookmarkEnd w:id="32"/>
      <w:r w:rsidRPr="00732FF6">
        <w:rPr>
          <w:rFonts w:cs="Times New Roman"/>
          <w:b/>
          <w:bCs/>
          <w:szCs w:val="24"/>
        </w:rPr>
        <w:t>.</w:t>
      </w:r>
      <w:r w:rsidRPr="00732FF6">
        <w:rPr>
          <w:rFonts w:cs="Times New Roman"/>
          <w:szCs w:val="24"/>
        </w:rPr>
        <w:t xml:space="preserve"> Images of </w:t>
      </w:r>
      <w:r w:rsidR="00F814BB">
        <w:rPr>
          <w:rFonts w:cs="Times New Roman"/>
          <w:szCs w:val="24"/>
        </w:rPr>
        <w:t>four</w:t>
      </w:r>
      <w:r w:rsidR="00651754">
        <w:rPr>
          <w:rFonts w:cs="Times New Roman"/>
          <w:szCs w:val="24"/>
        </w:rPr>
        <w:t xml:space="preserve"> </w:t>
      </w:r>
      <w:r w:rsidRPr="00732FF6">
        <w:rPr>
          <w:rFonts w:cs="Times New Roman"/>
          <w:szCs w:val="24"/>
        </w:rPr>
        <w:t xml:space="preserve">dpf </w:t>
      </w:r>
      <w:r w:rsidR="009A0B96">
        <w:rPr>
          <w:rFonts w:cs="Times New Roman"/>
          <w:i/>
          <w:iCs/>
          <w:szCs w:val="24"/>
        </w:rPr>
        <w:t>T</w:t>
      </w:r>
      <w:r w:rsidRPr="00732FF6">
        <w:rPr>
          <w:rFonts w:cs="Times New Roman"/>
          <w:i/>
          <w:iCs/>
          <w:szCs w:val="24"/>
        </w:rPr>
        <w:t>g</w:t>
      </w:r>
      <w:r w:rsidR="009A0B96">
        <w:rPr>
          <w:rFonts w:cs="Times New Roman"/>
          <w:i/>
          <w:iCs/>
          <w:szCs w:val="24"/>
        </w:rPr>
        <w:t> </w:t>
      </w:r>
      <w:r w:rsidRPr="00732FF6">
        <w:rPr>
          <w:rFonts w:cs="Times New Roman"/>
          <w:i/>
          <w:iCs/>
          <w:szCs w:val="24"/>
        </w:rPr>
        <w:t>(neuromast:GFP)</w:t>
      </w:r>
      <w:r w:rsidRPr="00732FF6">
        <w:rPr>
          <w:rFonts w:cs="Times New Roman"/>
          <w:szCs w:val="24"/>
        </w:rPr>
        <w:t xml:space="preserve"> larvae exposed to serotonin modulators from </w:t>
      </w:r>
      <w:r w:rsidR="00F814BB">
        <w:rPr>
          <w:rFonts w:cs="Times New Roman"/>
          <w:szCs w:val="24"/>
        </w:rPr>
        <w:t>five</w:t>
      </w:r>
      <w:r w:rsidRPr="00732FF6">
        <w:rPr>
          <w:rFonts w:cs="Times New Roman"/>
          <w:szCs w:val="24"/>
        </w:rPr>
        <w:t xml:space="preserve"> hpf. The neuromasts enclosed within the dashed white boxes were assessed for variations from the vehicle</w:t>
      </w:r>
      <w:r w:rsidR="00181437">
        <w:rPr>
          <w:rFonts w:cs="Times New Roman"/>
          <w:szCs w:val="24"/>
        </w:rPr>
        <w:t>-</w:t>
      </w:r>
      <w:r w:rsidRPr="00732FF6">
        <w:rPr>
          <w:rFonts w:cs="Times New Roman"/>
          <w:szCs w:val="24"/>
        </w:rPr>
        <w:t xml:space="preserve">treated embryos; A. Vehicle (E3); B. 1 </w:t>
      </w:r>
      <w:r w:rsidR="008C29DF">
        <w:rPr>
          <w:rFonts w:cs="Times New Roman"/>
          <w:szCs w:val="24"/>
        </w:rPr>
        <w:t>µ</w:t>
      </w:r>
      <w:r w:rsidRPr="00732FF6">
        <w:rPr>
          <w:rFonts w:cs="Times New Roman"/>
          <w:szCs w:val="24"/>
        </w:rPr>
        <w:t xml:space="preserve">M Methylene Blue; C. 10 </w:t>
      </w:r>
      <w:r w:rsidR="008C29DF">
        <w:rPr>
          <w:rFonts w:cs="Times New Roman"/>
          <w:szCs w:val="24"/>
        </w:rPr>
        <w:t>µ</w:t>
      </w:r>
      <w:r w:rsidRPr="00732FF6">
        <w:rPr>
          <w:rFonts w:cs="Times New Roman"/>
          <w:szCs w:val="24"/>
        </w:rPr>
        <w:t xml:space="preserve">M Fluoxetine; D. 20 </w:t>
      </w:r>
      <w:r w:rsidR="008C29DF">
        <w:rPr>
          <w:rFonts w:cs="Times New Roman"/>
          <w:szCs w:val="24"/>
        </w:rPr>
        <w:t>µ</w:t>
      </w:r>
      <w:r w:rsidRPr="00732FF6">
        <w:rPr>
          <w:rFonts w:cs="Times New Roman"/>
          <w:szCs w:val="24"/>
        </w:rPr>
        <w:t xml:space="preserve">M PCPA; E. 1 </w:t>
      </w:r>
      <w:r w:rsidR="008C29DF">
        <w:rPr>
          <w:rFonts w:cs="Times New Roman"/>
          <w:szCs w:val="24"/>
        </w:rPr>
        <w:t>µ</w:t>
      </w:r>
      <w:r w:rsidRPr="00732FF6">
        <w:rPr>
          <w:rFonts w:cs="Times New Roman"/>
          <w:szCs w:val="24"/>
        </w:rPr>
        <w:t>M Clorgyline</w:t>
      </w:r>
    </w:p>
    <w:p w14:paraId="248A27CA" w14:textId="77777777" w:rsidR="0069328F" w:rsidRDefault="0069328F" w:rsidP="00242745">
      <w:pPr>
        <w:pStyle w:val="NoSpacing"/>
        <w:spacing w:line="276" w:lineRule="auto"/>
        <w:contextualSpacing/>
        <w:jc w:val="both"/>
        <w:rPr>
          <w:rFonts w:cs="Times New Roman"/>
          <w:szCs w:val="24"/>
        </w:rPr>
      </w:pPr>
      <w:r>
        <w:rPr>
          <w:rFonts w:cs="Times New Roman"/>
          <w:noProof/>
          <w:szCs w:val="24"/>
        </w:rPr>
        <w:lastRenderedPageBreak/>
        <w:drawing>
          <wp:inline distT="0" distB="0" distL="0" distR="0" wp14:anchorId="4439190C" wp14:editId="7ECB05DD">
            <wp:extent cx="5852160" cy="6648372"/>
            <wp:effectExtent l="0" t="0" r="0" b="63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laqkc\Downloads\Figure 2.6.PN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852160" cy="6648372"/>
                    </a:xfrm>
                    <a:prstGeom prst="rect">
                      <a:avLst/>
                    </a:prstGeom>
                    <a:noFill/>
                    <a:ln>
                      <a:noFill/>
                    </a:ln>
                    <a:extLst>
                      <a:ext uri="{53640926-AAD7-44D8-BBD7-CCE9431645EC}">
                        <a14:shadowObscured xmlns:a14="http://schemas.microsoft.com/office/drawing/2010/main"/>
                      </a:ext>
                    </a:extLst>
                  </pic:spPr>
                </pic:pic>
              </a:graphicData>
            </a:graphic>
          </wp:inline>
        </w:drawing>
      </w:r>
    </w:p>
    <w:p w14:paraId="6325365D" w14:textId="36DE12F8" w:rsidR="0069328F" w:rsidRPr="00732FF6" w:rsidRDefault="0069328F" w:rsidP="00205E0F">
      <w:pPr>
        <w:pStyle w:val="NoSpacing"/>
        <w:contextualSpacing/>
        <w:jc w:val="both"/>
        <w:rPr>
          <w:rFonts w:cs="Times New Roman"/>
          <w:szCs w:val="24"/>
        </w:rPr>
      </w:pPr>
      <w:r w:rsidRPr="00732FF6">
        <w:rPr>
          <w:rFonts w:cs="Times New Roman"/>
          <w:b/>
          <w:bCs/>
          <w:szCs w:val="24"/>
        </w:rPr>
        <w:t xml:space="preserve">Figure </w:t>
      </w:r>
      <w:bookmarkStart w:id="33" w:name="_Hlk39499963"/>
      <w:r>
        <w:rPr>
          <w:rFonts w:cs="Times New Roman"/>
          <w:b/>
          <w:bCs/>
          <w:szCs w:val="24"/>
        </w:rPr>
        <w:t>2.</w:t>
      </w:r>
      <w:r w:rsidR="00DA57DF">
        <w:rPr>
          <w:rFonts w:cs="Times New Roman"/>
          <w:b/>
          <w:bCs/>
          <w:szCs w:val="24"/>
        </w:rPr>
        <w:t>7</w:t>
      </w:r>
      <w:r w:rsidRPr="00732FF6">
        <w:rPr>
          <w:rFonts w:cs="Times New Roman"/>
          <w:b/>
          <w:bCs/>
          <w:szCs w:val="24"/>
        </w:rPr>
        <w:t xml:space="preserve"> Serotonin modulators affect PLL development in </w:t>
      </w:r>
      <w:r w:rsidR="00181437">
        <w:rPr>
          <w:rFonts w:cs="Times New Roman"/>
          <w:b/>
          <w:bCs/>
          <w:szCs w:val="24"/>
        </w:rPr>
        <w:t xml:space="preserve">a </w:t>
      </w:r>
      <w:r w:rsidRPr="00732FF6">
        <w:rPr>
          <w:rFonts w:cs="Times New Roman"/>
          <w:b/>
          <w:bCs/>
          <w:szCs w:val="24"/>
        </w:rPr>
        <w:t>dose</w:t>
      </w:r>
      <w:r w:rsidR="00181437">
        <w:rPr>
          <w:rFonts w:cs="Times New Roman"/>
          <w:b/>
          <w:bCs/>
          <w:szCs w:val="24"/>
        </w:rPr>
        <w:t>-</w:t>
      </w:r>
      <w:r w:rsidRPr="00732FF6">
        <w:rPr>
          <w:rFonts w:cs="Times New Roman"/>
          <w:b/>
          <w:bCs/>
          <w:szCs w:val="24"/>
        </w:rPr>
        <w:t>dependent manner</w:t>
      </w:r>
      <w:bookmarkEnd w:id="33"/>
      <w:r w:rsidRPr="00732FF6">
        <w:rPr>
          <w:rFonts w:cs="Times New Roman"/>
          <w:b/>
          <w:bCs/>
          <w:szCs w:val="24"/>
        </w:rPr>
        <w:t xml:space="preserve">. </w:t>
      </w:r>
      <w:r w:rsidRPr="00732FF6">
        <w:rPr>
          <w:rFonts w:cs="Times New Roman"/>
          <w:szCs w:val="24"/>
        </w:rPr>
        <w:t xml:space="preserve">Graphs show </w:t>
      </w:r>
      <w:r w:rsidR="00181437">
        <w:rPr>
          <w:rFonts w:cs="Times New Roman"/>
          <w:szCs w:val="24"/>
        </w:rPr>
        <w:t xml:space="preserve">the </w:t>
      </w:r>
      <w:r w:rsidRPr="00732FF6">
        <w:rPr>
          <w:rFonts w:cs="Times New Roman"/>
          <w:szCs w:val="24"/>
        </w:rPr>
        <w:t xml:space="preserve">percentage of zebrafish larvae with disrupted PLL development vs concentration of serotonin modulators. n=20 per concentration. Embryos were exposed to chemicals from </w:t>
      </w:r>
      <w:r w:rsidR="00F814BB">
        <w:rPr>
          <w:rFonts w:cs="Times New Roman"/>
          <w:szCs w:val="24"/>
        </w:rPr>
        <w:t>five </w:t>
      </w:r>
      <w:r w:rsidRPr="00732FF6">
        <w:rPr>
          <w:rFonts w:cs="Times New Roman"/>
          <w:szCs w:val="24"/>
        </w:rPr>
        <w:t xml:space="preserve">hpf. Effects were assessed at </w:t>
      </w:r>
      <w:r w:rsidR="00F814BB">
        <w:rPr>
          <w:rFonts w:cs="Times New Roman"/>
          <w:szCs w:val="24"/>
        </w:rPr>
        <w:t>four</w:t>
      </w:r>
      <w:r w:rsidR="00651754">
        <w:rPr>
          <w:rFonts w:cs="Times New Roman"/>
          <w:szCs w:val="24"/>
        </w:rPr>
        <w:t xml:space="preserve"> </w:t>
      </w:r>
      <w:r w:rsidRPr="00732FF6">
        <w:rPr>
          <w:rFonts w:cs="Times New Roman"/>
          <w:szCs w:val="24"/>
        </w:rPr>
        <w:t>dpf. A. Methylene Blue; B. Fluoxetine; C. PCPA; D. Clorgyline</w:t>
      </w:r>
    </w:p>
    <w:p w14:paraId="25A380A7" w14:textId="77777777" w:rsidR="0069328F" w:rsidRDefault="0069328F" w:rsidP="00A5237A">
      <w:pPr>
        <w:pStyle w:val="NoSpacing"/>
        <w:spacing w:line="480" w:lineRule="auto"/>
        <w:contextualSpacing/>
        <w:jc w:val="both"/>
        <w:rPr>
          <w:rFonts w:cs="Times New Roman"/>
          <w:szCs w:val="24"/>
        </w:rPr>
      </w:pPr>
    </w:p>
    <w:p w14:paraId="56E030FB" w14:textId="77777777" w:rsidR="0069328F" w:rsidRDefault="0069328F" w:rsidP="00242745">
      <w:pPr>
        <w:pStyle w:val="NoSpacing"/>
        <w:spacing w:line="276" w:lineRule="auto"/>
        <w:contextualSpacing/>
        <w:jc w:val="both"/>
      </w:pPr>
      <w:r>
        <w:rPr>
          <w:noProof/>
        </w:rPr>
        <w:lastRenderedPageBreak/>
        <w:drawing>
          <wp:inline distT="0" distB="0" distL="0" distR="0" wp14:anchorId="7A1B134B" wp14:editId="4DACD869">
            <wp:extent cx="5852160" cy="6692322"/>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laqkc\Downloads\Figure 2.7.PN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852160" cy="6692322"/>
                    </a:xfrm>
                    <a:prstGeom prst="rect">
                      <a:avLst/>
                    </a:prstGeom>
                    <a:noFill/>
                    <a:ln>
                      <a:noFill/>
                    </a:ln>
                    <a:extLst>
                      <a:ext uri="{53640926-AAD7-44D8-BBD7-CCE9431645EC}">
                        <a14:shadowObscured xmlns:a14="http://schemas.microsoft.com/office/drawing/2010/main"/>
                      </a:ext>
                    </a:extLst>
                  </pic:spPr>
                </pic:pic>
              </a:graphicData>
            </a:graphic>
          </wp:inline>
        </w:drawing>
      </w:r>
    </w:p>
    <w:p w14:paraId="03464592" w14:textId="6570968E" w:rsidR="0069328F" w:rsidRPr="00732FF6" w:rsidRDefault="0069328F" w:rsidP="00205E0F">
      <w:pPr>
        <w:pStyle w:val="NoSpacing"/>
        <w:contextualSpacing/>
        <w:jc w:val="both"/>
      </w:pPr>
      <w:r w:rsidRPr="00732FF6">
        <w:rPr>
          <w:b/>
          <w:bCs/>
        </w:rPr>
        <w:t xml:space="preserve">Figure </w:t>
      </w:r>
      <w:bookmarkStart w:id="34" w:name="_Hlk39499983"/>
      <w:r>
        <w:rPr>
          <w:b/>
          <w:bCs/>
        </w:rPr>
        <w:t>2.</w:t>
      </w:r>
      <w:r w:rsidR="007052C2">
        <w:rPr>
          <w:b/>
          <w:bCs/>
        </w:rPr>
        <w:t>8</w:t>
      </w:r>
      <w:r w:rsidRPr="00732FF6">
        <w:rPr>
          <w:b/>
          <w:bCs/>
        </w:rPr>
        <w:t xml:space="preserve"> Serotonin modulators affect zebrafish serotonin levels</w:t>
      </w:r>
      <w:bookmarkEnd w:id="34"/>
      <w:r w:rsidRPr="00732FF6">
        <w:rPr>
          <w:b/>
          <w:bCs/>
        </w:rPr>
        <w:t xml:space="preserve">. </w:t>
      </w:r>
      <w:r w:rsidRPr="00732FF6">
        <w:t xml:space="preserve">Dorsal view of 5-HT immunostained </w:t>
      </w:r>
      <w:r w:rsidR="00F814BB">
        <w:t>four</w:t>
      </w:r>
      <w:r w:rsidR="00651754">
        <w:t xml:space="preserve"> </w:t>
      </w:r>
      <w:r w:rsidRPr="00732FF6">
        <w:t xml:space="preserve">dpf </w:t>
      </w:r>
      <w:r w:rsidR="009A0B96">
        <w:rPr>
          <w:i/>
          <w:iCs/>
        </w:rPr>
        <w:t>T</w:t>
      </w:r>
      <w:r w:rsidRPr="00732FF6">
        <w:rPr>
          <w:i/>
          <w:iCs/>
        </w:rPr>
        <w:t>g</w:t>
      </w:r>
      <w:r w:rsidR="009A0B96">
        <w:rPr>
          <w:i/>
          <w:iCs/>
        </w:rPr>
        <w:t xml:space="preserve"> </w:t>
      </w:r>
      <w:r w:rsidRPr="00732FF6">
        <w:rPr>
          <w:i/>
          <w:iCs/>
        </w:rPr>
        <w:t>(neuromast:GFP)</w:t>
      </w:r>
      <w:r w:rsidRPr="00732FF6">
        <w:t xml:space="preserve"> zebrafish larvae exposed to serotonin modulators.</w:t>
      </w:r>
      <w:r w:rsidRPr="00732FF6">
        <w:rPr>
          <w:b/>
          <w:bCs/>
        </w:rPr>
        <w:t xml:space="preserve"> </w:t>
      </w:r>
      <w:r w:rsidRPr="00732FF6">
        <w:t xml:space="preserve">Embryos were exposed to chemicals from </w:t>
      </w:r>
      <w:r w:rsidR="00F814BB">
        <w:t>five</w:t>
      </w:r>
      <w:r w:rsidR="00651754">
        <w:t xml:space="preserve"> </w:t>
      </w:r>
      <w:r w:rsidRPr="00732FF6">
        <w:t xml:space="preserve">hpf to </w:t>
      </w:r>
      <w:r w:rsidR="00F814BB">
        <w:t>four</w:t>
      </w:r>
      <w:r w:rsidR="00651754">
        <w:t xml:space="preserve"> </w:t>
      </w:r>
      <w:r w:rsidRPr="00732FF6">
        <w:t xml:space="preserve">dpf. Larvae were then fixed, immunostained for serotonin and imaged. </w:t>
      </w:r>
      <w:r w:rsidR="007052C2">
        <w:t xml:space="preserve">The white arrowheads point to the choroid plexus. </w:t>
      </w:r>
      <w:r w:rsidRPr="00732FF6">
        <w:t>A. Vehicle (E3); B. Fluoxetine 33 µM; C. Clorgyline 1 µM; D. Clorgyline 3.3 µM; E. Methylene Blue 1 µM; F. Methylene Blue 10 µM; G. pCPA 10 µM; H. pCPA 20 µM.</w:t>
      </w:r>
    </w:p>
    <w:p w14:paraId="082FBA56" w14:textId="6848B4F5" w:rsidR="0069328F" w:rsidRPr="00456C42" w:rsidRDefault="0069328F" w:rsidP="00317481">
      <w:pPr>
        <w:pStyle w:val="Heading3"/>
        <w:rPr>
          <w:rFonts w:eastAsia="Times New Roman"/>
        </w:rPr>
      </w:pPr>
      <w:bookmarkStart w:id="35" w:name="_Toc39502044"/>
      <w:r w:rsidRPr="00456C42">
        <w:rPr>
          <w:rFonts w:eastAsia="Times New Roman"/>
        </w:rPr>
        <w:lastRenderedPageBreak/>
        <w:t xml:space="preserve">2.2.4 Toxicity </w:t>
      </w:r>
      <w:r w:rsidR="00181B79">
        <w:rPr>
          <w:rFonts w:eastAsia="Times New Roman"/>
        </w:rPr>
        <w:t>P</w:t>
      </w:r>
      <w:r w:rsidRPr="00456C42">
        <w:rPr>
          <w:rFonts w:eastAsia="Times New Roman"/>
        </w:rPr>
        <w:t xml:space="preserve">rediction </w:t>
      </w:r>
      <w:r w:rsidR="00181B79">
        <w:rPr>
          <w:rFonts w:eastAsia="Times New Roman"/>
        </w:rPr>
        <w:t>B</w:t>
      </w:r>
      <w:r w:rsidRPr="00456C42">
        <w:rPr>
          <w:rFonts w:eastAsia="Times New Roman"/>
        </w:rPr>
        <w:t xml:space="preserve">ased on ToxCast </w:t>
      </w:r>
      <w:r w:rsidR="00181B79">
        <w:rPr>
          <w:rFonts w:eastAsia="Times New Roman"/>
        </w:rPr>
        <w:t>A</w:t>
      </w:r>
      <w:r w:rsidRPr="00456C42">
        <w:rPr>
          <w:rFonts w:eastAsia="Times New Roman"/>
        </w:rPr>
        <w:t xml:space="preserve">ssay </w:t>
      </w:r>
      <w:r w:rsidR="00181B79">
        <w:rPr>
          <w:rFonts w:eastAsia="Times New Roman"/>
        </w:rPr>
        <w:t>T</w:t>
      </w:r>
      <w:r w:rsidRPr="00456C42">
        <w:rPr>
          <w:rFonts w:eastAsia="Times New Roman"/>
        </w:rPr>
        <w:t>argets</w:t>
      </w:r>
      <w:bookmarkEnd w:id="35"/>
    </w:p>
    <w:p w14:paraId="2A0C2ABE" w14:textId="05E0FF2F" w:rsidR="0069328F" w:rsidRPr="00D87811" w:rsidRDefault="0069328F" w:rsidP="00242745">
      <w:pPr>
        <w:spacing w:before="0" w:line="480" w:lineRule="auto"/>
        <w:jc w:val="both"/>
        <w:rPr>
          <w:rFonts w:cs="Times New Roman"/>
          <w:szCs w:val="24"/>
        </w:rPr>
      </w:pPr>
      <w:r w:rsidRPr="00D87811">
        <w:rPr>
          <w:rFonts w:cs="Times New Roman"/>
          <w:szCs w:val="24"/>
        </w:rPr>
        <w:t xml:space="preserve">The </w:t>
      </w:r>
      <w:r w:rsidR="00F814BB">
        <w:rPr>
          <w:rFonts w:cs="Times New Roman"/>
          <w:szCs w:val="24"/>
        </w:rPr>
        <w:t>five</w:t>
      </w:r>
      <w:r w:rsidRPr="00D87811">
        <w:rPr>
          <w:rFonts w:cs="Times New Roman"/>
          <w:szCs w:val="24"/>
        </w:rPr>
        <w:t xml:space="preserve"> serotonergic related assays from the univariate analysis were used to predict new PLLDs. The chemicals that have been tested for these assays and their respective AC</w:t>
      </w:r>
      <w:r w:rsidRPr="00D87811">
        <w:rPr>
          <w:rFonts w:cs="Times New Roman"/>
          <w:szCs w:val="24"/>
          <w:vertAlign w:val="subscript"/>
        </w:rPr>
        <w:t>50</w:t>
      </w:r>
      <w:r w:rsidRPr="00D87811">
        <w:rPr>
          <w:rFonts w:cs="Times New Roman"/>
          <w:szCs w:val="24"/>
        </w:rPr>
        <w:t xml:space="preserve"> values were extracted from ToxCast data. The ToxPi ranking tool was used to rank these compounds based on their ToxPi score. About 500 compounds were ranked </w:t>
      </w:r>
      <w:r w:rsidRPr="002F5392">
        <w:rPr>
          <w:rFonts w:cs="Times New Roman"/>
          <w:szCs w:val="24"/>
        </w:rPr>
        <w:t>(</w:t>
      </w:r>
      <w:r w:rsidRPr="009F6326">
        <w:rPr>
          <w:rStyle w:val="Strong"/>
        </w:rPr>
        <w:t>Figure 2.</w:t>
      </w:r>
      <w:r w:rsidR="009162B3">
        <w:rPr>
          <w:rStyle w:val="Strong"/>
        </w:rPr>
        <w:t>9</w:t>
      </w:r>
      <w:r w:rsidRPr="002F5392">
        <w:rPr>
          <w:rFonts w:cs="Times New Roman"/>
          <w:szCs w:val="24"/>
        </w:rPr>
        <w:t xml:space="preserve">). To evaluate the prediction, the top </w:t>
      </w:r>
      <w:r w:rsidR="009A0B96">
        <w:rPr>
          <w:rFonts w:cs="Times New Roman"/>
          <w:szCs w:val="24"/>
        </w:rPr>
        <w:t>nine</w:t>
      </w:r>
      <w:r w:rsidRPr="002F5392">
        <w:rPr>
          <w:rFonts w:cs="Times New Roman"/>
          <w:szCs w:val="24"/>
        </w:rPr>
        <w:t xml:space="preserve"> compounds, </w:t>
      </w:r>
      <w:r w:rsidR="009A0B96">
        <w:rPr>
          <w:rFonts w:cs="Times New Roman"/>
          <w:szCs w:val="24"/>
        </w:rPr>
        <w:t>three</w:t>
      </w:r>
      <w:r w:rsidRPr="002F5392">
        <w:rPr>
          <w:rFonts w:cs="Times New Roman"/>
          <w:szCs w:val="24"/>
        </w:rPr>
        <w:t xml:space="preserve"> compounds with the lowest score</w:t>
      </w:r>
      <w:r w:rsidR="00181437">
        <w:rPr>
          <w:rFonts w:cs="Times New Roman"/>
          <w:szCs w:val="24"/>
        </w:rPr>
        <w:t>,</w:t>
      </w:r>
      <w:r w:rsidRPr="002F5392">
        <w:rPr>
          <w:rFonts w:cs="Times New Roman"/>
          <w:szCs w:val="24"/>
        </w:rPr>
        <w:t xml:space="preserve"> and </w:t>
      </w:r>
      <w:r w:rsidR="009A0B96">
        <w:rPr>
          <w:rFonts w:cs="Times New Roman"/>
          <w:szCs w:val="24"/>
        </w:rPr>
        <w:t>three</w:t>
      </w:r>
      <w:r w:rsidRPr="002F5392">
        <w:rPr>
          <w:rFonts w:cs="Times New Roman"/>
          <w:szCs w:val="24"/>
        </w:rPr>
        <w:t xml:space="preserve"> compounds with a zero score were tested in zebrafish (</w:t>
      </w:r>
      <w:r w:rsidRPr="009F6326">
        <w:rPr>
          <w:rStyle w:val="Strong"/>
        </w:rPr>
        <w:t>Figure 2.</w:t>
      </w:r>
      <w:r w:rsidR="009162B3">
        <w:rPr>
          <w:rStyle w:val="Strong"/>
        </w:rPr>
        <w:t>9</w:t>
      </w:r>
      <w:r w:rsidRPr="002F5392">
        <w:rPr>
          <w:rFonts w:cs="Times New Roman"/>
          <w:szCs w:val="24"/>
        </w:rPr>
        <w:t>).</w:t>
      </w:r>
      <w:r w:rsidRPr="00D87811">
        <w:rPr>
          <w:rFonts w:cs="Times New Roman"/>
          <w:szCs w:val="24"/>
        </w:rPr>
        <w:t xml:space="preserve"> </w:t>
      </w:r>
    </w:p>
    <w:p w14:paraId="6E258863" w14:textId="77777777" w:rsidR="0069328F" w:rsidRDefault="0069328F" w:rsidP="00242745">
      <w:pPr>
        <w:spacing w:before="0" w:after="0" w:line="276" w:lineRule="auto"/>
        <w:jc w:val="both"/>
        <w:rPr>
          <w:rFonts w:cs="Times New Roman"/>
          <w:szCs w:val="24"/>
        </w:rPr>
      </w:pPr>
      <w:r>
        <w:rPr>
          <w:rFonts w:cs="Times New Roman"/>
          <w:noProof/>
          <w:szCs w:val="24"/>
        </w:rPr>
        <w:drawing>
          <wp:inline distT="0" distB="0" distL="0" distR="0" wp14:anchorId="1385957F" wp14:editId="7AF707FC">
            <wp:extent cx="5852160" cy="3714064"/>
            <wp:effectExtent l="0" t="0" r="0" b="1270"/>
            <wp:docPr id="259" name="Picture 259" descr="C:\Users\jlaqkc\Downloads\Figure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laqkc\Downloads\Figure 2.8.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3014" b="27454"/>
                    <a:stretch/>
                  </pic:blipFill>
                  <pic:spPr bwMode="auto">
                    <a:xfrm>
                      <a:off x="0" y="0"/>
                      <a:ext cx="5852160" cy="3714064"/>
                    </a:xfrm>
                    <a:prstGeom prst="rect">
                      <a:avLst/>
                    </a:prstGeom>
                    <a:noFill/>
                    <a:ln>
                      <a:noFill/>
                    </a:ln>
                    <a:extLst>
                      <a:ext uri="{53640926-AAD7-44D8-BBD7-CCE9431645EC}">
                        <a14:shadowObscured xmlns:a14="http://schemas.microsoft.com/office/drawing/2010/main"/>
                      </a:ext>
                    </a:extLst>
                  </pic:spPr>
                </pic:pic>
              </a:graphicData>
            </a:graphic>
          </wp:inline>
        </w:drawing>
      </w:r>
    </w:p>
    <w:p w14:paraId="30EE3CAB" w14:textId="1A5B927D" w:rsidR="0069328F" w:rsidRPr="00D91F02" w:rsidRDefault="0069328F" w:rsidP="00205E0F">
      <w:pPr>
        <w:spacing w:before="0" w:after="0" w:line="240" w:lineRule="auto"/>
        <w:jc w:val="both"/>
        <w:rPr>
          <w:rFonts w:cs="Times New Roman"/>
          <w:bCs/>
          <w:szCs w:val="24"/>
        </w:rPr>
      </w:pPr>
      <w:r w:rsidRPr="006A3311">
        <w:rPr>
          <w:rFonts w:cs="Times New Roman"/>
          <w:b/>
          <w:szCs w:val="24"/>
        </w:rPr>
        <w:t xml:space="preserve">Figure </w:t>
      </w:r>
      <w:bookmarkStart w:id="36" w:name="_Hlk39500007"/>
      <w:r w:rsidRPr="006A3311">
        <w:rPr>
          <w:rFonts w:cs="Times New Roman"/>
          <w:b/>
          <w:szCs w:val="24"/>
        </w:rPr>
        <w:t>2.</w:t>
      </w:r>
      <w:r w:rsidR="009162B3">
        <w:rPr>
          <w:rFonts w:cs="Times New Roman"/>
          <w:b/>
          <w:szCs w:val="24"/>
        </w:rPr>
        <w:t>9</w:t>
      </w:r>
      <w:r w:rsidRPr="0069328F">
        <w:rPr>
          <w:rFonts w:cs="Times New Roman"/>
          <w:b/>
          <w:szCs w:val="24"/>
        </w:rPr>
        <w:t xml:space="preserve"> Prioritizing predicted PLLD chemicals to be tested based on their ToxPi scores</w:t>
      </w:r>
      <w:bookmarkEnd w:id="36"/>
      <w:r w:rsidR="009162B3">
        <w:rPr>
          <w:rFonts w:cs="Times New Roman"/>
          <w:b/>
          <w:szCs w:val="24"/>
        </w:rPr>
        <w:t xml:space="preserve">. </w:t>
      </w:r>
      <w:r w:rsidR="009162B3">
        <w:rPr>
          <w:rFonts w:cs="Times New Roman"/>
          <w:bCs/>
          <w:szCs w:val="24"/>
        </w:rPr>
        <w:t>AC</w:t>
      </w:r>
      <w:r w:rsidR="009162B3" w:rsidRPr="00242745">
        <w:rPr>
          <w:rFonts w:cs="Times New Roman"/>
          <w:bCs/>
          <w:szCs w:val="24"/>
          <w:vertAlign w:val="subscript"/>
        </w:rPr>
        <w:t>50</w:t>
      </w:r>
      <w:r w:rsidR="009162B3">
        <w:rPr>
          <w:rFonts w:cs="Times New Roman"/>
          <w:bCs/>
          <w:szCs w:val="24"/>
        </w:rPr>
        <w:t xml:space="preserve"> values were obtained and ToxPi scores were calculated for all compounds tested in the five serotonin assays identified through univariate analysis.</w:t>
      </w:r>
    </w:p>
    <w:p w14:paraId="3B03C364" w14:textId="77777777" w:rsidR="009F6326" w:rsidRDefault="009F6326" w:rsidP="00A5237A">
      <w:pPr>
        <w:spacing w:line="480" w:lineRule="auto"/>
        <w:jc w:val="both"/>
        <w:rPr>
          <w:rFonts w:cs="Times New Roman"/>
          <w:bCs/>
          <w:szCs w:val="24"/>
        </w:rPr>
      </w:pPr>
    </w:p>
    <w:p w14:paraId="59273046" w14:textId="6C6F5976" w:rsidR="0069328F" w:rsidRDefault="0069328F" w:rsidP="00242745">
      <w:pPr>
        <w:spacing w:after="0" w:line="480" w:lineRule="auto"/>
        <w:jc w:val="both"/>
        <w:rPr>
          <w:rFonts w:cs="Times New Roman"/>
          <w:bCs/>
          <w:szCs w:val="24"/>
        </w:rPr>
      </w:pPr>
      <w:r w:rsidRPr="006A3311">
        <w:rPr>
          <w:rFonts w:cs="Times New Roman"/>
          <w:bCs/>
          <w:szCs w:val="24"/>
        </w:rPr>
        <w:lastRenderedPageBreak/>
        <w:t xml:space="preserve">Among the top </w:t>
      </w:r>
      <w:r w:rsidR="0046734B">
        <w:rPr>
          <w:rFonts w:cs="Times New Roman"/>
          <w:bCs/>
          <w:szCs w:val="24"/>
        </w:rPr>
        <w:t>eleven</w:t>
      </w:r>
      <w:r w:rsidRPr="006A3311">
        <w:rPr>
          <w:rFonts w:cs="Times New Roman"/>
          <w:bCs/>
          <w:szCs w:val="24"/>
        </w:rPr>
        <w:t xml:space="preserve"> compounds, </w:t>
      </w:r>
      <w:r w:rsidR="0046734B">
        <w:rPr>
          <w:rFonts w:cs="Times New Roman"/>
          <w:bCs/>
          <w:szCs w:val="24"/>
        </w:rPr>
        <w:t>three</w:t>
      </w:r>
      <w:r w:rsidRPr="006A3311">
        <w:rPr>
          <w:rFonts w:cs="Times New Roman"/>
          <w:bCs/>
          <w:szCs w:val="24"/>
        </w:rPr>
        <w:t xml:space="preserve"> compounds had already been identified as PLLDs from our HTS and follow-up screening and were highly correlated to all </w:t>
      </w:r>
      <w:r w:rsidR="0046734B">
        <w:rPr>
          <w:rFonts w:cs="Times New Roman"/>
          <w:bCs/>
          <w:szCs w:val="24"/>
        </w:rPr>
        <w:t>five</w:t>
      </w:r>
      <w:r w:rsidRPr="006A3311">
        <w:rPr>
          <w:rFonts w:cs="Times New Roman"/>
          <w:bCs/>
          <w:szCs w:val="24"/>
        </w:rPr>
        <w:t xml:space="preserve"> serotonin </w:t>
      </w:r>
      <w:r w:rsidRPr="002F5392">
        <w:rPr>
          <w:rFonts w:cs="Times New Roman"/>
          <w:bCs/>
          <w:szCs w:val="24"/>
        </w:rPr>
        <w:t>assays (</w:t>
      </w:r>
      <w:r w:rsidRPr="009F6326">
        <w:rPr>
          <w:rStyle w:val="Strong"/>
        </w:rPr>
        <w:t>Table 2.2</w:t>
      </w:r>
      <w:r w:rsidRPr="002F5392">
        <w:rPr>
          <w:rFonts w:cs="Times New Roman"/>
          <w:bCs/>
          <w:szCs w:val="24"/>
        </w:rPr>
        <w:t>).</w:t>
      </w:r>
      <w:r w:rsidRPr="006A3311">
        <w:rPr>
          <w:rFonts w:cs="Times New Roman"/>
          <w:bCs/>
          <w:szCs w:val="24"/>
        </w:rPr>
        <w:t xml:space="preserve"> Those compounds were difenoconazole, prochloraz</w:t>
      </w:r>
      <w:r w:rsidR="00027152">
        <w:rPr>
          <w:rFonts w:cs="Times New Roman"/>
          <w:bCs/>
          <w:szCs w:val="24"/>
        </w:rPr>
        <w:t>,</w:t>
      </w:r>
      <w:r w:rsidRPr="006A3311">
        <w:rPr>
          <w:rFonts w:cs="Times New Roman"/>
          <w:bCs/>
          <w:szCs w:val="24"/>
        </w:rPr>
        <w:t xml:space="preserve"> and thidiazuron, and among them prochloraz was retested. </w:t>
      </w:r>
    </w:p>
    <w:p w14:paraId="4F73D9A0" w14:textId="77777777" w:rsidR="0069328F" w:rsidRDefault="0069328F" w:rsidP="00242745">
      <w:pPr>
        <w:spacing w:before="0" w:after="0" w:line="480" w:lineRule="auto"/>
        <w:jc w:val="both"/>
        <w:rPr>
          <w:rFonts w:cs="Times New Roman"/>
          <w:bCs/>
          <w:szCs w:val="24"/>
        </w:rPr>
      </w:pPr>
      <w:r>
        <w:rPr>
          <w:rFonts w:cs="Times New Roman"/>
          <w:bCs/>
          <w:noProof/>
          <w:szCs w:val="24"/>
        </w:rPr>
        <w:drawing>
          <wp:inline distT="0" distB="0" distL="0" distR="0" wp14:anchorId="4CFF1A4A" wp14:editId="71FA5890">
            <wp:extent cx="5486400" cy="6568623"/>
            <wp:effectExtent l="0" t="0" r="0" b="3810"/>
            <wp:docPr id="260" name="Picture 260" descr="C:\Users\jlaqkc\Downloads\Tabl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laqkc\Downloads\Table 2.2.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25424"/>
                    <a:stretch/>
                  </pic:blipFill>
                  <pic:spPr bwMode="auto">
                    <a:xfrm>
                      <a:off x="0" y="0"/>
                      <a:ext cx="5486400" cy="6568623"/>
                    </a:xfrm>
                    <a:prstGeom prst="rect">
                      <a:avLst/>
                    </a:prstGeom>
                    <a:noFill/>
                    <a:ln>
                      <a:noFill/>
                    </a:ln>
                    <a:extLst>
                      <a:ext uri="{53640926-AAD7-44D8-BBD7-CCE9431645EC}">
                        <a14:shadowObscured xmlns:a14="http://schemas.microsoft.com/office/drawing/2010/main"/>
                      </a:ext>
                    </a:extLst>
                  </pic:spPr>
                </pic:pic>
              </a:graphicData>
            </a:graphic>
          </wp:inline>
        </w:drawing>
      </w:r>
    </w:p>
    <w:p w14:paraId="40B84A43" w14:textId="17E43B70" w:rsidR="0069328F" w:rsidRDefault="0069328F" w:rsidP="00A5237A">
      <w:pPr>
        <w:spacing w:line="480" w:lineRule="auto"/>
        <w:jc w:val="both"/>
        <w:rPr>
          <w:rFonts w:cs="Times New Roman"/>
          <w:szCs w:val="24"/>
        </w:rPr>
      </w:pPr>
      <w:r w:rsidRPr="006A3311">
        <w:rPr>
          <w:rFonts w:cs="Times New Roman"/>
          <w:bCs/>
          <w:szCs w:val="24"/>
        </w:rPr>
        <w:lastRenderedPageBreak/>
        <w:t xml:space="preserve">The other </w:t>
      </w:r>
      <w:r w:rsidR="00027152">
        <w:rPr>
          <w:rFonts w:cs="Times New Roman"/>
          <w:bCs/>
          <w:szCs w:val="24"/>
        </w:rPr>
        <w:t>eight</w:t>
      </w:r>
      <w:r w:rsidRPr="006A3311">
        <w:rPr>
          <w:rFonts w:cs="Times New Roman"/>
          <w:bCs/>
          <w:szCs w:val="24"/>
        </w:rPr>
        <w:t xml:space="preserve"> compounds were tested and found to cause PLLD effects in zebrafish in a dose response manner (</w:t>
      </w:r>
      <w:r w:rsidRPr="009F6326">
        <w:rPr>
          <w:rFonts w:cs="Times New Roman"/>
          <w:b/>
          <w:szCs w:val="24"/>
        </w:rPr>
        <w:t>Figure 2.</w:t>
      </w:r>
      <w:r w:rsidR="00CE2227">
        <w:rPr>
          <w:rFonts w:cs="Times New Roman"/>
          <w:b/>
          <w:szCs w:val="24"/>
        </w:rPr>
        <w:t>10</w:t>
      </w:r>
      <w:r w:rsidRPr="002F5392">
        <w:rPr>
          <w:rFonts w:cs="Times New Roman"/>
          <w:bCs/>
          <w:szCs w:val="24"/>
        </w:rPr>
        <w:t>). Among them</w:t>
      </w:r>
      <w:r w:rsidR="00181437">
        <w:rPr>
          <w:rFonts w:cs="Times New Roman"/>
          <w:bCs/>
          <w:szCs w:val="24"/>
        </w:rPr>
        <w:t>,</w:t>
      </w:r>
      <w:r w:rsidRPr="002F5392">
        <w:rPr>
          <w:rFonts w:cs="Times New Roman"/>
          <w:bCs/>
          <w:szCs w:val="24"/>
        </w:rPr>
        <w:t xml:space="preserve"> forchlorfenuron, flusilazole, and clorophene were ToxCast Phase I compounds that were not detected during HTS. Pentamidine isethionate, Gentian Violet, AVE6324, </w:t>
      </w:r>
      <w:r w:rsidR="00F410C5">
        <w:rPr>
          <w:rFonts w:cs="Times New Roman"/>
          <w:bCs/>
          <w:szCs w:val="24"/>
        </w:rPr>
        <w:t>d</w:t>
      </w:r>
      <w:r w:rsidRPr="002F5392">
        <w:rPr>
          <w:rFonts w:cs="Times New Roman"/>
          <w:bCs/>
          <w:szCs w:val="24"/>
        </w:rPr>
        <w:t xml:space="preserve">odecylbenzenesulfonic acid, and </w:t>
      </w:r>
      <w:r w:rsidR="00F410C5">
        <w:rPr>
          <w:rFonts w:cs="Times New Roman"/>
          <w:bCs/>
          <w:szCs w:val="24"/>
        </w:rPr>
        <w:t>d</w:t>
      </w:r>
      <w:r w:rsidRPr="002F5392">
        <w:rPr>
          <w:rFonts w:cs="Times New Roman"/>
          <w:bCs/>
          <w:szCs w:val="24"/>
        </w:rPr>
        <w:t>idecyldimethylammonium chloride were among the ToxCast Phase II compounds. The PLLD effect percentages of these compounds were graphed and compared with that of the vehicle for statistical significance (</w:t>
      </w:r>
      <w:r w:rsidRPr="009F6326">
        <w:rPr>
          <w:rStyle w:val="Strong"/>
        </w:rPr>
        <w:t>Figure 2.</w:t>
      </w:r>
      <w:r w:rsidR="00CE2227">
        <w:rPr>
          <w:rStyle w:val="Strong"/>
        </w:rPr>
        <w:t>10</w:t>
      </w:r>
      <w:r w:rsidRPr="002F5392">
        <w:rPr>
          <w:rFonts w:cs="Times New Roman"/>
          <w:bCs/>
          <w:szCs w:val="24"/>
        </w:rPr>
        <w:t xml:space="preserve">). All </w:t>
      </w:r>
      <w:r w:rsidR="00027152">
        <w:rPr>
          <w:rFonts w:cs="Times New Roman"/>
          <w:bCs/>
          <w:szCs w:val="24"/>
        </w:rPr>
        <w:t>nine</w:t>
      </w:r>
      <w:r w:rsidRPr="002F5392">
        <w:rPr>
          <w:rFonts w:cs="Times New Roman"/>
          <w:bCs/>
          <w:szCs w:val="24"/>
        </w:rPr>
        <w:t xml:space="preserve"> compounds had percentage effects higher than 20% which is the vehicle (DMSO) cut off value (</w:t>
      </w:r>
      <w:r w:rsidRPr="009F6326">
        <w:rPr>
          <w:rStyle w:val="Strong"/>
        </w:rPr>
        <w:t>Figure 2.</w:t>
      </w:r>
      <w:r w:rsidR="00CE2227">
        <w:rPr>
          <w:rStyle w:val="Strong"/>
        </w:rPr>
        <w:t>10</w:t>
      </w:r>
      <w:r w:rsidRPr="009F6326">
        <w:rPr>
          <w:rStyle w:val="Strong"/>
        </w:rPr>
        <w:t xml:space="preserve"> A-I</w:t>
      </w:r>
      <w:r w:rsidRPr="002F5392">
        <w:rPr>
          <w:rFonts w:cs="Times New Roman"/>
          <w:bCs/>
          <w:szCs w:val="24"/>
        </w:rPr>
        <w:t>). Among them</w:t>
      </w:r>
      <w:r w:rsidR="00181437">
        <w:rPr>
          <w:rFonts w:cs="Times New Roman"/>
          <w:bCs/>
          <w:szCs w:val="24"/>
        </w:rPr>
        <w:t>,</w:t>
      </w:r>
      <w:r w:rsidRPr="002F5392">
        <w:rPr>
          <w:rFonts w:cs="Times New Roman"/>
          <w:bCs/>
          <w:szCs w:val="24"/>
        </w:rPr>
        <w:t xml:space="preserve"> prochloraz, fusilazole, and gentian violet were statistically significant (</w:t>
      </w:r>
      <w:r w:rsidRPr="009F6326">
        <w:rPr>
          <w:rStyle w:val="Strong"/>
        </w:rPr>
        <w:t>Figure 2.</w:t>
      </w:r>
      <w:r w:rsidR="00CE2227">
        <w:rPr>
          <w:rStyle w:val="Strong"/>
        </w:rPr>
        <w:t>10</w:t>
      </w:r>
      <w:r w:rsidRPr="009F6326">
        <w:rPr>
          <w:rStyle w:val="Strong"/>
        </w:rPr>
        <w:t xml:space="preserve"> A, B, E</w:t>
      </w:r>
      <w:r w:rsidRPr="002F5392">
        <w:rPr>
          <w:rFonts w:cs="Times New Roman"/>
          <w:bCs/>
          <w:szCs w:val="24"/>
        </w:rPr>
        <w:t>)</w:t>
      </w:r>
      <w:r w:rsidR="009F6326">
        <w:rPr>
          <w:rFonts w:cs="Times New Roman"/>
          <w:bCs/>
          <w:szCs w:val="24"/>
        </w:rPr>
        <w:t xml:space="preserve"> </w:t>
      </w:r>
      <w:r w:rsidRPr="002F5392">
        <w:rPr>
          <w:rFonts w:cs="Times New Roman"/>
          <w:bCs/>
          <w:szCs w:val="24"/>
        </w:rPr>
        <w:t>(</w:t>
      </w:r>
      <w:r w:rsidRPr="002F5392">
        <w:rPr>
          <w:rFonts w:cs="Times New Roman"/>
          <w:szCs w:val="24"/>
        </w:rPr>
        <w:t>unpaired student’s T</w:t>
      </w:r>
      <w:r w:rsidR="00181437">
        <w:rPr>
          <w:rFonts w:cs="Times New Roman"/>
          <w:szCs w:val="24"/>
        </w:rPr>
        <w:t>-</w:t>
      </w:r>
      <w:r w:rsidRPr="002F5392">
        <w:rPr>
          <w:rFonts w:cs="Times New Roman"/>
          <w:szCs w:val="24"/>
        </w:rPr>
        <w:t xml:space="preserve">test, p &lt;0.05, 95% CI). The </w:t>
      </w:r>
      <w:r w:rsidR="00027152">
        <w:rPr>
          <w:rFonts w:cs="Times New Roman"/>
          <w:szCs w:val="24"/>
        </w:rPr>
        <w:t>three</w:t>
      </w:r>
      <w:r w:rsidRPr="002F5392">
        <w:rPr>
          <w:rFonts w:cs="Times New Roman"/>
          <w:szCs w:val="24"/>
        </w:rPr>
        <w:t xml:space="preserve"> chemicals with the least ToxpPi scores did not have any significant effects on PLL (</w:t>
      </w:r>
      <w:r w:rsidRPr="009F6326">
        <w:rPr>
          <w:rStyle w:val="Strong"/>
        </w:rPr>
        <w:t>Figure 2.</w:t>
      </w:r>
      <w:r w:rsidR="00CE2227">
        <w:rPr>
          <w:rStyle w:val="Strong"/>
        </w:rPr>
        <w:t>10</w:t>
      </w:r>
      <w:r w:rsidRPr="009F6326">
        <w:rPr>
          <w:rStyle w:val="Strong"/>
        </w:rPr>
        <w:t xml:space="preserve"> J-L</w:t>
      </w:r>
      <w:r w:rsidRPr="002F5392">
        <w:rPr>
          <w:rFonts w:cs="Times New Roman"/>
          <w:szCs w:val="24"/>
        </w:rPr>
        <w:t xml:space="preserve">). All </w:t>
      </w:r>
      <w:r w:rsidR="00F814BB">
        <w:rPr>
          <w:rFonts w:cs="Times New Roman"/>
          <w:szCs w:val="24"/>
        </w:rPr>
        <w:t>three</w:t>
      </w:r>
      <w:r w:rsidRPr="002F5392">
        <w:rPr>
          <w:rFonts w:cs="Times New Roman"/>
          <w:szCs w:val="24"/>
        </w:rPr>
        <w:t xml:space="preserve"> compounds with a </w:t>
      </w:r>
      <w:r w:rsidR="00CE2227" w:rsidRPr="002F5392">
        <w:rPr>
          <w:rFonts w:cs="Times New Roman"/>
          <w:szCs w:val="24"/>
        </w:rPr>
        <w:t>zero-score</w:t>
      </w:r>
      <w:r w:rsidRPr="002F5392">
        <w:rPr>
          <w:rFonts w:cs="Times New Roman"/>
          <w:szCs w:val="24"/>
        </w:rPr>
        <w:t xml:space="preserve"> caused PLL disruption at higher percentages than the vehicle</w:t>
      </w:r>
      <w:r w:rsidR="00181437">
        <w:rPr>
          <w:rFonts w:cs="Times New Roman"/>
          <w:szCs w:val="24"/>
        </w:rPr>
        <w:t>-</w:t>
      </w:r>
      <w:r w:rsidRPr="002F5392">
        <w:rPr>
          <w:rFonts w:cs="Times New Roman"/>
          <w:szCs w:val="24"/>
        </w:rPr>
        <w:t xml:space="preserve">treated embryos. </w:t>
      </w:r>
      <w:r w:rsidRPr="005A1250">
        <w:rPr>
          <w:rFonts w:cs="Times New Roman"/>
          <w:szCs w:val="24"/>
        </w:rPr>
        <w:t xml:space="preserve">The </w:t>
      </w:r>
      <w:r w:rsidR="00A734D0" w:rsidRPr="005A1250">
        <w:rPr>
          <w:rFonts w:cs="Times New Roman"/>
          <w:szCs w:val="24"/>
        </w:rPr>
        <w:t xml:space="preserve">results </w:t>
      </w:r>
      <w:r w:rsidR="00F410C5" w:rsidRPr="005A1250">
        <w:rPr>
          <w:rFonts w:cs="Times New Roman"/>
          <w:szCs w:val="24"/>
        </w:rPr>
        <w:t>indicated an</w:t>
      </w:r>
      <w:r w:rsidR="00803A90" w:rsidRPr="005A1250">
        <w:rPr>
          <w:rFonts w:cs="Times New Roman"/>
          <w:szCs w:val="24"/>
        </w:rPr>
        <w:t xml:space="preserve"> </w:t>
      </w:r>
      <w:r w:rsidR="002A54B8" w:rsidRPr="005A1250">
        <w:rPr>
          <w:rFonts w:cs="Times New Roman"/>
          <w:szCs w:val="24"/>
        </w:rPr>
        <w:t>increased percentage of embryos with perturbed PLL</w:t>
      </w:r>
      <w:r w:rsidRPr="005A1250">
        <w:rPr>
          <w:rFonts w:cs="Times New Roman"/>
          <w:szCs w:val="24"/>
        </w:rPr>
        <w:t xml:space="preserve"> with increasing doses for all the compounds</w:t>
      </w:r>
      <w:r w:rsidRPr="002F5392">
        <w:rPr>
          <w:rFonts w:cs="Times New Roman"/>
          <w:szCs w:val="24"/>
        </w:rPr>
        <w:t xml:space="preserve"> (</w:t>
      </w:r>
      <w:r w:rsidRPr="00C92034">
        <w:rPr>
          <w:rStyle w:val="Strong"/>
        </w:rPr>
        <w:t>Figure 2.</w:t>
      </w:r>
      <w:r w:rsidR="00CE2227">
        <w:rPr>
          <w:rStyle w:val="Strong"/>
        </w:rPr>
        <w:t>10</w:t>
      </w:r>
      <w:r w:rsidRPr="00C92034">
        <w:rPr>
          <w:rStyle w:val="Strong"/>
        </w:rPr>
        <w:t xml:space="preserve"> M-O</w:t>
      </w:r>
      <w:r w:rsidRPr="002F5392">
        <w:rPr>
          <w:rFonts w:cs="Times New Roman"/>
          <w:szCs w:val="24"/>
        </w:rPr>
        <w:t>).</w:t>
      </w:r>
      <w:r w:rsidRPr="006A3311">
        <w:rPr>
          <w:rFonts w:cs="Times New Roman"/>
          <w:szCs w:val="24"/>
        </w:rPr>
        <w:t xml:space="preserve"> </w:t>
      </w:r>
    </w:p>
    <w:p w14:paraId="62B71359" w14:textId="037108FA" w:rsidR="0041508D" w:rsidRPr="006A3311" w:rsidRDefault="0041508D" w:rsidP="00937A49">
      <w:pPr>
        <w:spacing w:line="240" w:lineRule="auto"/>
        <w:jc w:val="both"/>
        <w:rPr>
          <w:rFonts w:cs="Times New Roman"/>
          <w:bCs/>
          <w:szCs w:val="24"/>
        </w:rPr>
      </w:pPr>
      <w:r w:rsidRPr="006A3311">
        <w:rPr>
          <w:rFonts w:cs="Times New Roman"/>
          <w:b/>
          <w:bCs/>
          <w:szCs w:val="24"/>
        </w:rPr>
        <w:t xml:space="preserve">Figure </w:t>
      </w:r>
      <w:bookmarkStart w:id="37" w:name="_Hlk39500054"/>
      <w:r w:rsidRPr="006A3311">
        <w:rPr>
          <w:rFonts w:cs="Times New Roman"/>
          <w:b/>
          <w:bCs/>
          <w:szCs w:val="24"/>
        </w:rPr>
        <w:t>2.</w:t>
      </w:r>
      <w:r w:rsidR="00CE2227">
        <w:rPr>
          <w:rFonts w:cs="Times New Roman"/>
          <w:b/>
          <w:bCs/>
          <w:szCs w:val="24"/>
        </w:rPr>
        <w:t>10</w:t>
      </w:r>
      <w:r w:rsidRPr="006A3311">
        <w:rPr>
          <w:rFonts w:cs="Times New Roman"/>
          <w:b/>
          <w:bCs/>
          <w:szCs w:val="24"/>
        </w:rPr>
        <w:t xml:space="preserve"> Effects of PLLDs predicted using serotonin pathway assays in zebrafish</w:t>
      </w:r>
      <w:bookmarkEnd w:id="37"/>
      <w:r w:rsidRPr="006A3311">
        <w:rPr>
          <w:rFonts w:cs="Times New Roman"/>
          <w:b/>
          <w:bCs/>
          <w:szCs w:val="24"/>
        </w:rPr>
        <w:t xml:space="preserve">. </w:t>
      </w:r>
      <w:r w:rsidRPr="006A3311">
        <w:rPr>
          <w:rFonts w:cs="Times New Roman"/>
          <w:bCs/>
          <w:i/>
          <w:iCs/>
          <w:szCs w:val="24"/>
        </w:rPr>
        <w:t>Tg</w:t>
      </w:r>
      <w:r w:rsidR="009A0B96">
        <w:rPr>
          <w:rFonts w:cs="Times New Roman"/>
          <w:bCs/>
          <w:i/>
          <w:iCs/>
          <w:szCs w:val="24"/>
        </w:rPr>
        <w:t> </w:t>
      </w:r>
      <w:r w:rsidRPr="006A3311">
        <w:rPr>
          <w:rFonts w:cs="Times New Roman"/>
          <w:bCs/>
          <w:i/>
          <w:iCs/>
          <w:szCs w:val="24"/>
        </w:rPr>
        <w:t>(neuromast:GFP)</w:t>
      </w:r>
      <w:r w:rsidRPr="006A3311">
        <w:rPr>
          <w:rFonts w:cs="Times New Roman"/>
          <w:bCs/>
          <w:szCs w:val="24"/>
        </w:rPr>
        <w:t xml:space="preserve"> embryos were exposed to increasing concentrations of (A-I) high prediction score PLLDs, (J-L) low prediction score PLLDs and (M-O) unscored PLLDs. Y-axis </w:t>
      </w:r>
      <w:r w:rsidR="00181437">
        <w:rPr>
          <w:rFonts w:cs="Times New Roman"/>
          <w:bCs/>
          <w:szCs w:val="24"/>
        </w:rPr>
        <w:t>represents</w:t>
      </w:r>
      <w:r w:rsidRPr="006A3311">
        <w:rPr>
          <w:rFonts w:cs="Times New Roman"/>
          <w:bCs/>
          <w:szCs w:val="24"/>
        </w:rPr>
        <w:t xml:space="preserve"> </w:t>
      </w:r>
      <w:r w:rsidR="00181437">
        <w:rPr>
          <w:rFonts w:cs="Times New Roman"/>
          <w:bCs/>
          <w:szCs w:val="24"/>
        </w:rPr>
        <w:t>percentage of affected embryos</w:t>
      </w:r>
      <w:r w:rsidRPr="006A3311">
        <w:rPr>
          <w:rFonts w:cs="Times New Roman"/>
          <w:bCs/>
          <w:szCs w:val="24"/>
        </w:rPr>
        <w:t xml:space="preserve"> and X-axis </w:t>
      </w:r>
      <w:r w:rsidR="00181437">
        <w:rPr>
          <w:rFonts w:cs="Times New Roman"/>
          <w:bCs/>
          <w:szCs w:val="24"/>
        </w:rPr>
        <w:t>represents concentration of tested compound</w:t>
      </w:r>
      <w:r w:rsidRPr="006A3311">
        <w:rPr>
          <w:rFonts w:cs="Times New Roman"/>
          <w:bCs/>
          <w:szCs w:val="24"/>
        </w:rPr>
        <w:t xml:space="preserve"> (M). The percentage PLLD effects (dark green), and dead percentage (light green) are shown. Statistical significance was determined using unpaired Student's t-test compared to vehicle treatment (*p &lt;0.05, **p &lt;0.01, ***p &lt;0.001, ****p &lt;0.0001).</w:t>
      </w:r>
    </w:p>
    <w:p w14:paraId="7905C99F" w14:textId="77777777" w:rsidR="0069328F" w:rsidRDefault="0069328F" w:rsidP="00A5237A">
      <w:pPr>
        <w:spacing w:line="480" w:lineRule="auto"/>
        <w:jc w:val="both"/>
        <w:rPr>
          <w:rFonts w:cs="Times New Roman"/>
          <w:szCs w:val="24"/>
        </w:rPr>
      </w:pPr>
    </w:p>
    <w:p w14:paraId="6E14DE6E" w14:textId="77777777" w:rsidR="0069328F" w:rsidRDefault="0069328F" w:rsidP="00A5237A">
      <w:pPr>
        <w:spacing w:line="480" w:lineRule="auto"/>
        <w:jc w:val="both"/>
        <w:rPr>
          <w:rFonts w:cs="Times New Roman"/>
          <w:bCs/>
          <w:szCs w:val="24"/>
        </w:rPr>
      </w:pPr>
      <w:r>
        <w:rPr>
          <w:rFonts w:cs="Times New Roman"/>
          <w:bCs/>
          <w:noProof/>
          <w:szCs w:val="24"/>
        </w:rPr>
        <w:lastRenderedPageBreak/>
        <w:drawing>
          <wp:inline distT="0" distB="0" distL="0" distR="0" wp14:anchorId="2F8DF52D" wp14:editId="2C247CA2">
            <wp:extent cx="4885820" cy="8074025"/>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laqkc\Downloads\Figure 2.9.PN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885820" cy="8074025"/>
                    </a:xfrm>
                    <a:prstGeom prst="rect">
                      <a:avLst/>
                    </a:prstGeom>
                    <a:noFill/>
                    <a:ln>
                      <a:noFill/>
                    </a:ln>
                  </pic:spPr>
                </pic:pic>
              </a:graphicData>
            </a:graphic>
          </wp:inline>
        </w:drawing>
      </w:r>
    </w:p>
    <w:p w14:paraId="4DBE73E6" w14:textId="77777777" w:rsidR="0069328F" w:rsidRDefault="0069328F" w:rsidP="00A5237A">
      <w:pPr>
        <w:spacing w:line="480" w:lineRule="auto"/>
        <w:jc w:val="both"/>
        <w:rPr>
          <w:rFonts w:cs="Times New Roman"/>
          <w:bCs/>
          <w:szCs w:val="24"/>
        </w:rPr>
      </w:pPr>
    </w:p>
    <w:p w14:paraId="1E712F19" w14:textId="77777777" w:rsidR="0069328F" w:rsidRPr="005435D8" w:rsidRDefault="0069328F" w:rsidP="00A5237A">
      <w:pPr>
        <w:spacing w:line="480" w:lineRule="auto"/>
        <w:jc w:val="both"/>
        <w:rPr>
          <w:rFonts w:eastAsia="Times New Roman" w:cs="Times New Roman"/>
          <w:szCs w:val="24"/>
        </w:rPr>
      </w:pPr>
      <w:r w:rsidRPr="001B52BE">
        <w:rPr>
          <w:rFonts w:eastAsia="Times New Roman" w:cs="Times New Roman"/>
          <w:color w:val="000000"/>
          <w:szCs w:val="24"/>
        </w:rPr>
        <w:t xml:space="preserve">In conclusion, based on the correlation of data between phenotypic </w:t>
      </w:r>
      <w:r w:rsidRPr="00DE4962">
        <w:rPr>
          <w:rFonts w:eastAsia="Times New Roman" w:cs="Times New Roman"/>
          <w:color w:val="000000"/>
          <w:szCs w:val="24"/>
        </w:rPr>
        <w:t xml:space="preserve">high-throughput </w:t>
      </w:r>
      <w:r w:rsidRPr="001B52BE">
        <w:rPr>
          <w:rFonts w:eastAsia="Times New Roman" w:cs="Times New Roman"/>
          <w:i/>
          <w:iCs/>
          <w:color w:val="000000"/>
          <w:szCs w:val="24"/>
        </w:rPr>
        <w:t>in vivo</w:t>
      </w:r>
      <w:r w:rsidRPr="001B52BE">
        <w:rPr>
          <w:rFonts w:eastAsia="Times New Roman" w:cs="Times New Roman"/>
          <w:color w:val="000000"/>
          <w:szCs w:val="24"/>
        </w:rPr>
        <w:t xml:space="preserve"> screening of </w:t>
      </w:r>
      <w:r w:rsidRPr="00DE4962">
        <w:rPr>
          <w:rFonts w:eastAsia="Times New Roman" w:cs="Times New Roman"/>
          <w:color w:val="000000"/>
          <w:szCs w:val="24"/>
        </w:rPr>
        <w:t xml:space="preserve">all ToxCast Phase I </w:t>
      </w:r>
      <w:r w:rsidRPr="001B52BE">
        <w:rPr>
          <w:rFonts w:eastAsia="Times New Roman" w:cs="Times New Roman"/>
          <w:color w:val="000000"/>
          <w:szCs w:val="24"/>
        </w:rPr>
        <w:t xml:space="preserve">chemicals and high throughput screening </w:t>
      </w:r>
      <w:r w:rsidRPr="00DE4962">
        <w:rPr>
          <w:rFonts w:eastAsia="Times New Roman" w:cs="Times New Roman"/>
          <w:color w:val="000000"/>
          <w:szCs w:val="24"/>
        </w:rPr>
        <w:t xml:space="preserve">of </w:t>
      </w:r>
      <w:r w:rsidRPr="001B52BE">
        <w:rPr>
          <w:rFonts w:eastAsia="Times New Roman" w:cs="Times New Roman"/>
          <w:i/>
          <w:iCs/>
          <w:color w:val="000000"/>
          <w:szCs w:val="24"/>
        </w:rPr>
        <w:t>in vitro</w:t>
      </w:r>
      <w:r w:rsidRPr="001B52BE">
        <w:rPr>
          <w:rFonts w:eastAsia="Times New Roman" w:cs="Times New Roman"/>
          <w:color w:val="000000"/>
          <w:szCs w:val="24"/>
        </w:rPr>
        <w:t xml:space="preserve"> assays, we predicted and differentiated </w:t>
      </w:r>
      <w:r>
        <w:rPr>
          <w:rFonts w:eastAsia="Times New Roman" w:cs="Times New Roman"/>
          <w:color w:val="000000"/>
          <w:szCs w:val="24"/>
        </w:rPr>
        <w:t>PLL</w:t>
      </w:r>
      <w:r w:rsidRPr="001B52BE">
        <w:rPr>
          <w:rFonts w:eastAsia="Times New Roman" w:cs="Times New Roman"/>
          <w:color w:val="000000"/>
          <w:szCs w:val="24"/>
        </w:rPr>
        <w:t xml:space="preserve"> disruptors from non-</w:t>
      </w:r>
      <w:r>
        <w:rPr>
          <w:rFonts w:eastAsia="Times New Roman" w:cs="Times New Roman"/>
          <w:color w:val="000000"/>
          <w:szCs w:val="24"/>
        </w:rPr>
        <w:t>PLL</w:t>
      </w:r>
      <w:r w:rsidRPr="001B52BE">
        <w:rPr>
          <w:rFonts w:eastAsia="Times New Roman" w:cs="Times New Roman"/>
          <w:color w:val="000000"/>
          <w:szCs w:val="24"/>
        </w:rPr>
        <w:t xml:space="preserve"> disruptors.</w:t>
      </w:r>
    </w:p>
    <w:p w14:paraId="7728A52D" w14:textId="64104896" w:rsidR="0069328F" w:rsidRPr="00F67824" w:rsidRDefault="0069328F">
      <w:pPr>
        <w:pStyle w:val="Heading2"/>
      </w:pPr>
      <w:bookmarkStart w:id="38" w:name="_Toc39502045"/>
      <w:r>
        <w:t xml:space="preserve">2.3 </w:t>
      </w:r>
      <w:r w:rsidR="00CE2227" w:rsidRPr="00F67824">
        <w:t>DISCUSSION</w:t>
      </w:r>
      <w:bookmarkEnd w:id="38"/>
    </w:p>
    <w:p w14:paraId="75AB7F81" w14:textId="735B3AED" w:rsidR="0069328F" w:rsidRPr="002F5392" w:rsidRDefault="0069328F" w:rsidP="00317481">
      <w:pPr>
        <w:pStyle w:val="Heading3"/>
      </w:pPr>
      <w:bookmarkStart w:id="39" w:name="_Toc39502046"/>
      <w:r w:rsidRPr="002F5392">
        <w:t>2.</w:t>
      </w:r>
      <w:r>
        <w:t>3.1</w:t>
      </w:r>
      <w:r w:rsidRPr="002F5392">
        <w:t xml:space="preserve"> Identification of </w:t>
      </w:r>
      <w:r w:rsidR="00181B79">
        <w:t>N</w:t>
      </w:r>
      <w:r w:rsidRPr="002F5392">
        <w:t xml:space="preserve">ovel </w:t>
      </w:r>
      <w:r w:rsidRPr="002F5392">
        <w:rPr>
          <w:rFonts w:cs="Times New Roman"/>
        </w:rPr>
        <w:t xml:space="preserve">Posterior Lateral Line </w:t>
      </w:r>
      <w:r w:rsidR="00181B79">
        <w:t>D</w:t>
      </w:r>
      <w:r w:rsidRPr="002F5392">
        <w:t>isruptors</w:t>
      </w:r>
      <w:bookmarkEnd w:id="39"/>
    </w:p>
    <w:p w14:paraId="1DD73C6F" w14:textId="1D409A80" w:rsidR="00A734D0" w:rsidRPr="00465302" w:rsidRDefault="0069328F" w:rsidP="00A5237A">
      <w:pPr>
        <w:pStyle w:val="NoSpacing"/>
        <w:spacing w:line="480" w:lineRule="auto"/>
        <w:contextualSpacing/>
        <w:jc w:val="both"/>
        <w:rPr>
          <w:rFonts w:cs="Times New Roman"/>
          <w:szCs w:val="24"/>
        </w:rPr>
      </w:pPr>
      <w:r w:rsidRPr="00465302">
        <w:rPr>
          <w:rFonts w:cs="Times New Roman"/>
          <w:szCs w:val="24"/>
        </w:rPr>
        <w:t>We here describe the use of the zebrafish model to screen for posterior lateral line disruptors (PLLDs), and we use computational toxicology to decipher mechanisms of action for such disruptors. We first screened 292 chemicals of the ToxCast phase I chemical library and identified 22 chemicals that altered the number of neuromasts in the PLL after exposure (</w:t>
      </w:r>
      <w:r w:rsidRPr="00465302">
        <w:rPr>
          <w:rStyle w:val="Strong"/>
        </w:rPr>
        <w:t>Table 2.1</w:t>
      </w:r>
      <w:r w:rsidRPr="00465302">
        <w:rPr>
          <w:rFonts w:cs="Times New Roman"/>
          <w:szCs w:val="24"/>
        </w:rPr>
        <w:t xml:space="preserve">). We next performed univariate correlation analysis to identify </w:t>
      </w:r>
      <w:r w:rsidRPr="00465302">
        <w:rPr>
          <w:rFonts w:cs="Times New Roman"/>
          <w:i/>
          <w:szCs w:val="24"/>
        </w:rPr>
        <w:t>in vitro</w:t>
      </w:r>
      <w:r w:rsidRPr="00465302">
        <w:rPr>
          <w:rFonts w:cs="Times New Roman"/>
          <w:szCs w:val="24"/>
        </w:rPr>
        <w:t xml:space="preserve"> ToxCast assays that are affected by those same 22 chemicals. Of the 13 </w:t>
      </w:r>
      <w:r w:rsidRPr="00465302">
        <w:rPr>
          <w:rFonts w:cs="Times New Roman"/>
          <w:i/>
          <w:szCs w:val="24"/>
        </w:rPr>
        <w:t>in vitro</w:t>
      </w:r>
      <w:r w:rsidRPr="00465302">
        <w:rPr>
          <w:rFonts w:cs="Times New Roman"/>
          <w:szCs w:val="24"/>
        </w:rPr>
        <w:t xml:space="preserve"> assays identified, several assays are directly or indirectly involved in serotonin production, metabolism, or signaling. The role of serotonin in neuromast development was tested by exposing the embryos to known serotonin modulating compounds, such as clorgyline and </w:t>
      </w:r>
      <w:r w:rsidR="00A734D0" w:rsidRPr="00465302">
        <w:rPr>
          <w:rFonts w:cs="Times New Roman"/>
          <w:szCs w:val="24"/>
        </w:rPr>
        <w:t>P</w:t>
      </w:r>
      <w:r w:rsidRPr="00465302">
        <w:rPr>
          <w:rFonts w:cs="Times New Roman"/>
          <w:szCs w:val="24"/>
        </w:rPr>
        <w:t>CPA, which confirmed a role for serotonin in PLL development.</w:t>
      </w:r>
    </w:p>
    <w:p w14:paraId="0AF8C50A" w14:textId="77777777" w:rsidR="0069328F" w:rsidRPr="00465302" w:rsidRDefault="0069328F" w:rsidP="00242745">
      <w:pPr>
        <w:pStyle w:val="NoSpacing"/>
        <w:spacing w:after="240" w:line="480" w:lineRule="auto"/>
        <w:contextualSpacing/>
        <w:jc w:val="both"/>
        <w:rPr>
          <w:rFonts w:cs="Times New Roman"/>
          <w:szCs w:val="24"/>
        </w:rPr>
      </w:pPr>
      <w:r w:rsidRPr="00465302">
        <w:rPr>
          <w:rFonts w:cs="Times New Roman"/>
          <w:szCs w:val="24"/>
        </w:rPr>
        <w:t xml:space="preserve">Because of their structural resemblance to mammalian hair cells of the inner ear, the zebrafish lateral line has been used for large library screens to identify chemicals that protect against ototoxicity; compounds belonging to the benzothiophene carboxamides family and several FDA approved drugs were identified as being protective </w:t>
      </w:r>
      <w:r w:rsidRPr="00465302">
        <w:rPr>
          <w:rFonts w:cs="Times New Roman"/>
          <w:szCs w:val="24"/>
        </w:rPr>
        <w:fldChar w:fldCharType="begin" w:fldLock="1"/>
      </w:r>
      <w:r w:rsidRPr="00465302">
        <w:rPr>
          <w:rFonts w:cs="Times New Roman"/>
          <w:szCs w:val="24"/>
        </w:rPr>
        <w:instrText>ADDIN CSL_CITATION {"citationItems":[{"id":"ITEM-1","itemData":{"DOI":"10.1007/s10162-009-0158-y","ISSN":"15253961","abstract":"The hair cells of the larval zebrafish lateral line provide a useful preparation in which to study hair cell death and to screen for genes and small molecules that modulate hair cell toxicity. We recently reported preliminary results from screening a small-molecule library for compounds that inhibit aminoglycoside-induced hair cell death. To potentially reduce the time required for development of drugs and drug combinations that can be clinically useful, we screened a library of 1,040 FDA-approved drugs and bioactive compounds (NINDS Custom Collection II). Seven compounds that protect against neomycin-induced hair cell death were identified. Four of the seven drugs inhibited aminoglycoside uptake, based on Texas-Red-conjugated gentamicin uptake. The activities of two of the remaining three drugs were evaluated using an in vitro adult mouse utricle preparation. One drug, 9-amino-1,2,3,4-tetrahydroacridine (tacrine) demonstrated conserved protective effects in the mouse utricle. These results demonstrate that the zebrafish lateral line can be used to screen successfully for drugs within a library of FDA-approved drugs and bioactives that inhibit hair cell death in the mammalian inner ear and identify tacrine as a promising protective drug for future studies. © 2009 Association for Research in Otolaryngology.","author":[{"dropping-particle":"","family":"Ou","given":"Henry C.","non-dropping-particle":"","parse-names":false,"suffix":""},{"dropping-particle":"","family":"Cunningham","given":"Lisa L.","non-dropping-particle":"","parse-names":false,"suffix":""},{"dropping-particle":"","family":"Francis","given":"Shimon P.","non-dropping-particle":"","parse-names":false,"suffix":""},{"dropping-particle":"","family":"Brandon","given":"Carlene S.","non-dropping-particle":"","parse-names":false,"suffix":""},{"dropping-particle":"","family":"Simon","given":"Julian A.","non-dropping-particle":"","parse-names":false,"suffix":""},{"dropping-particle":"","family":"Raible","given":"David W.","non-dropping-particle":"","parse-names":false,"suffix":""},{"dropping-particle":"","family":"Rubel","given":"Edwin W.","non-dropping-particle":"","parse-names":false,"suffix":""}],"container-title":"JARO - Journal of the Association for Research in Otolaryngology","id":"ITEM-1","issue":"2","issued":{"date-parts":[["2009"]]},"page":"191-203","title":"Identification of FDA-approved drugs and bioactives that protect hair cells in the zebrafish (danio rerio) lateral line and mouse (mus musculus) utricle","type":"article-journal","volume":"10"},"uris":["http://www.mendeley.com/documents/?uuid=4ef217f8-3635-4dd3-be65-11a41bc3fb22"]},{"id":"ITEM-2","itemData":{"DOI":"10.1016/j.heares.2012.08.002","ISSN":"18785891","PMID":"22967486","abstract":"Loss of mechanosensory hair cells in the inner ear accounts for many hearing loss and balance disorders. Several beneficial pharmaceutical drugs cause hair cell death as a side effect. These include aminoglycoside antibiotics, such as neomycin, kanamycin and gentamicin, and several cancer chemotherapy drugs, such as cisplatin. Discovering new compounds that protect mammalian hair cells from toxic insults is experimentally difficult because of the inaccessibility of the inner ear. We used the zebrafish lateral line sensory system as an in vivo screening platform to survey a library of FDA-approved pharmaceuticals for compounds that protect hair cells from neomycin, gentamicin, kanamycin and cisplatin. Ten compounds were identified that provide protection from at least two of the four toxins. The resulting compounds fall into several drug classes, including serotonin and dopamine-modulating drugs, adrenergic receptor ligands, and estrogen receptor modulators. The protective compounds show different effects against the different toxins, supporting the idea that each toxin causes hair cell death by distinct, but partially overlapping, mechanisms. Furthermore, some compounds from the same drug classes had different protective properties, suggesting that they might not prevent hair cell death by their known target mechanisms. Some protective compounds blocked gentamicin uptake into hair cells, suggesting that they may block mechanotransduction or other routes of entry. The protective compounds identified in our screen will provide a starting point for studies in mammals as well as further research discovering the cellular signaling pathways that trigger hair cell death. © 2012 Elsevier B.V.","author":[{"dropping-particle":"","family":"Vlasits","given":"Anna L.","non-dropping-particle":"","parse-names":false,"suffix":""},{"dropping-particle":"","family":"Simon","given":"Julian A.","non-dropping-particle":"","parse-names":false,"suffix":""},{"dropping-particle":"","family":"Raible","given":"David W.","non-dropping-particle":"","parse-names":false,"suffix":""},{"dropping-particle":"","family":"Rubel","given":"Edwin W.","non-dropping-particle":"","parse-names":false,"suffix":""},{"dropping-particle":"","family":"Owen","given":"Kelly N.","non-dropping-particle":"","parse-names":false,"suffix":""}],"container-title":"Hearing Research","id":"ITEM-2","issue":"1-2","issued":{"date-parts":[["2012"]]},"page":"153-165","title":"Screen of FDA-approved drug library reveals compounds that protect hair cells from aminoglycosides and cisplatin","type":"article-journal","volume":"294"},"uris":["http://www.mendeley.com/documents/?uuid=0c5a52c4-5110-42e3-9fa1-4ec7539a29ed"]},{"id":"ITEM-3","itemData":{"DOI":"10.1371/journal.pgen.1000020","ISSN":"1553-7404","abstract":"Inner ear sensory hair cell death is observed in the majority of hearing and balance disorders, affecting the health of more than 600 million people worldwide. While normal aging is the single greatest contributor, exposure to environmental toxins and therapeutic drugs such as aminoglycoside antibiotics and antineoplastic agents are significant contributors. Genetic variation contributes markedly to differences in normal disease progression during aging and in susceptibility to ototoxic agents. Using the lateral line system of larval zebrafish, we developed an in vivo drug toxicity interaction screen to uncover genetic modulators of antibiotic-induced hair cell death and to identify compounds that confer protection. We have identified 5 mutations that modulate aminoglycoside susceptibility. Further characterization and identification of one protective mutant, sentinel (snl), revealed a novel conserved vertebrate gene. A similar screen identified a new class of drug-like small molecules, benzothiophene carboxamides, that prevent aminoglycoside-induced hair cell death in zebrafish and in mammals. Testing for interaction with the sentinel mutation suggests that the gene and compounds may operate in different pathways. The combination of chemical screening with traditional genetic approaches is a new strategy for identifying drugs and drug targets to attenuate hearing and balance disorders.","author":[{"dropping-particle":"","family":"Owens","given":"Kelly N.","non-dropping-particle":"","parse-names":false,"suffix":""},{"dropping-particle":"","family":"Santos","given":"Felipe","non-dropping-particle":"","parse-names":false,"suffix":""},{"dropping-particle":"","family":"Roberts","given":"Brock","non-dropping-particle":"","parse-names":false,"suffix":""},{"dropping-particle":"","family":"Linbo","given":"Tor","non-dropping-particle":"","parse-names":false,"suffix":""},{"dropping-particle":"","family":"Coffin","given":"Allison B.","non-dropping-particle":"","parse-names":false,"suffix":""},{"dropping-particle":"","family":"Knisely","given":"Anna J.","non-dropping-particle":"","parse-names":false,"suffix":""},{"dropping-particle":"","family":"Simon","given":"Julian A.","non-dropping-particle":"","parse-names":false,"suffix":""},{"dropping-particle":"","family":"Rubel","given":"Edwin W.","non-dropping-particle":"","parse-names":false,"suffix":""},{"dropping-particle":"","family":"Raible","given":"David W.","non-dropping-particle":"","parse-names":false,"suffix":""}],"container-title":"PLoS Genetics","editor":[{"dropping-particle":"","family":"Chen","given":"James K.","non-dropping-particle":"","parse-names":false,"suffix":""}],"id":"ITEM-3","issue":"2","issued":{"date-parts":[["2008","2","29"]]},"page":"e1000020","publisher":"Public Library of Science","title":"Identification of Genetic and Chemical Modulators of Zebrafish Mechanosensory Hair Cell Death","type":"article-journal","volume":"4"},"uris":["http://www.mendeley.com/documents/?uuid=cec2d605-de42-3601-8a11-29ea4b95b798"]}],"mendeley":{"formattedCitation":"(Owens &lt;i&gt;et al.&lt;/i&gt;, 2008; Ou &lt;i&gt;et al.&lt;/i&gt;, 2009; Vlasits &lt;i&gt;et al.&lt;/i&gt;, 2012)","plainTextFormattedCitation":"(Owens et al., 2008; Ou et al., 2009; Vlasits et al., 2012)","previouslyFormattedCitation":"(Owens &lt;i&gt;et al.&lt;/i&gt;, 2008; Ou &lt;i&gt;et al.&lt;/i&gt;, 2009; Vlasits &lt;i&gt;et al.&lt;/i&gt;, 2012)"},"properties":{"noteIndex":0},"schema":"https://github.com/citation-style-language/schema/raw/master/csl-citation.json"}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 xml:space="preserve">(Owens </w:t>
      </w:r>
      <w:r w:rsidRPr="00465302">
        <w:rPr>
          <w:rFonts w:cs="Times New Roman"/>
          <w:i/>
          <w:noProof/>
          <w:szCs w:val="24"/>
        </w:rPr>
        <w:t>et al.</w:t>
      </w:r>
      <w:r w:rsidRPr="00465302">
        <w:rPr>
          <w:rFonts w:cs="Times New Roman"/>
          <w:noProof/>
          <w:szCs w:val="24"/>
        </w:rPr>
        <w:t xml:space="preserve">, 2008; Ou </w:t>
      </w:r>
      <w:r w:rsidRPr="00465302">
        <w:rPr>
          <w:rFonts w:cs="Times New Roman"/>
          <w:i/>
          <w:noProof/>
          <w:szCs w:val="24"/>
        </w:rPr>
        <w:t>et al.</w:t>
      </w:r>
      <w:r w:rsidRPr="00465302">
        <w:rPr>
          <w:rFonts w:cs="Times New Roman"/>
          <w:noProof/>
          <w:szCs w:val="24"/>
        </w:rPr>
        <w:t xml:space="preserve">, 2009; Vlasits </w:t>
      </w:r>
      <w:r w:rsidRPr="00465302">
        <w:rPr>
          <w:rFonts w:cs="Times New Roman"/>
          <w:i/>
          <w:noProof/>
          <w:szCs w:val="24"/>
        </w:rPr>
        <w:t>et al.</w:t>
      </w:r>
      <w:r w:rsidRPr="00465302">
        <w:rPr>
          <w:rFonts w:cs="Times New Roman"/>
          <w:noProof/>
          <w:szCs w:val="24"/>
        </w:rPr>
        <w:t>, 2012)</w:t>
      </w:r>
      <w:r w:rsidRPr="00465302">
        <w:rPr>
          <w:rFonts w:cs="Times New Roman"/>
          <w:szCs w:val="24"/>
        </w:rPr>
        <w:fldChar w:fldCharType="end"/>
      </w:r>
      <w:r w:rsidRPr="00465302">
        <w:rPr>
          <w:rFonts w:cs="Times New Roman"/>
          <w:szCs w:val="24"/>
        </w:rPr>
        <w:t xml:space="preserve">. On a molecular level, neuromast primordium migration parallels the migration of cancer </w:t>
      </w:r>
      <w:r w:rsidRPr="00465302">
        <w:rPr>
          <w:rFonts w:cs="Times New Roman"/>
          <w:szCs w:val="24"/>
        </w:rPr>
        <w:lastRenderedPageBreak/>
        <w:t xml:space="preserve">cells during metastasis relying on chemokine receptors, such as CXCR4 and CXCR7 and their ligand CXCL12. Based on this notion, the whole zebrafish organism was used in high throughput chemical screening to identify small-molecule modulators of PLL migration, which identified several compounds that both inhibited neuromast migration, breast cancer cell migration </w:t>
      </w:r>
      <w:r w:rsidRPr="00465302">
        <w:rPr>
          <w:rFonts w:cs="Times New Roman"/>
          <w:i/>
          <w:iCs/>
          <w:szCs w:val="24"/>
        </w:rPr>
        <w:t>in vitro</w:t>
      </w:r>
      <w:r w:rsidRPr="00465302">
        <w:rPr>
          <w:rFonts w:cs="Times New Roman"/>
          <w:szCs w:val="24"/>
        </w:rPr>
        <w:t xml:space="preserve">, as well as metastasis of the highly metastatic mouse mammary tumor cell line 4T1 </w:t>
      </w:r>
      <w:r w:rsidRPr="00465302">
        <w:rPr>
          <w:rFonts w:cs="Times New Roman"/>
          <w:i/>
          <w:iCs/>
          <w:szCs w:val="24"/>
        </w:rPr>
        <w:t>in vivo</w:t>
      </w:r>
      <w:r w:rsidRPr="00465302">
        <w:rPr>
          <w:rFonts w:cs="Times New Roman"/>
          <w:szCs w:val="24"/>
        </w:rPr>
        <w:t xml:space="preserve"> in mice </w:t>
      </w:r>
      <w:r w:rsidRPr="00465302">
        <w:rPr>
          <w:rFonts w:cs="Times New Roman"/>
          <w:szCs w:val="24"/>
        </w:rPr>
        <w:fldChar w:fldCharType="begin" w:fldLock="1"/>
      </w:r>
      <w:r w:rsidRPr="00465302">
        <w:rPr>
          <w:rFonts w:cs="Times New Roman"/>
          <w:szCs w:val="24"/>
        </w:rPr>
        <w:instrText>ADDIN CSL_CITATION {"citationItems":[{"id":"ITEM-1","itemData":{"DOI":"10.1242/dmm.018689","ISSN":"17548411","abstract":"In the last decade, high-throughput chemical screening has become the dominant approach for discovering novel compounds with therapeutic properties. Automated screening using in vitro or cultured cell assays have yielded thousands of candidate drugs for a variety of biological targets, but these approaches have not resulted in an increase in drug discovery despite major increases in expenditures. In contrast, phenotype-driven screens have shown a much stronger success rate, which is why we developed an in vivo assay using transgenic zebrafish with a GFP-marked migrating posterior lateral line primordium (PLLp) to identify compounds that influence collective cell migration. We then conducted a high-throughput screen using a compound library of 2160 annotated bioactive synthetic compounds and 800 natural products to identify molecules that block normal PLLp migration. We identified 165 compounds that interfere with primordium migration without overt toxicity in vivo. Selected compounds were confirmed in their migration-blocking activity by using additional assays for cell migration. We then proved the screen to be successful in identifying anti-metastatic compounds active in vivo by performing orthotopic tumor implantation assays in mice. We demonstrated that the Src inhibitor SU6656, identified in our screen, can be used to suppress the metastatic capacity of a highly aggressive mammary tumor cell line. Finally, we used CRISPR/Cas9-targeted mutagenesis in zebrafish to genetically validate predicted targets of compounds. This approach demonstrates that the migrating PLLp in zebrafish can be used for large-scale, high-throughput screening for compounds that inhibit collective cell migration and, potentially, anti-metastatic compounds.","author":[{"dropping-particle":"","family":"Gallardo","given":"Viviana E.","non-dropping-particle":"","parse-names":false,"suffix":""},{"dropping-particle":"","family":"Varshney","given":"Gaurav K.","non-dropping-particle":"","parse-names":false,"suffix":""},{"dropping-particle":"","family":"Lee","given":"Minnkyong","non-dropping-particle":"","parse-names":false,"suffix":""},{"dropping-particle":"","family":"Bupp","given":"Sujata","non-dropping-particle":"","parse-names":false,"suffix":""},{"dropping-particle":"","family":"Xu","given":"Lisha","non-dropping-particle":"","parse-names":false,"suffix":""},{"dropping-particle":"","family":"Shinn","given":"Paul","non-dropping-particle":"","parse-names":false,"suffix":""},{"dropping-particle":"","family":"Crawford","given":"Nigel P.","non-dropping-particle":"","parse-names":false,"suffix":""},{"dropping-particle":"","family":"Inglese","given":"James","non-dropping-particle":"","parse-names":false,"suffix":""},{"dropping-particle":"","family":"Burgess","given":"Shawn M.","non-dropping-particle":"","parse-names":false,"suffix":""}],"container-title":"DMM Disease Models and Mechanisms","id":"ITEM-1","issue":"6","issued":{"date-parts":[["2015"]]},"page":"565-576","title":"Phenotype-driven chemical screening in zebrafish for compounds that inhibit collective cell migration identifies multiple pathways potentially involved in metastatic invasion","type":"article-journal","volume":"8"},"uris":["http://www.mendeley.com/documents/?uuid=3707ac50-5150-409e-a734-21fbfcec41c3"]}],"mendeley":{"formattedCitation":"(Gallardo &lt;i&gt;et al.&lt;/i&gt;, 2015)","plainTextFormattedCitation":"(Gallardo et al., 2015)","previouslyFormattedCitation":"(Gallardo &lt;i&gt;et al.&lt;/i&gt;, 2015)"},"properties":{"noteIndex":0},"schema":"https://github.com/citation-style-language/schema/raw/master/csl-citation.json"}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 xml:space="preserve">(Gallardo </w:t>
      </w:r>
      <w:r w:rsidRPr="00465302">
        <w:rPr>
          <w:rFonts w:cs="Times New Roman"/>
          <w:i/>
          <w:noProof/>
          <w:szCs w:val="24"/>
        </w:rPr>
        <w:t>et al.</w:t>
      </w:r>
      <w:r w:rsidRPr="00465302">
        <w:rPr>
          <w:rFonts w:cs="Times New Roman"/>
          <w:noProof/>
          <w:szCs w:val="24"/>
        </w:rPr>
        <w:t>, 2015)</w:t>
      </w:r>
      <w:r w:rsidRPr="00465302">
        <w:rPr>
          <w:rFonts w:cs="Times New Roman"/>
          <w:szCs w:val="24"/>
        </w:rPr>
        <w:fldChar w:fldCharType="end"/>
      </w:r>
      <w:r w:rsidRPr="00465302">
        <w:rPr>
          <w:rFonts w:cs="Times New Roman"/>
          <w:szCs w:val="24"/>
        </w:rPr>
        <w:t xml:space="preserve">. These studies show that because of molecular and structural conservation between mammals and zebrafish, findings in the latter organism often can be extrapolated to mammals. Along this line of reasoning, chemicals that perturb neuromast development in zebrafish may pose risks to mammals, although mammals do not have neuromasts per se. Further research will be required to investigate whether the PLLDs identified here perturb mammalian tissues or cells, such as inner ear hair cells. </w:t>
      </w:r>
    </w:p>
    <w:p w14:paraId="36A17B81" w14:textId="40DBEAD3" w:rsidR="0069328F" w:rsidRPr="006F29C0" w:rsidRDefault="0069328F" w:rsidP="00317481">
      <w:pPr>
        <w:pStyle w:val="Heading3"/>
      </w:pPr>
      <w:bookmarkStart w:id="40" w:name="_Toc39502047"/>
      <w:r>
        <w:t xml:space="preserve">2.3.2 </w:t>
      </w:r>
      <w:r w:rsidRPr="00664222">
        <w:t xml:space="preserve">Identification of </w:t>
      </w:r>
      <w:r w:rsidR="00181B79">
        <w:t>A</w:t>
      </w:r>
      <w:r w:rsidRPr="00664222">
        <w:t xml:space="preserve">ltered </w:t>
      </w:r>
      <w:r w:rsidR="00181B79">
        <w:t>P</w:t>
      </w:r>
      <w:r w:rsidRPr="00664222">
        <w:t xml:space="preserve">athways </w:t>
      </w:r>
      <w:r w:rsidR="00181B79">
        <w:t>T</w:t>
      </w:r>
      <w:r w:rsidRPr="00664222">
        <w:t xml:space="preserve">hrough </w:t>
      </w:r>
      <w:r w:rsidR="00181B79">
        <w:t>C</w:t>
      </w:r>
      <w:r w:rsidRPr="00664222">
        <w:t xml:space="preserve">omputational </w:t>
      </w:r>
      <w:r w:rsidR="00181B79">
        <w:t>T</w:t>
      </w:r>
      <w:r w:rsidRPr="00664222">
        <w:t>oxicology</w:t>
      </w:r>
      <w:bookmarkEnd w:id="40"/>
      <w:r w:rsidRPr="006F29C0">
        <w:t xml:space="preserve"> </w:t>
      </w:r>
    </w:p>
    <w:p w14:paraId="4CFF52CD" w14:textId="1E4B40E7" w:rsidR="0069328F" w:rsidRPr="00465302" w:rsidRDefault="0069328F" w:rsidP="00A5237A">
      <w:pPr>
        <w:pStyle w:val="NoSpacing"/>
        <w:spacing w:after="240" w:line="480" w:lineRule="auto"/>
        <w:jc w:val="both"/>
        <w:rPr>
          <w:rFonts w:cs="Times New Roman"/>
          <w:szCs w:val="24"/>
        </w:rPr>
      </w:pPr>
      <w:r w:rsidRPr="00465302">
        <w:rPr>
          <w:rFonts w:cs="Times New Roman"/>
          <w:szCs w:val="24"/>
        </w:rPr>
        <w:t xml:space="preserve">Through computational toxicology, several assays were suggested to be affected by the PLLDs; serotonin-related assays being the most obvious ones. The neurotransmitter serotonin in mammals is present in the digestive system, blood and throughout the central nervous system. Serotonin is produced within axon terminals in a two-step process from the essential amino acid L-tryptophan with the rate-limiting step being hydroxylation of tryptophan by the enzyme tryptophan hydroxylase </w:t>
      </w:r>
      <w:r w:rsidRPr="00465302">
        <w:rPr>
          <w:rFonts w:cs="Times New Roman"/>
          <w:szCs w:val="24"/>
        </w:rPr>
        <w:fldChar w:fldCharType="begin" w:fldLock="1"/>
      </w:r>
      <w:r w:rsidRPr="00465302">
        <w:rPr>
          <w:rFonts w:cs="Times New Roman"/>
          <w:szCs w:val="24"/>
        </w:rPr>
        <w:instrText>ADDIN CSL_CITATION {"citationItems":[{"id":"ITEM-1","itemData":{"DOI":"10.1021/cr078224o","ISSN":"00092665","PMID":"18476671","author":[{"dropping-particle":"","family":"Nichols","given":"David E.","non-dropping-particle":"","parse-names":false,"suffix":""},{"dropping-particle":"","family":"Nichols","given":"Charles D.","non-dropping-particle":"","parse-names":false,"suffix":""}],"container-title":"Chemical Reviews","id":"ITEM-1","issue":"5","issued":{"date-parts":[["2008"]]},"page":"1614-1641","title":"Serotonin receptors","type":"article-journal","volume":"108"},"uris":["http://www.mendeley.com/documents/?uuid=58d2eb5b-353b-4676-874a-b6e9b29c2608"]}],"mendeley":{"formattedCitation":"(Nichols and Nichols, 2008)","plainTextFormattedCitation":"(Nichols and Nichols, 2008)","previouslyFormattedCitation":"(Nichols and Nichols, 2008)"},"properties":{"noteIndex":0},"schema":"https://github.com/citation-style-language/schema/raw/master/csl-citation.json"}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(Nichols and Nichols, 2008)</w:t>
      </w:r>
      <w:r w:rsidRPr="00465302">
        <w:rPr>
          <w:rFonts w:cs="Times New Roman"/>
          <w:szCs w:val="24"/>
        </w:rPr>
        <w:fldChar w:fldCharType="end"/>
      </w:r>
      <w:r w:rsidRPr="00465302">
        <w:rPr>
          <w:rFonts w:cs="Times New Roman"/>
          <w:szCs w:val="24"/>
        </w:rPr>
        <w:t xml:space="preserve">. Serotonin is then packed into vesicles by transporter proteins for release into the synapse in response to an action potential to activate postsynaptic receptors </w:t>
      </w:r>
      <w:r w:rsidRPr="00465302">
        <w:rPr>
          <w:rFonts w:cs="Times New Roman"/>
          <w:szCs w:val="24"/>
        </w:rPr>
        <w:fldChar w:fldCharType="begin" w:fldLock="1"/>
      </w:r>
      <w:r w:rsidRPr="00465302">
        <w:rPr>
          <w:rFonts w:cs="Times New Roman"/>
          <w:szCs w:val="24"/>
        </w:rPr>
        <w:instrText>ADDIN CSL_CITATION {"citationItems":[{"id":"ITEM-1","itemData":{"DOI":"10.1016/j.mam.2012.07.005","ISSN":"1872-9452","abstract":"The exocytotic release of neurotransmitters requires active transport into synaptic vesicles and other types of secretory vesicles. Members of the SLC18 family perform this function for acetylcholine (SLC18A3, the vesicular acetylcholine transporter or VAChT) and monoamines such as dopamine and serotonin (SLC18A1 and 2, the vesicular monoamine transporters VMAT1 and 2, respectively). To date, no specific diseases have been attributed to a mutation in an SLC18 family member; however, polymorphisms in SLC18A1 and SLC18A2 may confer risk for some neuropsychiatric disorders. Additional members of this family include SLC18A4, expressed in insects, and SLC18B1, the function of which is not known. SLC18 is part of the Drug:H(+) Antiporter-1 Family (DHA1, TCID 2.A.1.2) within the Major Facilitator Superfamily (MFS, TCID 2.A.1).","author":[{"dropping-particle":"","family":"Lawal","given":"Hakeem O","non-dropping-particle":"","parse-names":false,"suffix":""},{"dropping-particle":"","family":"Krantz","given":"David E","non-dropping-particle":"","parse-names":false,"suffix":""}],"container-title":"Molecular aspects of medicine","id":"ITEM-1","issue":"2-3","issued":{"date-parts":[["2013"]]},"language":"eng","page":"360-372","title":"SLC18: Vesicular neurotransmitter transporters for monoamines and acetylcholine","type":"article-journal","volume":"34"},"uris":["http://www.mendeley.com/documents/?uuid=01f362f3-6c8a-43f3-9203-68f3b1c6ba34"]}],"mendeley":{"formattedCitation":"(Lawal and Krantz, 2013)","plainTextFormattedCitation":"(Lawal and Krantz, 2013)","previouslyFormattedCitation":"(Lawal and Krantz, 2013)"},"properties":{"noteIndex":0},"schema":"https://github.com/citation-style-language/schema/raw/master/csl-citation.json"}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(Lawal and Krantz, 2013)</w:t>
      </w:r>
      <w:r w:rsidRPr="00465302">
        <w:rPr>
          <w:rFonts w:cs="Times New Roman"/>
          <w:szCs w:val="24"/>
        </w:rPr>
        <w:fldChar w:fldCharType="end"/>
      </w:r>
      <w:r w:rsidRPr="00465302">
        <w:rPr>
          <w:rFonts w:cs="Times New Roman"/>
          <w:szCs w:val="24"/>
        </w:rPr>
        <w:t xml:space="preserve">. The serotonin receptor family is the largest neurotransmitter G-protein coupled (GPCR) family with 13 distinct genes encoding for its receptors. Besides, there is one ligand-gated ion channel, the 5-HT3 receptor </w:t>
      </w:r>
      <w:r w:rsidRPr="00465302">
        <w:rPr>
          <w:rFonts w:cs="Times New Roman"/>
          <w:szCs w:val="24"/>
        </w:rPr>
        <w:fldChar w:fldCharType="begin" w:fldLock="1"/>
      </w:r>
      <w:r w:rsidRPr="00465302">
        <w:rPr>
          <w:rFonts w:cs="Times New Roman"/>
          <w:szCs w:val="24"/>
        </w:rPr>
        <w:instrText>ADDIN CSL_CITATION {"citationItems":[{"id":"ITEM-1","itemData":{"DOI":"10.1016/S0028-3908(99)00010-6","ISSN":"00283908","PMID":"10462127","abstract":"It is now nearly 5 years since the last of the currently recognised 5-HT receptors was identified in terms of its cDNA sequence. Over this period, much effort has been directed towards understanding the function attributable to individual 5-HT receptors in the brain. This has been helped, in part, by the synthesis of a number of compounds that selectively interact with individual 5-HT receptor subtypes-although some 5-HT receptors still lack any selective ligands (e.g. 5-ht(1E), 5-ht(5A) and 5-ht(5B) receptors). The present review provides background information for each 5-HT receptor subtype and subsequently reviews in more detail the functional responses attributed to each receptor in the brain. Clearly this latter area has moved forward in recent years and this progression is likely to continue given the level of interest associated with the actions of 5-HT. This interest is stimulated by the belief that pharmacological manipulation of the central 5-HT system will have therapeutic potential. In support of which, a number of 5-HT receptor ligands are currently utilised, or are in clinical development, to reduce the symptoms of CNS dysfunction. Copyright (C) 1999 Elsevier Science Ltd.","author":[{"dropping-particle":"","family":"Barnes","given":"Nicholas M.","non-dropping-particle":"","parse-names":false,"suffix":""},{"dropping-particle":"","family":"Sharp","given":"Trevor","non-dropping-particle":"","parse-names":false,"suffix":""}],"container-title":"Neuropharmacology","id":"ITEM-1","issue":"8","issued":{"date-parts":[["1999"]]},"page":"1083-1152","title":"A review of central 5-HT receptors and their function","type":"article-journal","volume":"38"},"uris":["http://www.mendeley.com/documents/?uuid=7f718068-5901-412f-8219-7cd949ce8024"]},{"id":"ITEM-2","itemData":{"DOI":"10.1021/cr078224o","ISSN":"00092665","PMID":"18476671","author":[{"dropping-particle":"","family":"Nichols","given":"David E.","non-dropping-particle":"","parse-names":false,"suffix":""},{"dropping-particle":"","family":"Nichols","given":"Charles D.","non-dropping-particle":"","parse-names":false,"suffix":""}],"container-title":"Chemical Reviews","id":"ITEM-2","issue":"5","issued":{"date-parts":[["2008"]]},"page":"1614-1641","title":"Serotonin receptors","type":"article-journal","volume":"108"},"uris":["http://www.mendeley.com/documents/?uuid=58d2eb5b-353b-4676-874a-b6e9b29c2608"]}],"mendeley":{"formattedCitation":"(Barnes and Sharp, 1999; Nichols and Nichols, 2008)","plainTextFormattedCitation":"(Barnes and Sharp, 1999; Nichols and Nichols, 2008)","previouslyFormattedCitation":"(Barnes and Sharp, 1999; Nichols and Nichols, 2008)"},"properties":{"noteIndex":0},"schema":"https://github.com/citation-style-language/schema/raw/master/csl-citation.json"}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 xml:space="preserve">(Barnes and Sharp, 1999; Nichols and Nichols, </w:t>
      </w:r>
      <w:r w:rsidRPr="00465302">
        <w:rPr>
          <w:rFonts w:cs="Times New Roman"/>
          <w:noProof/>
          <w:szCs w:val="24"/>
        </w:rPr>
        <w:lastRenderedPageBreak/>
        <w:t>2008)</w:t>
      </w:r>
      <w:r w:rsidRPr="00465302">
        <w:rPr>
          <w:rFonts w:cs="Times New Roman"/>
          <w:szCs w:val="24"/>
        </w:rPr>
        <w:fldChar w:fldCharType="end"/>
      </w:r>
      <w:r w:rsidRPr="00465302">
        <w:rPr>
          <w:rFonts w:cs="Times New Roman"/>
          <w:szCs w:val="24"/>
        </w:rPr>
        <w:t xml:space="preserve">. The presynaptic serotonin autoreceptors (5-HT1A and 5-HT1B receptors) respond to the presence of synaptic serotonin to regulate synthesis and release within the presynaptic axon terminal. Free serotonin is extracted from the synapse by the serotonin reuptake protein (SERT) in the presynaptic membrane. It is then either repackaged into vesicles for release into the synapse or degraded through deamination by monoamine oxidase A (MAO-A) </w:t>
      </w:r>
      <w:r w:rsidRPr="00465302">
        <w:rPr>
          <w:rFonts w:cs="Times New Roman"/>
          <w:szCs w:val="24"/>
        </w:rPr>
        <w:fldChar w:fldCharType="begin" w:fldLock="1"/>
      </w:r>
      <w:r w:rsidRPr="00465302">
        <w:rPr>
          <w:rFonts w:cs="Times New Roman"/>
          <w:szCs w:val="24"/>
        </w:rPr>
        <w:instrText>ADDIN CSL_CITATION {"citationItems":[{"id":"ITEM-1","itemData":{"DOI":"10.1021/cr078224o","ISSN":"00092665","PMID":"18476671","author":[{"dropping-particle":"","family":"Nichols","given":"David E.","non-dropping-particle":"","parse-names":false,"suffix":""},{"dropping-particle":"","family":"Nichols","given":"Charles D.","non-dropping-particle":"","parse-names":false,"suffix":""}],"container-title":"Chemical Reviews","id":"ITEM-1","issue":"5","issued":{"date-parts":[["2008"]]},"page":"1614-1641","title":"Serotonin receptors","type":"article-journal","volume":"108"},"uris":["http://www.mendeley.com/documents/?uuid=58d2eb5b-353b-4676-874a-b6e9b29c2608"]}],"mendeley":{"formattedCitation":"(Nichols and Nichols, 2008)","plainTextFormattedCitation":"(Nichols and Nichols, 2008)","previouslyFormattedCitation":"(Nichols and Nichols, 2008)"},"properties":{"noteIndex":0},"schema":"https://github.com/citation-style-language/schema/raw/master/csl-citation.json"}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(Nichols and Nichols, 2008)</w:t>
      </w:r>
      <w:r w:rsidRPr="00465302">
        <w:rPr>
          <w:rFonts w:cs="Times New Roman"/>
          <w:szCs w:val="24"/>
        </w:rPr>
        <w:fldChar w:fldCharType="end"/>
      </w:r>
      <w:r w:rsidRPr="00465302">
        <w:rPr>
          <w:rFonts w:cs="Times New Roman"/>
          <w:szCs w:val="24"/>
        </w:rPr>
        <w:t>. One of the metabotropic serotonin GPCR, the 5-HT</w:t>
      </w:r>
      <w:r w:rsidRPr="00465302">
        <w:rPr>
          <w:rFonts w:cs="Times New Roman"/>
          <w:szCs w:val="24"/>
          <w:vertAlign w:val="subscript"/>
        </w:rPr>
        <w:t>7</w:t>
      </w:r>
      <w:r w:rsidRPr="00465302">
        <w:rPr>
          <w:rFonts w:cs="Times New Roman"/>
          <w:szCs w:val="24"/>
        </w:rPr>
        <w:t xml:space="preserve"> receptor (HTR</w:t>
      </w:r>
      <w:r w:rsidRPr="00465302">
        <w:rPr>
          <w:rFonts w:cs="Times New Roman"/>
          <w:szCs w:val="24"/>
          <w:vertAlign w:val="subscript"/>
        </w:rPr>
        <w:t>7</w:t>
      </w:r>
      <w:r w:rsidRPr="00465302">
        <w:rPr>
          <w:rFonts w:cs="Times New Roman"/>
          <w:szCs w:val="24"/>
        </w:rPr>
        <w:t xml:space="preserve">) ToxCast </w:t>
      </w:r>
      <w:r w:rsidRPr="00465302">
        <w:rPr>
          <w:rFonts w:cs="Times New Roman"/>
          <w:i/>
          <w:iCs/>
          <w:szCs w:val="24"/>
        </w:rPr>
        <w:t>in vitro</w:t>
      </w:r>
      <w:r w:rsidRPr="00465302">
        <w:rPr>
          <w:rFonts w:cs="Times New Roman"/>
          <w:szCs w:val="24"/>
        </w:rPr>
        <w:t xml:space="preserve"> assay had </w:t>
      </w:r>
      <w:r w:rsidR="003C7A73">
        <w:rPr>
          <w:rFonts w:cs="Times New Roman"/>
          <w:szCs w:val="24"/>
        </w:rPr>
        <w:t>seven</w:t>
      </w:r>
      <w:r w:rsidRPr="00465302">
        <w:rPr>
          <w:rFonts w:cs="Times New Roman"/>
          <w:szCs w:val="24"/>
        </w:rPr>
        <w:t xml:space="preserve"> out of the 22 PLLDs as hits, which is a strong indication of serotonin’s role in PLL development. HTR</w:t>
      </w:r>
      <w:r w:rsidRPr="00465302">
        <w:rPr>
          <w:rFonts w:cs="Times New Roman"/>
          <w:szCs w:val="24"/>
          <w:vertAlign w:val="subscript"/>
        </w:rPr>
        <w:t>7</w:t>
      </w:r>
      <w:r w:rsidRPr="00465302">
        <w:rPr>
          <w:rFonts w:cs="Times New Roman"/>
          <w:szCs w:val="24"/>
        </w:rPr>
        <w:t xml:space="preserve"> has the highest affinity for serotonin </w:t>
      </w:r>
      <w:r w:rsidRPr="00465302">
        <w:rPr>
          <w:rFonts w:cs="Times New Roman"/>
          <w:szCs w:val="24"/>
        </w:rPr>
        <w:fldChar w:fldCharType="begin" w:fldLock="1"/>
      </w:r>
      <w:r w:rsidRPr="00465302">
        <w:rPr>
          <w:rFonts w:cs="Times New Roman"/>
          <w:szCs w:val="24"/>
        </w:rPr>
        <w:instrText>ADDIN CSL_CITATION {"citationItems":[{"id":"ITEM-1","itemData":{"DOI":"10.1038/s41380-019-0397-1","ISSN":"14765578","abstract":"Predicting antidepressant response has been a clinical challenge for mood disorder. Although several genome-wide association studies have suggested a number of genetic variants to be associated with antidepressant response, the sample sizes are small and the results are difficult to replicate. Previous animal studies have shown that knockout of the serotonin receptor 7 gene (HTR7) resulted in an antidepressant-like phenotype, suggesting it was important to antidepressant action. In this report, in the first stage, we used a cost-effective pooled-sequencing strategy to sequence the entire HTR7 gene and its regulatory regions to investigate the association of common variants in HTR7 and clinical response to four selective serotonin reuptake inhibitors (SSRIs: citalopram, paroxetine, fluoxetine and sertraline) in a retrospective cohort mainly consisting of subjects with bipolar disorder (n = 359). We found 80 single-nucleotide polymorphisms (SNPs) with false discovery rate &lt; 0.05 associated with response to paroxetine. Among the significant SNPs, rs7905446 (T/G), which is located at the promoter region, also showed nominal significance (P &lt; 0.05) in fluoxetine group. GG/TG genotypes for rs7905446 and female gender were associated with better response to two SSRIs (paroxetine and fluoxetine). In the second stage, we replicated this association in two independent prospective samples of SSRI-treated patients with major depressive disorder: the MARS (n = 253, P = 0.0169) and GENDEP studies (n = 432, P = 0.008). The GG/TG genotypes were consistently associated with response in all three samples. Functional study of rs7905446 showed greater activity of the G allele in regulating expression of HTR7. The G allele displayed higher luciferase activity in two neuronal-related cell lines, and estrogen treatment decreased the activity of only the G allele. Electrophoretic mobility shift assay suggested that the G allele interacted with CCAAT/enhancer-binding protein beta transcription factor (TF), while the T allele did not show any interaction with any TFs. Our results provided novel pharmacogenomic evidence to support the role of HTR7 in association with antidepressant response.","author":[{"dropping-particle":"","family":"Wei","given":"Ya","non-dropping-particle":"Bin","parse-names":false,"suffix":""},{"dropping-particle":"","family":"McCarthy","given":"Michael","non-dropping-particle":"","parse-names":false,"suffix":""},{"dropping-particle":"","family":"Ren","given":"Hongyan","non-dropping-particle":"","parse-names":false,"suffix":""},{"dropping-particle":"","family":"Carrillo-Roa","given":"Tania","non-dropping-particle":"","parse-names":false,"suffix":""},{"dropping-particle":"","family":"Shekhtman","given":"Tatyana","non-dropping-particle":"","parse-names":false,"suffix":""},{"dropping-particle":"","family":"DeModena","given":"Anna","non-dropping-particle":"","parse-names":false,"suffix":""},{"dropping-particle":"","family":"Liu","given":"Jia Jia","non-dropping-particle":"","parse-names":false,"suffix":""},{"dropping-particle":"","family":"Leckband","given":"Susan G.","non-dropping-particle":"","parse-names":false,"suffix":""},{"dropping-particle":"","family":"Mors","given":"Ole","non-dropping-particle":"","parse-names":false,"suffix":""},{"dropping-particle":"","family":"Rietschel","given":"Marcella","non-dropping-particle":"","parse-names":false,"suffix":""},{"dropping-particle":"","family":"Henigsberg","given":"Neven","non-dropping-particle":"","parse-names":false,"suffix":""},{"dropping-particle":"","family":"Cattaneo","given":"Annamaria","non-dropping-particle":"","parse-names":false,"suffix":""},{"dropping-particle":"","family":"Binder","given":"Elisabeth B.","non-dropping-particle":"","parse-names":false,"suffix":""},{"dropping-particle":"","family":"Aitchison","given":"Katherine J.","non-dropping-particle":"","parse-names":false,"suffix":""},{"dropping-particle":"","family":"Kelsoe","given":"John R.","non-dropping-particle":"","parse-names":false,"suffix":""}],"container-title":"Molecular Psychiatry","id":"ITEM-1","issued":{"date-parts":[["2019"]]},"title":"A functional variant in the serotonin receptor 7 gene (HTR7), rs7905446, is associated with good response to SSRIs in bipolar and unipolar depression","type":"article-journal"},"uris":["http://www.mendeley.com/documents/?uuid=025627ee-6030-492b-9f66-3cc2f64461f0"]},{"id":"ITEM-2","itemData":{"DOI":"10.1016/S0028-3908(99)00010-6","ISSN":"00283908","PMID":"10462127","abstract":"It is now nearly 5 years since the last of the currently recognised 5-HT receptors was identified in terms of its cDNA sequence. Over this period, much effort has been directed towards understanding the function attributable to individual 5-HT receptors in the brain. This has been helped, in part, by the synthesis of a number of compounds that selectively interact with individual 5-HT receptor subtypes-although some 5-HT receptors still lack any selective ligands (e.g. 5-ht(1E), 5-ht(5A) and 5-ht(5B) receptors). The present review provides background information for each 5-HT receptor subtype and subsequently reviews in more detail the functional responses attributed to each receptor in the brain. Clearly this latter area has moved forward in recent years and this progression is likely to continue given the level of interest associated with the actions of 5-HT. This interest is stimulated by the belief that pharmacological manipulation of the central 5-HT system will have therapeutic potential. In support of which, a number of 5-HT receptor ligands are currently utilised, or are in clinical development, to reduce the symptoms of CNS dysfunction. Copyright (C) 1999 Elsevier Science Ltd.","author":[{"dropping-particle":"","family":"Barnes","given":"Nicholas M.","non-dropping-particle":"","parse-names":false,"suffix":""},{"dropping-particle":"","family":"Sharp","given":"Trevor","non-dropping-particle":"","parse-names":false,"suffix":""}],"container-title":"Neuropharmacology","id":"ITEM-2","issue":"8","issued":{"date-parts":[["1999"]]},"page":"1083-1152","title":"A review of central 5-HT receptors and their function","type":"article-journal","volume":"38"},"uris":["http://www.mendeley.com/documents/?uuid=7f718068-5901-412f-8219-7cd949ce8024"]}],"mendeley":{"formattedCitation":"(Barnes and Sharp, 1999; Bin Wei &lt;i&gt;et al.&lt;/i&gt;, 2019)","plainTextFormattedCitation":"(Barnes and Sharp, 1999; Bin Wei et al., 2019)","previouslyFormattedCitation":"(Barnes and Sharp, 1999; Bin Wei &lt;i&gt;et al.&lt;/i&gt;, 2019)"},"properties":{"noteIndex":0},"schema":"https://github.com/citation-style-language/schema/raw/master/csl-citation.json"}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 xml:space="preserve">(Barnes and Sharp, 1999; Bin Wei </w:t>
      </w:r>
      <w:r w:rsidRPr="00465302">
        <w:rPr>
          <w:rFonts w:cs="Times New Roman"/>
          <w:i/>
          <w:noProof/>
          <w:szCs w:val="24"/>
        </w:rPr>
        <w:t>et al.</w:t>
      </w:r>
      <w:r w:rsidRPr="00465302">
        <w:rPr>
          <w:rFonts w:cs="Times New Roman"/>
          <w:noProof/>
          <w:szCs w:val="24"/>
        </w:rPr>
        <w:t>, 2019)</w:t>
      </w:r>
      <w:r w:rsidRPr="00465302">
        <w:rPr>
          <w:rFonts w:cs="Times New Roman"/>
          <w:szCs w:val="24"/>
        </w:rPr>
        <w:fldChar w:fldCharType="end"/>
      </w:r>
      <w:r w:rsidRPr="00465302">
        <w:rPr>
          <w:rFonts w:cs="Times New Roman"/>
          <w:szCs w:val="24"/>
        </w:rPr>
        <w:t xml:space="preserve"> and is expressed in the hypothalamus, thalamus, hippocampus and the cerebral cortex in the CNS </w:t>
      </w:r>
      <w:r w:rsidRPr="00465302">
        <w:rPr>
          <w:rFonts w:cs="Times New Roman"/>
          <w:szCs w:val="24"/>
        </w:rPr>
        <w:fldChar w:fldCharType="begin" w:fldLock="1"/>
      </w:r>
      <w:r w:rsidRPr="00465302">
        <w:rPr>
          <w:rFonts w:cs="Times New Roman"/>
          <w:szCs w:val="24"/>
        </w:rPr>
        <w:instrText>ADDIN CSL_CITATION {"citationItems":[{"id":"ITEM-1","itemData":{"DOI":"10.1016/S0028-3908(99)00010-6","ISSN":"00283908","PMID":"10462127","abstract":"It is now nearly 5 years since the last of the currently recognised 5-HT receptors was identified in terms of its cDNA sequence. Over this period, much effort has been directed towards understanding the function attributable to individual 5-HT receptors in the brain. This has been helped, in part, by the synthesis of a number of compounds that selectively interact with individual 5-HT receptor subtypes-although some 5-HT receptors still lack any selective ligands (e.g. 5-ht(1E), 5-ht(5A) and 5-ht(5B) receptors). The present review provides background information for each 5-HT receptor subtype and subsequently reviews in more detail the functional responses attributed to each receptor in the brain. Clearly this latter area has moved forward in recent years and this progression is likely to continue given the level of interest associated with the actions of 5-HT. This interest is stimulated by the belief that pharmacological manipulation of the central 5-HT system will have therapeutic potential. In support of which, a number of 5-HT receptor ligands are currently utilised, or are in clinical development, to reduce the symptoms of CNS dysfunction. Copyright (C) 1999 Elsevier Science Ltd.","author":[{"dropping-particle":"","family":"Barnes","given":"Nicholas M.","non-dropping-particle":"","parse-names":false,"suffix":""},{"dropping-particle":"","family":"Sharp","given":"Trevor","non-dropping-particle":"","parse-names":false,"suffix":""}],"container-title":"Neuropharmacology","id":"ITEM-1","issue":"8","issued":{"date-parts":[["1999"]]},"page":"1083-1152","title":"A review of central 5-HT receptors and their function","type":"article-journal","volume":"38"},"uris":["http://www.mendeley.com/documents/?uuid=7f718068-5901-412f-8219-7cd949ce8024"]},{"id":"ITEM-2","itemData":{"DOI":"10.1021/cr078224o","ISSN":"00092665","PMID":"18476671","author":[{"dropping-particle":"","family":"Nichols","given":"David E.","non-dropping-particle":"","parse-names":false,"suffix":""},{"dropping-particle":"","family":"Nichols","given":"Charles D.","non-dropping-particle":"","parse-names":false,"suffix":""}],"container-title":"Chemical Reviews","id":"ITEM-2","issue":"5","issued":{"date-parts":[["2008"]]},"page":"1614-1641","title":"Serotonin receptors","type":"article-journal","volume":"108"},"uris":["http://www.mendeley.com/documents/?uuid=58d2eb5b-353b-4676-874a-b6e9b29c2608"]},{"id":"ITEM-3","itemData":{"DOI":"10.1038/s41380-019-0397-1","ISSN":"14765578","abstract":"Predicting antidepressant response has been a clinical challenge for mood disorder. Although several genome-wide association studies have suggested a number of genetic variants to be associated with antidepressant response, the sample sizes are small and the results are difficult to replicate. Previous animal studies have shown that knockout of the serotonin receptor 7 gene (HTR7) resulted in an antidepressant-like phenotype, suggesting it was important to antidepressant action. In this report, in the first stage, we used a cost-effective pooled-sequencing strategy to sequence the entire HTR7 gene and its regulatory regions to investigate the association of common variants in HTR7 and clinical response to four selective serotonin reuptake inhibitors (SSRIs: citalopram, paroxetine, fluoxetine and sertraline) in a retrospective cohort mainly consisting of subjects with bipolar disorder (n = 359). We found 80 single-nucleotide polymorphisms (SNPs) with false discovery rate &lt; 0.05 associated with response to paroxetine. Among the significant SNPs, rs7905446 (T/G), which is located at the promoter region, also showed nominal significance (P &lt; 0.05) in fluoxetine group. GG/TG genotypes for rs7905446 and female gender were associated with better response to two SSRIs (paroxetine and fluoxetine). In the second stage, we replicated this association in two independent prospective samples of SSRI-treated patients with major depressive disorder: the MARS (n = 253, P = 0.0169) and GENDEP studies (n = 432, P = 0.008). The GG/TG genotypes were consistently associated with response in all three samples. Functional study of rs7905446 showed greater activity of the G allele in regulating expression of HTR7. The G allele displayed higher luciferase activity in two neuronal-related cell lines, and estrogen treatment decreased the activity of only the G allele. Electrophoretic mobility shift assay suggested that the G allele interacted with CCAAT/enhancer-binding protein beta transcription factor (TF), while the T allele did not show any interaction with any TFs. Our results provided novel pharmacogenomic evidence to support the role of HTR7 in association with antidepressant response.","author":[{"dropping-particle":"","family":"Wei","given":"Ya","non-dropping-particle":"Bin","parse-names":false,"suffix":""},{"dropping-particle":"","family":"McCarthy","given":"Michael","non-dropping-particle":"","parse-names":false,"suffix":""},{"dropping-particle":"","family":"Ren","given":"Hongyan","non-dropping-particle":"","parse-names":false,"suffix":""},{"dropping-particle":"","family":"Carrillo-Roa","given":"Tania","non-dropping-particle":"","parse-names":false,"suffix":""},{"dropping-particle":"","family":"Shekhtman","given":"Tatyana","non-dropping-particle":"","parse-names":false,"suffix":""},{"dropping-particle":"","family":"DeModena","given":"Anna","non-dropping-particle":"","parse-names":false,"suffix":""},{"dropping-particle":"","family":"Liu","given":"Jia Jia","non-dropping-particle":"","parse-names":false,"suffix":""},{"dropping-particle":"","family":"Leckband","given":"Susan G.","non-dropping-particle":"","parse-names":false,"suffix":""},{"dropping-particle":"","family":"Mors","given":"Ole","non-dropping-particle":"","parse-names":false,"suffix":""},{"dropping-particle":"","family":"Rietschel","given":"Marcella","non-dropping-particle":"","parse-names":false,"suffix":""},{"dropping-particle":"","family":"Henigsberg","given":"Neven","non-dropping-particle":"","parse-names":false,"suffix":""},{"dropping-particle":"","family":"Cattaneo","given":"Annamaria","non-dropping-particle":"","parse-names":false,"suffix":""},{"dropping-particle":"","family":"Binder","given":"Elisabeth B.","non-dropping-particle":"","parse-names":false,"suffix":""},{"dropping-particle":"","family":"Aitchison","given":"Katherine J.","non-dropping-particle":"","parse-names":false,"suffix":""},{"dropping-particle":"","family":"Kelsoe","given":"John R.","non-dropping-particle":"","parse-names":false,"suffix":""}],"container-title":"Molecular Psychiatry","id":"ITEM-3","issued":{"date-parts":[["2019"]]},"title":"A functional variant in the serotonin receptor 7 gene (HTR7), rs7905446, is associated with good response to SSRIs in bipolar and unipolar depression","type":"article-journal"},"uris":["http://www.mendeley.com/documents/?uuid=025627ee-6030-492b-9f66-3cc2f64461f0"]},{"id":"ITEM-4","itemData":{"ISSN":"00219258","PMID":"8226867","abstract":"An intron-containing gene encoding a novel human serotonin (5-HT) receptor was isolated from human genomic and cDNA libraries with probes directed to transmembrane regions of the adenylate cyclase stimulatory Drosophila serotonin receptor gene, 5-HT(dro1). Membranes harvested from transiently transfected Cos-7 cells displayed high affinity (K(d) = 8.5 nM), saturable (B(max) = 6.6 pmol/mg protein) [3H]5-HT binding. The rank order of potencies for serotonergic ligands to displace specific [3H]5-HT binding was: 5- carboxamido-tryptamine &gt; methiothepin &gt; metergoline &gt; 5-HT &gt; 8-hydroxy-2- (di-n-propylamino)tetralin &gt; sumatriptan &gt; ketanserin &gt; zacopride. 5-HT produced a dose-dependent (EC50 = 992 nM) stimulation (</w:instrText>
      </w:r>
      <w:r w:rsidRPr="00465302">
        <w:rPr>
          <w:rFonts w:ascii="Cambria Math" w:hAnsi="Cambria Math" w:cs="Cambria Math"/>
          <w:szCs w:val="24"/>
        </w:rPr>
        <w:instrText>≃</w:instrText>
      </w:r>
      <w:r w:rsidRPr="00465302">
        <w:rPr>
          <w:rFonts w:cs="Times New Roman"/>
          <w:szCs w:val="24"/>
        </w:rPr>
        <w:instrText>20-fold) of cAMP accumulation in transiently transfected cells, and this response was antagonized by the nonselective 5-HT antagonist methiothepin. RNA for this gene was predominantly detected in the human brain and a subset of peripheral tissues including coronary artery and several tissues of the gastrointestinal tract. The molecular biological and pharmacological properties of this receptor suggest that it is the first member of a new serotonin receptor subfamily (5-HT7). The second messenger coupling, and tissue distribution indicate a possible identity to 5-HT receptors that mediate relaxant responses in certain isolated blood vessels.","author":[{"dropping-particle":"","family":"Bard","given":"J. A.","non-dropping-particle":"","parse-names":false,"suffix":""},{"dropping-particle":"","family":"Zgombick","given":"J.","non-dropping-particle":"","parse-names":false,"suffix":""},{"dropping-particle":"","family":"Adham","given":"N.","non-dropping-particle":"","parse-names":false,"suffix":""},{"dropping-particle":"","family":"Vaysse","given":"P.","non-dropping-particle":"","parse-names":false,"suffix":""},{"dropping-particle":"","family":"Branchek","given":"T. A.","non-dropping-particle":"","parse-names":false,"suffix":""},{"dropping-particle":"","family":"Weinshank","given":"R. L.","non-dropping-particle":"","parse-names":false,"suffix":""}],"container-title":"Journal of Biological Chemistry","id":"ITEM-4","issue":"31","issued":{"date-parts":[["1993"]]},"page":"23422-23426","title":"Cloning of a novel human serotonin receptor (5-HT7) positively linked to adenylate cyclase","type":"article-journal","volume":"268"},"uris":["http://www.mendeley.com/documents/?uuid=9f16db78-77e8-44f8-8504-81445f74bb49"]}],"mendeley":{"formattedCitation":"(Bard &lt;i&gt;et al.&lt;/i&gt;, 1993; Barnes and Sharp, 1999; Nichols and Nichols, 2008; Bin Wei &lt;i&gt;et al.&lt;/i&gt;, 2019)","plainTextFormattedCitation":"(Bard et al., 1993; Barnes and Sharp, 1999; Nichols and Nichols, 2008; Bin Wei et al., 2019)","previouslyFormattedCitation":"(Bard &lt;i&gt;et al.&lt;/i&gt;, 1993; Barnes and Sharp, 1999; Nichols and Nichols, 2008; Bin Wei &lt;i&gt;et al.&lt;/i&gt;, 2019)"},"properties":{"noteIndex":0},"schema":"https://github.com/citation-style-language/schema/raw/master/csl-citation.json"}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 xml:space="preserve">(Bard </w:t>
      </w:r>
      <w:r w:rsidRPr="00465302">
        <w:rPr>
          <w:rFonts w:cs="Times New Roman"/>
          <w:i/>
          <w:noProof/>
          <w:szCs w:val="24"/>
        </w:rPr>
        <w:t>et al.</w:t>
      </w:r>
      <w:r w:rsidRPr="00465302">
        <w:rPr>
          <w:rFonts w:cs="Times New Roman"/>
          <w:noProof/>
          <w:szCs w:val="24"/>
        </w:rPr>
        <w:t xml:space="preserve">, 1993; Barnes and Sharp, 1999; Nichols and Nichols, 2008; Bin Wei </w:t>
      </w:r>
      <w:r w:rsidRPr="00465302">
        <w:rPr>
          <w:rFonts w:cs="Times New Roman"/>
          <w:i/>
          <w:noProof/>
          <w:szCs w:val="24"/>
        </w:rPr>
        <w:t>et al.</w:t>
      </w:r>
      <w:r w:rsidRPr="00465302">
        <w:rPr>
          <w:rFonts w:cs="Times New Roman"/>
          <w:noProof/>
          <w:szCs w:val="24"/>
        </w:rPr>
        <w:t>, 2019)</w:t>
      </w:r>
      <w:r w:rsidRPr="00465302">
        <w:rPr>
          <w:rFonts w:cs="Times New Roman"/>
          <w:szCs w:val="24"/>
        </w:rPr>
        <w:fldChar w:fldCharType="end"/>
      </w:r>
      <w:r w:rsidRPr="00465302">
        <w:rPr>
          <w:rFonts w:cs="Times New Roman"/>
          <w:szCs w:val="24"/>
        </w:rPr>
        <w:t>. HTR</w:t>
      </w:r>
      <w:r w:rsidRPr="00465302">
        <w:rPr>
          <w:rFonts w:cs="Times New Roman"/>
          <w:szCs w:val="24"/>
          <w:vertAlign w:val="subscript"/>
        </w:rPr>
        <w:t>7</w:t>
      </w:r>
      <w:r w:rsidRPr="00465302">
        <w:rPr>
          <w:rFonts w:cs="Times New Roman"/>
          <w:szCs w:val="24"/>
        </w:rPr>
        <w:t xml:space="preserve"> is involved in regulating sleep, circadian rhythms, body temperature and has also been indicated as playing a role in depression </w:t>
      </w:r>
      <w:r w:rsidRPr="00465302">
        <w:rPr>
          <w:rFonts w:cs="Times New Roman"/>
          <w:szCs w:val="24"/>
        </w:rPr>
        <w:fldChar w:fldCharType="begin" w:fldLock="1"/>
      </w:r>
      <w:r w:rsidRPr="00465302">
        <w:rPr>
          <w:rFonts w:cs="Times New Roman"/>
          <w:szCs w:val="24"/>
        </w:rPr>
        <w:instrText>ADDIN CSL_CITATION {"citationItems":[{"id":"ITEM-1","itemData":{"DOI":"10.1016/S0028-3908(99)00010-6","ISSN":"00283908","PMID":"10462127","abstract":"It is now nearly 5 years since the last of the currently recognised 5-HT receptors was identified in terms of its cDNA sequence. Over this period, much effort has been directed towards understanding the function attributable to individual 5-HT receptors in the brain. This has been helped, in part, by the synthesis of a number of compounds that selectively interact with individual 5-HT receptor subtypes-although some 5-HT receptors still lack any selective ligands (e.g. 5-ht(1E), 5-ht(5A) and 5-ht(5B) receptors). The present review provides background information for each 5-HT receptor subtype and subsequently reviews in more detail the functional responses attributed to each receptor in the brain. Clearly this latter area has moved forward in recent years and this progression is likely to continue given the level of interest associated with the actions of 5-HT. This interest is stimulated by the belief that pharmacological manipulation of the central 5-HT system will have therapeutic potential. In support of which, a number of 5-HT receptor ligands are currently utilised, or are in clinical development, to reduce the symptoms of CNS dysfunction. Copyright (C) 1999 Elsevier Science Ltd.","author":[{"dropping-particle":"","family":"Barnes","given":"Nicholas M.","non-dropping-particle":"","parse-names":false,"suffix":""},{"dropping-particle":"","family":"Sharp","given":"Trevor","non-dropping-particle":"","parse-names":false,"suffix":""}],"container-title":"Neuropharmacology","id":"ITEM-1","issue":"8","issued":{"date-parts":[["1999"]]},"page":"1083-1152","title":"A review of central 5-HT receptors and their function","type":"article-journal","volume":"38"},"uris":["http://www.mendeley.com/documents/?uuid=7f718068-5901-412f-8219-7cd949ce8024"]},{"id":"ITEM-2","itemData":{"DOI":"10.1021/cr078224o","ISSN":"00092665","PMID":"18476671","author":[{"dropping-particle":"","family":"Nichols","given":"David E.","non-dropping-particle":"","parse-names":false,"suffix":""},{"dropping-particle":"","family":"Nichols","given":"Charles D.","non-dropping-particle":"","parse-names":false,"suffix":""}],"container-title":"Chemical Reviews","id":"ITEM-2","issue":"5","issued":{"date-parts":[["2008"]]},"page":"1614-1641","title":"Serotonin receptors","type":"article-journal","volume":"108"},"uris":["http://www.mendeley.com/documents/?uuid=58d2eb5b-353b-4676-874a-b6e9b29c2608"]},{"id":"ITEM-3","itemData":{"DOI":"10.1038/s41380-019-0397-1","ISSN":"14765578","abstract":"Predicting antidepressant response has been a clinical challenge for mood disorder. Although several genome-wide association studies have suggested a number of genetic variants to be associated with antidepressant response, the sample sizes are small and the results are difficult to replicate. Previous animal studies have shown that knockout of the serotonin receptor 7 gene (HTR7) resulted in an antidepressant-like phenotype, suggesting it was important to antidepressant action. In this report, in the first stage, we used a cost-effective pooled-sequencing strategy to sequence the entire HTR7 gene and its regulatory regions to investigate the association of common variants in HTR7 and clinical response to four selective serotonin reuptake inhibitors (SSRIs: citalopram, paroxetine, fluoxetine and sertraline) in a retrospective cohort mainly consisting of subjects with bipolar disorder (n = 359). We found 80 single-nucleotide polymorphisms (SNPs) with false discovery rate &lt; 0.05 associated with response to paroxetine. Among the significant SNPs, rs7905446 (T/G), which is located at the promoter region, also showed nominal significance (P &lt; 0.05) in fluoxetine group. GG/TG genotypes for rs7905446 and female gender were associated with better response to two SSRIs (paroxetine and fluoxetine). In the second stage, we replicated this association in two independent prospective samples of SSRI-treated patients with major depressive disorder: the MARS (n = 253, P = 0.0169) and GENDEP studies (n = 432, P = 0.008). The GG/TG genotypes were consistently associated with response in all three samples. Functional study of rs7905446 showed greater activity of the G allele in regulating expression of HTR7. The G allele displayed higher luciferase activity in two neuronal-related cell lines, and estrogen treatment decreased the activity of only the G allele. Electrophoretic mobility shift assay suggested that the G allele interacted with CCAAT/enhancer-binding protein beta transcription factor (TF), while the T allele did not show any interaction with any TFs. Our results provided novel pharmacogenomic evidence to support the role of HTR7 in association with antidepressant response.","author":[{"dropping-particle":"","family":"Wei","given":"Ya","non-dropping-particle":"Bin","parse-names":false,"suffix":""},{"dropping-particle":"","family":"McCarthy","given":"Michael","non-dropping-particle":"","parse-names":false,"suffix":""},{"dropping-particle":"","family":"Ren","given":"Hongyan","non-dropping-particle":"","parse-names":false,"suffix":""},{"dropping-particle":"","family":"Carrillo-Roa","given":"Tania","non-dropping-particle":"","parse-names":false,"suffix":""},{"dropping-particle":"","family":"Shekhtman","given":"Tatyana","non-dropping-particle":"","parse-names":false,"suffix":""},{"dropping-particle":"","family":"DeModena","given":"Anna","non-dropping-particle":"","parse-names":false,"suffix":""},{"dropping-particle":"","family":"Liu","given":"Jia Jia","non-dropping-particle":"","parse-names":false,"suffix":""},{"dropping-particle":"","family":"Leckband","given":"Susan G.","non-dropping-particle":"","parse-names":false,"suffix":""},{"dropping-particle":"","family":"Mors","given":"Ole","non-dropping-particle":"","parse-names":false,"suffix":""},{"dropping-particle":"","family":"Rietschel","given":"Marcella","non-dropping-particle":"","parse-names":false,"suffix":""},{"dropping-particle":"","family":"Henigsberg","given":"Neven","non-dropping-particle":"","parse-names":false,"suffix":""},{"dropping-particle":"","family":"Cattaneo","given":"Annamaria","non-dropping-particle":"","parse-names":false,"suffix":""},{"dropping-particle":"","family":"Binder","given":"Elisabeth B.","non-dropping-particle":"","parse-names":false,"suffix":""},{"dropping-particle":"","family":"Aitchison","given":"Katherine J.","non-dropping-particle":"","parse-names":false,"suffix":""},{"dropping-particle":"","family":"Kelsoe","given":"John R.","non-dropping-particle":"","parse-names":false,"suffix":""}],"container-title":"Molecular Psychiatry","id":"ITEM-3","issued":{"date-parts":[["2019"]]},"title":"A functional variant in the serotonin receptor 7 gene (HTR7), rs7905446, is associated with good response to SSRIs in bipolar and unipolar depression","type":"article-journal"},"uris":["http://www.mendeley.com/documents/?uuid=025627ee-6030-492b-9f66-3cc2f64461f0"]}],"mendeley":{"formattedCitation":"(Barnes and Sharp, 1999; Nichols and Nichols, 2008; Bin Wei &lt;i&gt;et al.&lt;/i&gt;, 2019)","plainTextFormattedCitation":"(Barnes and Sharp, 1999; Nichols and Nichols, 2008; Bin Wei et al., 2019)","previouslyFormattedCitation":"(Barnes and Sharp, 1999; Nichols and Nichols, 2008; Bin Wei &lt;i&gt;et al.&lt;/i&gt;, 2019)"},"properties":{"noteIndex":0},"schema":"https://github.com/citation-style-language/schema/raw/master/csl-citation.json"}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 xml:space="preserve">(Barnes and Sharp, 1999; Nichols and Nichols, 2008; Bin Wei </w:t>
      </w:r>
      <w:r w:rsidRPr="00465302">
        <w:rPr>
          <w:rFonts w:cs="Times New Roman"/>
          <w:i/>
          <w:noProof/>
          <w:szCs w:val="24"/>
        </w:rPr>
        <w:t>et al.</w:t>
      </w:r>
      <w:r w:rsidRPr="00465302">
        <w:rPr>
          <w:rFonts w:cs="Times New Roman"/>
          <w:noProof/>
          <w:szCs w:val="24"/>
        </w:rPr>
        <w:t>, 2019)</w:t>
      </w:r>
      <w:r w:rsidRPr="00465302">
        <w:rPr>
          <w:rFonts w:cs="Times New Roman"/>
          <w:szCs w:val="24"/>
        </w:rPr>
        <w:fldChar w:fldCharType="end"/>
      </w:r>
      <w:r w:rsidRPr="00465302">
        <w:rPr>
          <w:rFonts w:cs="Times New Roman"/>
          <w:szCs w:val="24"/>
        </w:rPr>
        <w:t xml:space="preserve">. Seven of the PLLDs also affected the CYP2D1 assay. CYP2D1 is a rat cytochrome P450 enzyme that is homologous to the human CYP2D6 (83% homology) </w:t>
      </w:r>
      <w:r w:rsidRPr="00465302">
        <w:rPr>
          <w:rFonts w:cs="Times New Roman"/>
          <w:szCs w:val="24"/>
        </w:rPr>
        <w:fldChar w:fldCharType="begin" w:fldLock="1"/>
      </w:r>
      <w:r w:rsidRPr="00465302">
        <w:rPr>
          <w:rFonts w:cs="Times New Roman"/>
          <w:szCs w:val="24"/>
        </w:rPr>
        <w:instrText xml:space="preserve">ADDIN CSL_CITATION {"citationItems":[{"id":"ITEM-1","itemData":{"DOI":"10.1124/dmd.119.088526","ISSN":"1521009X","abstract":"Rat CYP2D1 has been considered as an ortholog of human CYP2D6. To assess the role of CYP2D1 in physiologic processes and drug metabolism, a CYP2D1-null rat model was generated with a CRISPR/Cas9 method. Seven base pairs were deleted from exon 4 of CYP2D1 of Sprague-Dawley wild-type (WT) rats. The CYP2D1-null rats were viable and showed no abnormalities in general appearance and behavior. The metabolism of venlafaxine (VLF) was further studied in CYP2D1-null rats. The Vmax and intrinsic clearance of the liver microsomes in vitro from CYP2D1-null rats were decreased (by </w:instrText>
      </w:r>
      <w:r w:rsidRPr="00465302">
        <w:rPr>
          <w:rFonts w:ascii="Cambria Math" w:hAnsi="Cambria Math" w:cs="Cambria Math"/>
          <w:szCs w:val="24"/>
        </w:rPr>
        <w:instrText>∼</w:instrText>
      </w:r>
      <w:r w:rsidRPr="00465302">
        <w:rPr>
          <w:rFonts w:cs="Times New Roman"/>
          <w:szCs w:val="24"/>
        </w:rPr>
        <w:instrText xml:space="preserve">46% and </w:instrText>
      </w:r>
      <w:r w:rsidRPr="00465302">
        <w:rPr>
          <w:rFonts w:ascii="Cambria Math" w:hAnsi="Cambria Math" w:cs="Cambria Math"/>
          <w:szCs w:val="24"/>
        </w:rPr>
        <w:instrText>∼</w:instrText>
      </w:r>
      <w:r w:rsidRPr="00465302">
        <w:rPr>
          <w:rFonts w:cs="Times New Roman"/>
          <w:szCs w:val="24"/>
        </w:rPr>
        <w:instrText xml:space="preserve">57% in males and </w:instrText>
      </w:r>
      <w:r w:rsidRPr="00465302">
        <w:rPr>
          <w:rFonts w:ascii="Cambria Math" w:hAnsi="Cambria Math" w:cs="Cambria Math"/>
          <w:szCs w:val="24"/>
        </w:rPr>
        <w:instrText>∼</w:instrText>
      </w:r>
      <w:r w:rsidRPr="00465302">
        <w:rPr>
          <w:rFonts w:cs="Times New Roman"/>
          <w:szCs w:val="24"/>
        </w:rPr>
        <w:instrText xml:space="preserve">47% and </w:instrText>
      </w:r>
      <w:r w:rsidRPr="00465302">
        <w:rPr>
          <w:rFonts w:ascii="Cambria Math" w:hAnsi="Cambria Math" w:cs="Cambria Math"/>
          <w:szCs w:val="24"/>
        </w:rPr>
        <w:instrText>∼</w:instrText>
      </w:r>
      <w:r w:rsidRPr="00465302">
        <w:rPr>
          <w:rFonts w:cs="Times New Roman"/>
          <w:szCs w:val="24"/>
        </w:rPr>
        <w:instrText xml:space="preserve">58% in females, respectively), while the Michaelis constant was increased (by </w:instrText>
      </w:r>
      <w:r w:rsidRPr="00465302">
        <w:rPr>
          <w:rFonts w:ascii="Cambria Math" w:hAnsi="Cambria Math" w:cs="Cambria Math"/>
          <w:szCs w:val="24"/>
        </w:rPr>
        <w:instrText>∼</w:instrText>
      </w:r>
      <w:r w:rsidRPr="00465302">
        <w:rPr>
          <w:rFonts w:cs="Times New Roman"/>
          <w:szCs w:val="24"/>
        </w:rPr>
        <w:instrText xml:space="preserve">24% in males and </w:instrText>
      </w:r>
      <w:r w:rsidRPr="00465302">
        <w:rPr>
          <w:rFonts w:ascii="Cambria Math" w:hAnsi="Cambria Math" w:cs="Cambria Math"/>
          <w:szCs w:val="24"/>
        </w:rPr>
        <w:instrText>∼</w:instrText>
      </w:r>
      <w:r w:rsidRPr="00465302">
        <w:rPr>
          <w:rFonts w:cs="Times New Roman"/>
          <w:szCs w:val="24"/>
        </w:rPr>
        <w:instrText xml:space="preserve">25% in females) compared with WT rats. In the pharmacokinetic studies, compared with WT rats, VLF in CYP2D1-null rats had significantly lower apparent total clearance and apparent volume of distribution (decreased by </w:instrText>
      </w:r>
      <w:r w:rsidRPr="00465302">
        <w:rPr>
          <w:rFonts w:ascii="Cambria Math" w:hAnsi="Cambria Math" w:cs="Cambria Math"/>
          <w:szCs w:val="24"/>
        </w:rPr>
        <w:instrText>∼</w:instrText>
      </w:r>
      <w:r w:rsidRPr="00465302">
        <w:rPr>
          <w:rFonts w:cs="Times New Roman"/>
          <w:szCs w:val="24"/>
        </w:rPr>
        <w:instrText xml:space="preserve">36% and </w:instrText>
      </w:r>
      <w:r w:rsidRPr="00465302">
        <w:rPr>
          <w:rFonts w:ascii="Cambria Math" w:hAnsi="Cambria Math" w:cs="Cambria Math"/>
          <w:szCs w:val="24"/>
        </w:rPr>
        <w:instrText>∼</w:instrText>
      </w:r>
      <w:r w:rsidRPr="00465302">
        <w:rPr>
          <w:rFonts w:cs="Times New Roman"/>
          <w:szCs w:val="24"/>
        </w:rPr>
        <w:instrText xml:space="preserve">48% in males and </w:instrText>
      </w:r>
      <w:r w:rsidRPr="00465302">
        <w:rPr>
          <w:rFonts w:ascii="Cambria Math" w:hAnsi="Cambria Math" w:cs="Cambria Math"/>
          <w:szCs w:val="24"/>
        </w:rPr>
        <w:instrText>∼</w:instrText>
      </w:r>
      <w:r w:rsidRPr="00465302">
        <w:rPr>
          <w:rFonts w:cs="Times New Roman"/>
          <w:szCs w:val="24"/>
        </w:rPr>
        <w:instrText xml:space="preserve">23% and </w:instrText>
      </w:r>
      <w:r w:rsidRPr="00465302">
        <w:rPr>
          <w:rFonts w:ascii="Cambria Math" w:hAnsi="Cambria Math" w:cs="Cambria Math"/>
          <w:szCs w:val="24"/>
        </w:rPr>
        <w:instrText>∼</w:instrText>
      </w:r>
      <w:r w:rsidRPr="00465302">
        <w:rPr>
          <w:rFonts w:cs="Times New Roman"/>
          <w:szCs w:val="24"/>
        </w:rPr>
        <w:instrText xml:space="preserve">25% in females, respectively), significantly increased area under the curve (AUC) from the time of administration to the last time point, AUC from the start of administration to the theoretical extrapolation, and Cmax (increased by </w:instrText>
      </w:r>
      <w:r w:rsidRPr="00465302">
        <w:rPr>
          <w:rFonts w:ascii="Cambria Math" w:hAnsi="Cambria Math" w:cs="Cambria Math"/>
          <w:szCs w:val="24"/>
        </w:rPr>
        <w:instrText>∼</w:instrText>
      </w:r>
      <w:r w:rsidRPr="00465302">
        <w:rPr>
          <w:rFonts w:cs="Times New Roman"/>
          <w:szCs w:val="24"/>
        </w:rPr>
        <w:instrText xml:space="preserve">64%, </w:instrText>
      </w:r>
      <w:r w:rsidRPr="00465302">
        <w:rPr>
          <w:rFonts w:ascii="Cambria Math" w:hAnsi="Cambria Math" w:cs="Cambria Math"/>
          <w:szCs w:val="24"/>
        </w:rPr>
        <w:instrText>∼</w:instrText>
      </w:r>
      <w:r w:rsidRPr="00465302">
        <w:rPr>
          <w:rFonts w:cs="Times New Roman"/>
          <w:szCs w:val="24"/>
        </w:rPr>
        <w:instrText xml:space="preserve">59%, and </w:instrText>
      </w:r>
      <w:r w:rsidRPr="00465302">
        <w:rPr>
          <w:rFonts w:ascii="Cambria Math" w:hAnsi="Cambria Math" w:cs="Cambria Math"/>
          <w:szCs w:val="24"/>
        </w:rPr>
        <w:instrText>∼</w:instrText>
      </w:r>
      <w:r w:rsidRPr="00465302">
        <w:rPr>
          <w:rFonts w:cs="Times New Roman"/>
          <w:szCs w:val="24"/>
        </w:rPr>
        <w:instrText xml:space="preserve">26% in males and </w:instrText>
      </w:r>
      <w:r w:rsidRPr="00465302">
        <w:rPr>
          <w:rFonts w:ascii="Cambria Math" w:hAnsi="Cambria Math" w:cs="Cambria Math"/>
          <w:szCs w:val="24"/>
        </w:rPr>
        <w:instrText>∼</w:instrText>
      </w:r>
      <w:r w:rsidRPr="00465302">
        <w:rPr>
          <w:rFonts w:cs="Times New Roman"/>
          <w:szCs w:val="24"/>
        </w:rPr>
        <w:instrText xml:space="preserve">43%, </w:instrText>
      </w:r>
      <w:r w:rsidRPr="00465302">
        <w:rPr>
          <w:rFonts w:ascii="Cambria Math" w:hAnsi="Cambria Math" w:cs="Cambria Math"/>
          <w:szCs w:val="24"/>
        </w:rPr>
        <w:instrText>∼</w:instrText>
      </w:r>
      <w:r w:rsidRPr="00465302">
        <w:rPr>
          <w:rFonts w:cs="Times New Roman"/>
          <w:szCs w:val="24"/>
        </w:rPr>
        <w:instrText xml:space="preserve">35%, and </w:instrText>
      </w:r>
      <w:r w:rsidRPr="00465302">
        <w:rPr>
          <w:rFonts w:ascii="Cambria Math" w:hAnsi="Cambria Math" w:cs="Cambria Math"/>
          <w:szCs w:val="24"/>
        </w:rPr>
        <w:instrText>∼</w:instrText>
      </w:r>
      <w:r w:rsidRPr="00465302">
        <w:rPr>
          <w:rFonts w:cs="Times New Roman"/>
          <w:szCs w:val="24"/>
        </w:rPr>
        <w:instrText>15% in females, respectively). In addition, O-desmethyl venlafaxine formation was reduced as well in CYP2D1-null rats compared with that in WT rats. Rat depression models were developed with CYP2D1-null and WT rats by feeding them separately and exposing them to chronic mild stimulation. VLF showed better efficacy in the WT depression rats compared with that in the CYP2D1-null rats. In conclusion, a CYP2D1-null rat model was successfully generated, and CYP2D1 was found to play a certain role in the metabolism and efficacy of venlafaxine.","author":[{"dropping-particle":"","family":"Zhou","given":"Hongqiu","non-dropping-particle":"","parse-names":false,"suffix":""},{"dropping-particle":"","family":"Yang","given":"Li","non-dropping-particle":"","parse-names":false,"suffix":""},{"dropping-particle":"","family":"Wang","given":"Changsuo","non-dropping-particle":"","parse-names":false,"suffix":""},{"dropping-particle":"","family":"Li","given":"Zhiqiang","non-dropping-particle":"","parse-names":false,"suffix":""},{"dropping-particle":"","family":"Ouyang","given":"Zhen","non-dropping-particle":"","parse-names":false,"suffix":""},{"dropping-particle":"","family":"Shan","given":"Mangting","non-dropping-particle":"","parse-names":false,"suffix":""},{"dropping-particle":"","family":"Gu","given":"Jun","non-dropping-particle":"","parse-names":false,"suffix":""},{"dropping-particle":"","family":"Wei","given":"Yuan","non-dropping-particle":"","parse-names":false,"suffix":""}],"container-title":"Drug Metabolism and Disposition","id":"ITEM-1","issue":"12","issued":{"date-parts":[["2019"]]},"page":"1425-1432","title":"CYP2D1 gene knockout reduces the metabolism and efficacy of venlafaxine in rats","type":"article-journal","volume":"47"},"uris":["http://www.mendeley.com/documents/?uuid=00c5a516-b6bf-44f8-869a-04f7bd965e38"]},{"id":"ITEM-2","itemData":{"DOI":"10.1080/004982500406390","ISSN":"00498254","abstract":"1. Human CYP2D6 is present in brain, metabolizes many drugs and has been implicated in Parkinson's and Alzheimer's diseases and some cancers. It is still unclear which of the six known rat CYP2D subfamily members is/are homologous to human CYP2D6. 2. In this study, RT-PCR, Southern and Western blotting and immunohistochemical techniques were used to study the distribution of CYP2D subfamily member mRNA and proteins across 10 rat brain regions. CYP2D subfamily mRNA and protein levels were correlated with brain dextromethorphan O-demethylation (DOD), a measure of human CYP2D6 and rat CYP2D1 activities. 3. The data showed a strong relationship between CYP2D1 and CYP2D1-18 with brain DOD activity. In addition, it was shown that CYP2D proteins are present in brain mitochondrial as well as microsomal membranes. CYP2D subfamily member mRNA and proteins varied across brain regions and were highly concentrated in specific cell types. 4. These data strongly suggest that CYP2D1 and not CYP2D5 mediates DOD activity in rat brain, and may be the rat homologue of human CYP2D6. The highly localized nature of CYP2D indicates that in specific neurones enzyme levels may approach hepatic levels and, hence, contribute to local alterations in brain drug metabolism.","author":[{"dropping-particle":"","family":"Miksys","given":"S.","non-dropping-particle":"","parse-names":false,"suffix":""},{"dropping-particle":"","family":"Rao","given":"Y.","non-dropping-particle":"","parse-names":false,"suffix":""},{"dropping-particle":"","family":"Sellers","given":"E. M.","non-dropping-particle":"","parse-names":false,"suffix":""},{"dropping-particle":"","family":"Kwan","given":"M.","non-dropping-particle":"","parse-names":false,"suffix":""},{"dropping-particle":"","family":"Mendis","given":"D.","non-dropping-particle":"","parse-names":false,"suffix":""},{"dropping-particle":"","family":"Tyndale","given":"R. F.","non-dropping-particle":"","parse-names":false,"suffix":""}],"container-title":"Xenobiotica","id":"ITEM-2","issue":"6","issued":{"date-parts":[["2000"]]},"page":"547-564","title":"Regional and cellular distribution of CYP2D subfamily members in rat brain","type":"article-journal","volume":"30"},"uris":["http://www.mendeley.com/documents/?uuid=c2233648-8389-46ab-8483-3296800760c2"]}],"mendeley":{"formattedCitation":"(Miksys &lt;i&gt;et al.&lt;/i&gt;, 2000; Zhou &lt;i&gt;et al.&lt;/i&gt;, 2019)","plainTextFormattedCitation":"(Miksys et al., 2000; Zhou et al., 2019)","previouslyFormattedCitation":"(Miksys &lt;i&gt;et al.&lt;/i&gt;, 2000; Zhou &lt;i&gt;et al.&lt;/i&gt;, 2019)"},"properties":{"noteIndex":0},"schema":"https://github.com/citation-style-language/schema/raw/master/csl-citation.json"}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 xml:space="preserve">(Miksys </w:t>
      </w:r>
      <w:r w:rsidRPr="00465302">
        <w:rPr>
          <w:rFonts w:cs="Times New Roman"/>
          <w:i/>
          <w:noProof/>
          <w:szCs w:val="24"/>
        </w:rPr>
        <w:t>et al.</w:t>
      </w:r>
      <w:r w:rsidRPr="00465302">
        <w:rPr>
          <w:rFonts w:cs="Times New Roman"/>
          <w:noProof/>
          <w:szCs w:val="24"/>
        </w:rPr>
        <w:t xml:space="preserve">, 2000; Zhou </w:t>
      </w:r>
      <w:r w:rsidRPr="00465302">
        <w:rPr>
          <w:rFonts w:cs="Times New Roman"/>
          <w:i/>
          <w:noProof/>
          <w:szCs w:val="24"/>
        </w:rPr>
        <w:t>et al.</w:t>
      </w:r>
      <w:r w:rsidRPr="00465302">
        <w:rPr>
          <w:rFonts w:cs="Times New Roman"/>
          <w:noProof/>
          <w:szCs w:val="24"/>
        </w:rPr>
        <w:t>, 2019)</w:t>
      </w:r>
      <w:r w:rsidRPr="00465302">
        <w:rPr>
          <w:rFonts w:cs="Times New Roman"/>
          <w:szCs w:val="24"/>
        </w:rPr>
        <w:fldChar w:fldCharType="end"/>
      </w:r>
      <w:r w:rsidRPr="00465302">
        <w:rPr>
          <w:rFonts w:cs="Times New Roman"/>
          <w:szCs w:val="24"/>
        </w:rPr>
        <w:t>. It is important for the metabolism of neurotransmitters and neuroactive steroids as well as centrally acting drugs such as monoamine oxidase inhibitors,</w:t>
      </w:r>
      <w:r w:rsidR="00A734D0" w:rsidRPr="00465302">
        <w:rPr>
          <w:rFonts w:cs="Times New Roman"/>
          <w:szCs w:val="24"/>
        </w:rPr>
        <w:t xml:space="preserve"> </w:t>
      </w:r>
      <w:r w:rsidRPr="00465302">
        <w:rPr>
          <w:rFonts w:cs="Times New Roman"/>
          <w:szCs w:val="24"/>
        </w:rPr>
        <w:t xml:space="preserve">tricyclic antidepressants, vasodilators </w:t>
      </w:r>
      <w:r w:rsidRPr="00465302">
        <w:rPr>
          <w:rFonts w:cs="Times New Roman"/>
          <w:szCs w:val="24"/>
        </w:rPr>
        <w:fldChar w:fldCharType="begin" w:fldLock="1"/>
      </w:r>
      <w:r w:rsidRPr="00465302">
        <w:rPr>
          <w:rFonts w:cs="Times New Roman"/>
          <w:szCs w:val="24"/>
        </w:rPr>
        <w:instrText>ADDIN CSL_CITATION {"citationItems":[{"id":"ITEM-1","itemData":{"DOI":"10.1016/j.biochi.2007.10.007","ISSN":"03009084","abstract":"The metabolism of xenobiotics in human brain constitutes a field of recent intensive research in relation to the potential implications in the pharmacological effect of drugs acting on the central nervous system. Cytochrome P450 enzymes (CYPs) play a crucial role in these metabolic pathways and the existence of functional CYP monooxygenases in brain is now well established. These enzymes are preferentially localized in the neuronal cells within the microsomal fraction and the inner membrane of mitochondria. Although low, the metabolism in situ could influence individual response to xenobiotics or produce reactive, toxic metabolites causing irreversible damage in the neuronal cells. The abundant presence of CYPs in selective cell populations within different regions of the brain has also suggested a role for these enzymes in brain physiology thus not restricted to xenobiotic-induced neurotoxicity. For instance, CYPs participate in the regulation of neurotransmitters and steroids and brain maintenance of cholesterol homeostasis. Recent advances support an additional role for these enzymes in the pathogenesis of psychiatric and neurodegenerative disorders such as depression, schizophrenia, and Alzheimer's and Parkinson's diseases. The characterization of brain CYP isoforms and their localization, the identification of their substrates and metabolic end-products will allow better understanding of the role of these enzymes in brain physiology, development and diseases. © 2007 Elsevier Masson SAS. All rights reserved.","author":[{"dropping-particle":"","family":"Dutheil","given":"Fabien","non-dropping-particle":"","parse-names":false,"suffix":""},{"dropping-particle":"","family":"Beaune","given":"Philippe","non-dropping-particle":"","parse-names":false,"suffix":""},{"dropping-particle":"","family":"Loriot","given":"Marie Anne","non-dropping-particle":"","parse-names":false,"suffix":""}],"container-title":"Biochimie","id":"ITEM-1","issue":"3","issued":{"date-parts":[["2008"]]},"page":"426-436","title":"Xenobiotic metabolizing enzymes in the central nervous system: Contribution of cytochrome P450 enzymes in normal and pathological human brain","type":"article-journal","volume":"90"},"uris":["http://www.mendeley.com/documents/?uuid=29309607-4340-49ce-bdbb-6f71057435ae"]}],"mendeley":{"formattedCitation":"(Dutheil, Beaune and Loriot, 2008)","plainTextFormattedCitation":"(Dutheil, Beaune and Loriot, 2008)","previouslyFormattedCitation":"(Dutheil, Beaune and Loriot, 2008)"},"properties":{"noteIndex":0},"schema":"https://github.com/citation-style-language/schema/raw/master/csl-citation.json"}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(Dutheil, Beaune and Loriot, 2008)</w:t>
      </w:r>
      <w:r w:rsidRPr="00465302">
        <w:rPr>
          <w:rFonts w:cs="Times New Roman"/>
          <w:szCs w:val="24"/>
        </w:rPr>
        <w:fldChar w:fldCharType="end"/>
      </w:r>
      <w:r w:rsidRPr="00465302">
        <w:rPr>
          <w:rFonts w:cs="Times New Roman"/>
          <w:szCs w:val="24"/>
        </w:rPr>
        <w:t xml:space="preserve">. In the brain, CYP2D1 catalyzes the formation of serotonin by O-demethylation of 5-methoxytyptamine (5-MT) as an alternative pathway to the classic serotonin synthesis (by tryptophan hydroxylation) pathway </w:t>
      </w:r>
      <w:r w:rsidRPr="00465302">
        <w:rPr>
          <w:rFonts w:cs="Times New Roman"/>
          <w:szCs w:val="24"/>
        </w:rPr>
        <w:fldChar w:fldCharType="begin" w:fldLock="1"/>
      </w:r>
      <w:r w:rsidRPr="00465302">
        <w:rPr>
          <w:rFonts w:cs="Times New Roman"/>
          <w:szCs w:val="24"/>
        </w:rPr>
        <w:instrText>ADDIN CSL_CITATION {"citationItems":[{"id":"ITEM-1","itemData":{"DOI":"10.1016/j.biochi.2007.10.007","ISSN":"03009084","abstract":"The metabolism of xenobiotics in human brain constitutes a field of recent intensive research in relation to the potential implications in the pharmacological effect of drugs acting on the central nervous system. Cytochrome P450 enzymes (CYPs) play a crucial role in these metabolic pathways and the existence of functional CYP monooxygenases in brain is now well established. These enzymes are preferentially localized in the neuronal cells within the microsomal fraction and the inner membrane of mitochondria. Although low, the metabolism in situ could influence individual response to xenobiotics or produce reactive, toxic metabolites causing irreversible damage in the neuronal cells. The abundant presence of CYPs in selective cell populations within different regions of the brain has also suggested a role for these enzymes in brain physiology thus not restricted to xenobiotic-induced neurotoxicity. For instance, CYPs participate in the regulation of neurotransmitters and steroids and brain maintenance of cholesterol homeostasis. Recent advances support an additional role for these enzymes in the pathogenesis of psychiatric and neurodegenerative disorders such as depression, schizophrenia, and Alzheimer's and Parkinson's diseases. The characterization of brain CYP isoforms and their localization, the identification of their substrates and metabolic end-products will allow better understanding of the role of these enzymes in brain physiology, development and diseases. © 2007 Elsevier Masson SAS. All rights reserved.","author":[{"dropping-particle":"","family":"Dutheil","given":"Fabien","non-dropping-particle":"","parse-names":false,"suffix":""},{"dropping-particle":"","family":"Beaune","given":"Philippe","non-dropping-particle":"","parse-names":false,"suffix":""},{"dropping-particle":"","family":"Loriot","given":"Marie Anne","non-dropping-particle":"","parse-names":false,"suffix":""}],"container-title":"Biochimie","id":"ITEM-1","issue":"3","issued":{"date-parts":[["2008"]]},"page":"426-436","title":"Xenobiotic metabolizing enzymes in the central nervous system: Contribution of cytochrome P450 enzymes in normal and pathological human brain","type":"article-journal","volume":"90"},"uris":["http://www.mendeley.com/documents/?uuid=29309607-4340-49ce-bdbb-6f71057435ae"]},{"id":"ITEM-2","itemData":{"DOI":"10.1007/s12035-014-8903-6","ISSN":"15591182","abstract":"Oral administration of low doses (1.25, 2.5, or 5 mg/kg) of cypermethrin to pregnant Wistar rats from gestation days 5 to 21 led to dose-dependent differences in the induction of cytochrome P450 2D1 (CYP2D1) and 3A1 messenger RNA (mRNA) and protein in brain regions isolated from the offsprings postnatally at 3 weeks that persisted up to adulthood (12 weeks). Similar alterations were observed in the expression of GABAergic, muscarinic, dopaminergic, and serotonergic neurotransmitter receptors in brain regions of rat offsprings. Rechallenge of the prenatally exposed offsprings at adulthood (12 weeks old) with cypermethrin (p.o., 10 mg/kg for 6 days) led to a greater magnitude of alterations in the expression of CYPs, neurotransmitter receptors, and neurotransmitter receptor binding in the brain regions when compared to the control offsprings treated at adulthood with cypermethrin or prenatally exposed offsprings. A greater magnitude of decrease was also observed in the spontaneous locomotor activity (SLA) in prenatally exposed offsprings rechallenged with cypermethrin. The present data indicating similarities in the alterations in the expression of CYPs (2D1 and 3A1) and neurotransmitter receptors in brain has led us to suggest that endogenous function regulating CYPs is possibly associated with neurotransmission processes. A greater magnitude of alterations in CYP2D1, 3A1, neurotransmitter receptors, and SLA in rechallenged animals has further provided evidence that alterations in CYPs are possibly linked with neurotransmission processes.","author":[{"dropping-particle":"","family":"Singh","given":"Anshuman","non-dropping-particle":"","parse-names":false,"suffix":""},{"dropping-particle":"","family":"Mudawal","given":"Anubha","non-dropping-particle":"","parse-names":false,"suffix":""},{"dropping-particle":"","family":"Shukla","given":"Rajendra K.","non-dropping-particle":"","parse-names":false,"suffix":""},{"dropping-particle":"","family":"Yadav","given":"Sanjay","non-dropping-particle":"","parse-names":false,"suffix":""},{"dropping-particle":"","family":"Khanna","given":"Vinay K.","non-dropping-particle":"","parse-names":false,"suffix":""},{"dropping-particle":"","family":"Sethumadhavan","given":"Rao","non-dropping-particle":"","parse-names":false,"suffix":""},{"dropping-particle":"","family":"Parmar","given":"Devendra","non-dropping-particle":"","parse-names":false,"suffix":""}],"container-title":"Molecular Neurobiology","id":"ITEM-2","issue":"1","issued":{"date-parts":[["2015"]]},"page":"741-756","title":"Effect of Gestational Exposure of Cypermethrin on Postnatal Development of Brain Cytochrome P450 2D1 and 3A1 and Neurotransmitter Receptors","type":"article-journal","volume":"52"},"uris":["http://www.mendeley.com/documents/?uuid=1d70a04f-0bb4-49d8-a46f-2d348caf0308"]},{"id":"ITEM-3","itemData":{"DOI":"10.1016/j.phrs.2012.10.009","ISSN":"10436618","abstract":"Brain serotonin has been implicated in the pathophysiology of a wide spectrum of psychiatric disorders, as well as in the mechanism of action of psychotropic drugs. The aim of present study was to identify rat cytochrome P450 (CYP) isoforms which can catalyze the O-demethylation of 5-methoxytryptamine to serotonin, and to find out whether that alternative pathway of serotonin synthesis may take place in the brain. The study was conducted on cDNA-expressed CYPs (rat CYP1A1/2, 2A1/2, 2B1, 2C6/11/13, 2D1/2/4/18, 2E1, 3A2 and human CYP2D6), on rat brain and liver microsomes and on human liver microsomes (the wild-type CYP2D6 or the allelic variant 2D6*4*4). Of the rat CYP isoforms studied, CYP2D isoforms were the most efficient in catalyzing the O-demethylation of 5-methoxytryptamine to serotonin, but they were less effective than the human isoform CYP2D6. Microsomes from different brain regions were capable of metabolizing 5-methoxytryptamine to serotonin. The reaction was inhibited by the specific CYP2D inhibitors quinine and fluoxetine. Human liver microsomes of the wild-type CYP2D6 metabolized 5-methoxytryptamine to serotonin more effectively than did the defective CYP2D6*4*4 ones. The obtained results indicate that rat brain CYP2D isoforms catalyze the formation of serotonin from 5-methoxytryptamine, and that the deficit or genetic defect of CYP2D may affect serotonin metabolism in the brain. The results are discussed in the context of their possible physiological and pharmacological significance in vivo. © 2012 Elsevier Ltd.","author":[{"dropping-particle":"","family":"Haduch","given":"Anna","non-dropping-particle":"","parse-names":false,"suffix":""},{"dropping-particle":"","family":"Bromek","given":"Ewa","non-dropping-particle":"","parse-names":false,"suffix":""},{"dropping-particle":"","family":"Sadakierska-Chudy","given":"Anna","non-dropping-particle":"","parse-names":false,"suffix":""},{"dropping-particle":"","family":"Wójcikowski","given":"Jacek","non-dropping-particle":"","parse-names":false,"suffix":""},{"dropping-particle":"","family":"Daniel","given":"Władysława A.","non-dropping-particle":"","parse-names":false,"suffix":""}],"container-title":"Pharmacological Research","id":"ITEM-3","issue":"1","issued":{"date-parts":[["2013"]]},"page":"53-59","publisher":"Elsevier Ltd","title":"The catalytic competence of cytochrome P450 in the synthesis of serotonin from 5-methoxytryptamine in the brain: An in vitro study","type":"article-journal","volume":"67"},"uris":["http://www.mendeley.com/documents/?uuid=9238d259-7309-4289-a0f2-a12f8fb25a31"]}],"mendeley":{"formattedCitation":"(Dutheil, Beaune and Loriot, 2008; Haduch &lt;i&gt;et al.&lt;/i&gt;, 2013; Singh &lt;i&gt;et al.&lt;/i&gt;, 2015)","plainTextFormattedCitation":"(Dutheil, Beaune and Loriot, 2008; Haduch et al., 2013; Singh et al., 2015)","previouslyFormattedCitation":"(Dutheil, Beaune and Loriot, 2008; Haduch &lt;i&gt;et al.&lt;/i&gt;, 2013; Singh &lt;i&gt;et al.&lt;/i&gt;, 2015)"},"properties":{"noteIndex":0},"schema":"https://github.com/citation-style-language/schema/raw/master/csl-citation.json"}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 xml:space="preserve">(Dutheil, Beaune and Loriot, 2008; Haduch </w:t>
      </w:r>
      <w:r w:rsidRPr="00465302">
        <w:rPr>
          <w:rFonts w:cs="Times New Roman"/>
          <w:i/>
          <w:noProof/>
          <w:szCs w:val="24"/>
        </w:rPr>
        <w:t>et al.</w:t>
      </w:r>
      <w:r w:rsidRPr="00465302">
        <w:rPr>
          <w:rFonts w:cs="Times New Roman"/>
          <w:noProof/>
          <w:szCs w:val="24"/>
        </w:rPr>
        <w:t xml:space="preserve">, 2013; Singh </w:t>
      </w:r>
      <w:r w:rsidRPr="00465302">
        <w:rPr>
          <w:rFonts w:cs="Times New Roman"/>
          <w:i/>
          <w:noProof/>
          <w:szCs w:val="24"/>
        </w:rPr>
        <w:t>et al.</w:t>
      </w:r>
      <w:r w:rsidRPr="00465302">
        <w:rPr>
          <w:rFonts w:cs="Times New Roman"/>
          <w:noProof/>
          <w:szCs w:val="24"/>
        </w:rPr>
        <w:t>, 2015)</w:t>
      </w:r>
      <w:r w:rsidRPr="00465302">
        <w:rPr>
          <w:rFonts w:cs="Times New Roman"/>
          <w:szCs w:val="24"/>
        </w:rPr>
        <w:fldChar w:fldCharType="end"/>
      </w:r>
      <w:r w:rsidRPr="00465302">
        <w:rPr>
          <w:rFonts w:cs="Times New Roman"/>
          <w:szCs w:val="24"/>
        </w:rPr>
        <w:t xml:space="preserve">. Selective serotonin reuptake receptor inhibitors (SSRI’s) such as fluoxetine and paroxetine are potent inhibitors of CYP2D1’s activity. Eight PLLDs affected the Monoamine Oxidase A (MAO-A)-assay. MAO-A is an enzyme located in the outer mitochondrial membrane which preferentially catalyzes the </w:t>
      </w:r>
      <w:r w:rsidRPr="00465302">
        <w:rPr>
          <w:rFonts w:cs="Times New Roman"/>
          <w:szCs w:val="24"/>
        </w:rPr>
        <w:lastRenderedPageBreak/>
        <w:t xml:space="preserve">oxidative deamination of monoamine neurotransmitters (serotonin, norepinephrine, and dopamine) with the highest affinity for serotonin </w:t>
      </w:r>
      <w:r w:rsidRPr="00465302">
        <w:rPr>
          <w:rFonts w:cs="Times New Roman"/>
          <w:szCs w:val="24"/>
        </w:rPr>
        <w:fldChar w:fldCharType="begin" w:fldLock="1"/>
      </w:r>
      <w:r w:rsidRPr="00465302">
        <w:rPr>
          <w:rFonts w:cs="Times New Roman"/>
          <w:szCs w:val="24"/>
        </w:rPr>
        <w:instrText>ADDIN CSL_CITATION {"citationItems":[{"id":"ITEM-1","itemData":{"DOI":"10.1016/B978-0-12-386467-3.00002-9","ISBN":"9780123864673","ISSN":"00747742","abstract":"Monoamine oxidase (MAO) isoenzymes A and B are mitochondrial-bound proteins, catalyzing the oxidative deamination of monoamine neurotransmitters as well as xenobiotic amines. Although they derive from a common ancestral progenitor gene, are located at X-chromosome and display 70% structural identity, their substrate preference, regional distribution, and physiological role are divergent. In fact, while MAO-A has high affinity for serotonin and norepinephrine, MAO-B primarily serves the catabolism of 2-phenylethylamine (PEA) and contributes to the degradation of other trace amines and dopamine. Convergent lines of preclinical and clinical evidence indicate that variations in MAO enzymatic activity-due to either genetic or environmental factors-can exert a profound influence on behavioral regulation and play a role in the pathophysiology of a large spectrum of mental and neurodegenerative disorders, ranging from antisocial personality disorder to Parkinson's disease. Over the past few years, numerous advances have been made in our understanding of the phenotypical variations associated with genetic polymorphisms and mutations of the genes encoding for both isoenzymes. In particular, novel findings on the phenotypes of MAO-deficient mice are highlighting novel potential implications of both isoenzymes in a broad spectrum of mental disorders, ranging from autism and anxiety to impulse-control disorders and ADHD. These studies will lay the foundation for future research on the neurobiological and neurochemical bases of these pathological conditions, as well as the role of gene × environment interactions in the vulnerability to several mental disorders. © 2011 Elsevier Inc.","author":[{"dropping-particle":"","family":"Bortolato","given":"Marco","non-dropping-particle":"","parse-names":false,"suffix":""},{"dropping-particle":"","family":"Shih","given":"Jean C.","non-dropping-particle":"","parse-names":false,"suffix":""}],"container-title":"International Review of Neurobiology","edition":"1","id":"ITEM-1","issued":{"date-parts":[["2011"]]},"number-of-pages":"13-42","publisher":"Elsevier Inc.","title":"Behavioral outcomes of monoamine oxidase deficiency: Preclinical and clinical evidence","type":"book","volume":"100"},"uris":["http://www.mendeley.com/documents/?uuid=5087d51b-d757-4f0a-9403-35054990cb05"]}],"mendeley":{"formattedCitation":"(Bortolato and Shih, 2011)","plainTextFormattedCitation":"(Bortolato and Shih, 2011)","previouslyFormattedCitation":"(Bortolato and Shih, 2011)"},"properties":{"noteIndex":0},"schema":"https://github.com/citation-style-language/schema/raw/master/csl-citation.json"}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(Bortolato and Shih, 2011)</w:t>
      </w:r>
      <w:r w:rsidRPr="00465302">
        <w:rPr>
          <w:rFonts w:cs="Times New Roman"/>
          <w:szCs w:val="24"/>
        </w:rPr>
        <w:fldChar w:fldCharType="end"/>
      </w:r>
      <w:r w:rsidRPr="00465302">
        <w:rPr>
          <w:rFonts w:cs="Times New Roman"/>
          <w:szCs w:val="24"/>
        </w:rPr>
        <w:t xml:space="preserve">. MAO-A </w:t>
      </w:r>
      <w:r w:rsidR="000E5AC4" w:rsidRPr="00465302">
        <w:rPr>
          <w:rFonts w:cs="Times New Roman"/>
          <w:szCs w:val="24"/>
        </w:rPr>
        <w:t>has a key role in the inception</w:t>
      </w:r>
      <w:r w:rsidRPr="00465302">
        <w:rPr>
          <w:rFonts w:cs="Times New Roman"/>
          <w:szCs w:val="24"/>
        </w:rPr>
        <w:t xml:space="preserve">, </w:t>
      </w:r>
      <w:r w:rsidR="000E5AC4" w:rsidRPr="00465302">
        <w:rPr>
          <w:rFonts w:cs="Times New Roman"/>
          <w:szCs w:val="24"/>
        </w:rPr>
        <w:t>and advancement</w:t>
      </w:r>
      <w:r w:rsidRPr="00465302">
        <w:rPr>
          <w:rFonts w:cs="Times New Roman"/>
          <w:szCs w:val="24"/>
        </w:rPr>
        <w:t xml:space="preserve"> of </w:t>
      </w:r>
      <w:r w:rsidR="000E5AC4" w:rsidRPr="00465302">
        <w:rPr>
          <w:rFonts w:cs="Times New Roman"/>
          <w:szCs w:val="24"/>
        </w:rPr>
        <w:t xml:space="preserve">embryonic neurodevelopment and </w:t>
      </w:r>
      <w:r w:rsidRPr="00465302">
        <w:rPr>
          <w:rFonts w:cs="Times New Roman"/>
          <w:szCs w:val="24"/>
        </w:rPr>
        <w:t xml:space="preserve">neuropsychiatric disorders. Consequently, MAO inhibitors are potent anti-depressants and act by increasing neurotransmitter levels, such as serotonin. Six PLLDs affected the </w:t>
      </w:r>
      <w:r w:rsidRPr="00465302">
        <w:rPr>
          <w:rFonts w:cs="Times New Roman"/>
          <w:bCs/>
          <w:i/>
          <w:iCs/>
          <w:szCs w:val="24"/>
        </w:rPr>
        <w:t>ADRA2B</w:t>
      </w:r>
      <w:r w:rsidRPr="00465302">
        <w:rPr>
          <w:rFonts w:cs="Times New Roman"/>
          <w:bCs/>
          <w:szCs w:val="24"/>
        </w:rPr>
        <w:t xml:space="preserve"> gene assay.</w:t>
      </w:r>
      <w:r w:rsidRPr="00465302">
        <w:rPr>
          <w:rFonts w:cs="Times New Roman"/>
          <w:szCs w:val="24"/>
        </w:rPr>
        <w:t xml:space="preserve"> Adrenoceptor α</w:t>
      </w:r>
      <w:r w:rsidRPr="00465302">
        <w:rPr>
          <w:rFonts w:cs="Times New Roman"/>
          <w:szCs w:val="24"/>
          <w:vertAlign w:val="subscript"/>
        </w:rPr>
        <w:t>2B</w:t>
      </w:r>
      <w:r w:rsidRPr="00465302">
        <w:rPr>
          <w:rFonts w:cs="Times New Roman"/>
          <w:szCs w:val="24"/>
        </w:rPr>
        <w:t xml:space="preserve"> (AR-α</w:t>
      </w:r>
      <w:r w:rsidRPr="00465302">
        <w:rPr>
          <w:rFonts w:cs="Times New Roman"/>
          <w:szCs w:val="24"/>
          <w:vertAlign w:val="subscript"/>
        </w:rPr>
        <w:t>2B</w:t>
      </w:r>
      <w:r w:rsidRPr="00465302">
        <w:rPr>
          <w:rFonts w:cs="Times New Roman"/>
          <w:szCs w:val="24"/>
        </w:rPr>
        <w:t xml:space="preserve">) encoded by the </w:t>
      </w:r>
      <w:r w:rsidRPr="00465302">
        <w:rPr>
          <w:rFonts w:cs="Times New Roman"/>
          <w:i/>
          <w:iCs/>
          <w:szCs w:val="24"/>
        </w:rPr>
        <w:t>ADRA2B</w:t>
      </w:r>
      <w:r w:rsidRPr="00465302">
        <w:rPr>
          <w:rFonts w:cs="Times New Roman"/>
          <w:szCs w:val="24"/>
        </w:rPr>
        <w:t xml:space="preserve"> gene is a GPCR, mediating the physiological actions of endogenous catecholamines, norepinephrine, and epinephrine </w:t>
      </w:r>
      <w:r w:rsidRPr="00465302">
        <w:rPr>
          <w:rFonts w:cs="Times New Roman"/>
          <w:szCs w:val="24"/>
        </w:rPr>
        <w:fldChar w:fldCharType="begin" w:fldLock="1"/>
      </w:r>
      <w:r w:rsidRPr="00465302">
        <w:rPr>
          <w:rFonts w:cs="Times New Roman"/>
          <w:szCs w:val="24"/>
        </w:rPr>
        <w:instrText>ADDIN CSL_CITATION {"citationItems":[{"id":"ITEM-1","itemData":{"author":[{"dropping-particle":"","family":"Weiskopf","given":"Richard B","non-dropping-particle":"","parse-names":false,"suffix":""},{"dropping-particle":"","family":"Todd","given":"Michael M","non-dropping-particle":"","parse-names":false,"suffix":""}],"container-title":"Anesthesiology","id":"ITEM-1","issue":"5","issued":{"date-parts":[["2000"]]},"page":"1345-1349","title":"Clinical Uses of alpha 2 -Adrenergic Agonists","type":"article-journal","volume":"93"},"uris":["http://www.mendeley.com/documents/?uuid=0e060d1d-9e88-42b9-9333-fa7a55213090"]},{"id":"ITEM-2","itemData":{"DOI":"10.1073/pnas.87.13.5094","ISSN":"00278424","abstract":"Pharmacologic, biochemical, and genetic analyses have demonstrated the existence of multiple α2-adrenergic receptor (α2AR) subtypes. We have cloned a human α2AR by using the polymerase chain reaction with oligonucleotide primers homologous to conserved regions of the previously cloned α2ARs, the genes for which are located on human chromosomes 4 (C4) and 10 (C10). The deduced amino acid sequence encodes a protein of 450 amino acids whose putative topology is similar to that of the family of guanine nucleotide-binding protein-coupled receptors, but whose structure most closely resembles that of the α2ARs. Competition curve analysis of the binding properties of the receptor expressed in COS-7 cells with a variety of adrenergic ligands demonstrates a unique α2AR pharmacology. Hybridization with somatic cell hybrids shows that the gene for this receptor is located on chromosome 2. Northern blot analysis of various rat tissues shows expression in liver and kidney. The unique pharmacology and tissue localization of this receptor suggest that this is an α2AR subtype not previously identified by classical pharmacological or ligand binding approaches.","author":[{"dropping-particle":"","family":"Lomasney","given":"J. W.","non-dropping-particle":"","parse-names":false,"suffix":""},{"dropping-particle":"","family":"Lorenz","given":"W.","non-dropping-particle":"","parse-names":false,"suffix":""},{"dropping-particle":"","family":"Allen","given":"L. F.","non-dropping-particle":"","parse-names":false,"suffix":""},{"dropping-particle":"","family":"King","given":"K.","non-dropping-particle":"","parse-names":false,"suffix":""},{"dropping-particle":"","family":"Regan","given":"J. W.","non-dropping-particle":"","parse-names":false,"suffix":""},{"dropping-particle":"","family":"Yang-Feng","given":"T. L.","non-dropping-particle":"","parse-names":false,"suffix":""},{"dropping-particle":"","family":"Caron","given":"M. G.","non-dropping-particle":"","parse-names":false,"suffix":""},{"dropping-particle":"","family":"Lefkowitz","given":"R. J.","non-dropping-particle":"","parse-names":false,"suffix":""}],"container-title":"Proceedings of the National Academy of Sciences of the United States of America","id":"ITEM-2","issue":"13","issued":{"date-parts":[["1990"]]},"page":"5094-5098","title":"Expansion of the α2-adrenergic receptor family: Cloning and characterization of a human α2-adrenergic receptor subtype, the gene for which is located on chromosome 2","type":"article-journal","volume":"87"},"uris":["http://www.mendeley.com/documents/?uuid=d387a09a-828e-42f1-bfef-02cea56c6336"]},{"id":"ITEM-3","itemData":{"DOI":"10.1016/1044-7431(91)90065-V","ISSN":"10447431","abstract":"Previous autoradiographic studies have demonstrated the location of α and β adrenergic receptor binding with specific radioligands. In the present study, unique radiolabeled oligonucleotide probes were designed to sequences of the rat α1B brain α2B, kidney α2B, β1, and β2 adrenoreceptor mRNAs for use in in situ hybridization experiments on fresh rat tissues, including brain, spinal cord, and several peripheral organs. After sections were exposed to film or dipped in autoradiographic emulsion, specific and selective labeling patterns characteristic for each probe and tissue were observed. Examples of specific labeling include aIB in cerebral cortex, thalamus, dorsal and medullary raphe nuclei, liver, heart, and kidney; brain α2B in the hippocampal formation, spinal grey matter, parts of the basal ganglia, adrenal medulla, cerebral and cerebellar cortices, and sympathetic and dorsal root ganglia; β1 in cerebral cortex and heart; and β2 in hippocampus, trachea, and lung. The kidney α2B probe labeled kidney but not brain. Thus, using this technique, the locations of cells that produce the mRNA for these receptors were compared as a basis for future studies on the regulation of these mRNAs after physiological or pharmacological manipulations. © 1991.","author":[{"dropping-particle":"","family":"Nicholas","given":"Anthony P.","non-dropping-particle":"","parse-names":false,"suffix":""},{"dropping-particle":"","family":"Pieribone","given":"Vincent A.","non-dropping-particle":"","parse-names":false,"suffix":""},{"dropping-particle":"","family":"Elde","given":"Robert","non-dropping-particle":"","parse-names":false,"suffix":""},{"dropping-particle":"","family":"Hökfelt","given":"Tomas","non-dropping-particle":"","parse-names":false,"suffix":""}],"container-title":"Molecular and Cellular Neuroscience","id":"ITEM-3","issue":"4","issued":{"date-parts":[["1991"]]},"page":"344-350","title":"Initial observations on the localization of mRNA for α and β adrenergic receptors in brain and peripheral tissues of rat using in situ hybridization","type":"article-journal","volume":"2"},"uris":["http://www.mendeley.com/documents/?uuid=3399b1c8-edfe-4b16-b908-b3bc15d1e042"]}],"mendeley":{"formattedCitation":"(Lomasney &lt;i&gt;et al.&lt;/i&gt;, 1990; Nicholas &lt;i&gt;et al.&lt;/i&gt;, 1991; Weiskopf and Todd, 2000)","plainTextFormattedCitation":"(Lomasney et al., 1990; Nicholas et al., 1991; Weiskopf and Todd, 2000)","previouslyFormattedCitation":"(Lomasney &lt;i&gt;et al.&lt;/i&gt;, 1990; Nicholas &lt;i&gt;et al.&lt;/i&gt;, 1991; Weiskopf and Todd, 2000)"},"properties":{"noteIndex":0},"schema":"https://github.com/citation-style-language/schema/raw/master/csl-citation.json"}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 xml:space="preserve">(Lomasney </w:t>
      </w:r>
      <w:r w:rsidRPr="00465302">
        <w:rPr>
          <w:rFonts w:cs="Times New Roman"/>
          <w:i/>
          <w:noProof/>
          <w:szCs w:val="24"/>
        </w:rPr>
        <w:t>et al.</w:t>
      </w:r>
      <w:r w:rsidRPr="00465302">
        <w:rPr>
          <w:rFonts w:cs="Times New Roman"/>
          <w:noProof/>
          <w:szCs w:val="24"/>
        </w:rPr>
        <w:t xml:space="preserve">, 1990; Nicholas </w:t>
      </w:r>
      <w:r w:rsidRPr="00465302">
        <w:rPr>
          <w:rFonts w:cs="Times New Roman"/>
          <w:i/>
          <w:noProof/>
          <w:szCs w:val="24"/>
        </w:rPr>
        <w:t>et al.</w:t>
      </w:r>
      <w:r w:rsidRPr="00465302">
        <w:rPr>
          <w:rFonts w:cs="Times New Roman"/>
          <w:noProof/>
          <w:szCs w:val="24"/>
        </w:rPr>
        <w:t>, 1991; Weiskopf and Todd, 2000)</w:t>
      </w:r>
      <w:r w:rsidRPr="00465302">
        <w:rPr>
          <w:rFonts w:cs="Times New Roman"/>
          <w:szCs w:val="24"/>
        </w:rPr>
        <w:fldChar w:fldCharType="end"/>
      </w:r>
      <w:r w:rsidRPr="00465302">
        <w:rPr>
          <w:rFonts w:cs="Times New Roman"/>
          <w:szCs w:val="24"/>
        </w:rPr>
        <w:t>. Presynaptic AR-α</w:t>
      </w:r>
      <w:r w:rsidRPr="00465302">
        <w:rPr>
          <w:rFonts w:cs="Times New Roman"/>
          <w:szCs w:val="24"/>
          <w:vertAlign w:val="subscript"/>
        </w:rPr>
        <w:t>2</w:t>
      </w:r>
      <w:r w:rsidRPr="00465302">
        <w:rPr>
          <w:rFonts w:cs="Times New Roman"/>
          <w:szCs w:val="24"/>
        </w:rPr>
        <w:t xml:space="preserve"> also modulates the release of serotonin at the serotonergic nerve terminals </w:t>
      </w:r>
      <w:r w:rsidRPr="00465302">
        <w:rPr>
          <w:rFonts w:cs="Times New Roman"/>
          <w:szCs w:val="24"/>
        </w:rPr>
        <w:fldChar w:fldCharType="begin" w:fldLock="1"/>
      </w:r>
      <w:r w:rsidRPr="00465302">
        <w:rPr>
          <w:rFonts w:cs="Times New Roman"/>
          <w:szCs w:val="24"/>
        </w:rPr>
        <w:instrText>ADDIN CSL_CITATION {"citationItems":[{"id":"ITEM-1","itemData":{"DOI":"10.1093/bmb/ldh036","ISSN":"00071420","PMID":"15684247","abstract":"Although α2-adrenoceptor agonists are widely used for analgesia, anxiolysis, sedation, sympatholysis and as anaesthetic-adjuncts for many years, their potential use as neuroprotectants has so far been confined to laboratory experiments. Despite the large body of evidence from both in vivo and in vitro studies, their exact neuroprotective mechanisms remain elusive. Herein, we review the available literature pertaining to the neuroprotective effect of α2-adrenoceptor agonists and the possible biochemical and physiological cascades involved in their mechanisms of action. The remarkable safety profile of α2-adrenoceptor agonists and their high potency of neuroprotection should prompt clinical trials to evaluate their neuroprotective efficacy in humans. © The British Council 2005; all rights reserved.","author":[{"dropping-particle":"","family":"Ma","given":"Daqing","non-dropping-particle":"","parse-names":false,"suffix":""},{"dropping-particle":"","family":"Rajakumaraswamy","given":"Nishanthan","non-dropping-particle":"","parse-names":false,"suffix":""},{"dropping-particle":"","family":"Maze","given":"Mervyn","non-dropping-particle":"","parse-names":false,"suffix":""}],"container-title":"British Medical Bulletin","id":"ITEM-1","issued":{"date-parts":[["2005"]]},"page":"77-92","title":"α2-adrenoceptor agonists: Shedding light on neuroprotection?","type":"article-journal","volume":"71"},"uris":["http://www.mendeley.com/documents/?uuid=c8b342b5-2ad1-4881-a6c8-c4096ab9126e"]}],"mendeley":{"formattedCitation":"(Ma, Rajakumaraswamy and Maze, 2005)","plainTextFormattedCitation":"(Ma, Rajakumaraswamy and Maze, 2005)","previouslyFormattedCitation":"(Ma, Rajakumaraswamy and Maze, 2005)"},"properties":{"noteIndex":0},"schema":"https://github.com/citation-style-language/schema/raw/master/csl-citation.json"}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(Ma, Rajakumaraswamy and Maze, 2005)</w:t>
      </w:r>
      <w:r w:rsidRPr="00465302">
        <w:rPr>
          <w:rFonts w:cs="Times New Roman"/>
          <w:szCs w:val="24"/>
        </w:rPr>
        <w:fldChar w:fldCharType="end"/>
      </w:r>
      <w:r w:rsidRPr="00465302">
        <w:rPr>
          <w:rFonts w:cs="Times New Roman"/>
          <w:szCs w:val="24"/>
        </w:rPr>
        <w:t>.</w:t>
      </w:r>
      <w:r w:rsidRPr="00465302">
        <w:rPr>
          <w:rFonts w:cs="Times New Roman"/>
          <w:bCs/>
          <w:szCs w:val="24"/>
        </w:rPr>
        <w:t xml:space="preserve"> Six PLLD compounds affected the </w:t>
      </w:r>
      <w:r w:rsidRPr="00465302">
        <w:rPr>
          <w:rFonts w:cs="Times New Roman"/>
          <w:szCs w:val="24"/>
        </w:rPr>
        <w:t>Solute Carrier Family 18 Member A2</w:t>
      </w:r>
      <w:r w:rsidRPr="00465302">
        <w:rPr>
          <w:rFonts w:cs="Times New Roman"/>
          <w:bCs/>
          <w:szCs w:val="24"/>
        </w:rPr>
        <w:t xml:space="preserve"> (</w:t>
      </w:r>
      <w:r w:rsidRPr="00465302">
        <w:rPr>
          <w:rFonts w:cs="Times New Roman"/>
          <w:bCs/>
          <w:i/>
          <w:iCs/>
          <w:szCs w:val="24"/>
        </w:rPr>
        <w:t>SLC18A2</w:t>
      </w:r>
      <w:r w:rsidRPr="00465302">
        <w:rPr>
          <w:rFonts w:cs="Times New Roman"/>
          <w:szCs w:val="24"/>
        </w:rPr>
        <w:t xml:space="preserve">) assay. The </w:t>
      </w:r>
      <w:r w:rsidRPr="00465302">
        <w:rPr>
          <w:rFonts w:cs="Times New Roman"/>
          <w:i/>
          <w:iCs/>
          <w:szCs w:val="24"/>
        </w:rPr>
        <w:t>SLC18A2</w:t>
      </w:r>
      <w:r w:rsidRPr="00465302">
        <w:rPr>
          <w:rFonts w:cs="Times New Roman"/>
          <w:szCs w:val="24"/>
        </w:rPr>
        <w:t xml:space="preserve"> genes encode the protein vesicular monoamine transporter 2 (VMAT2). VMAT2 is an ATP-dependent vesicular transporter for monoamines with the highest affinity for serotonin. It is responsible for the active transport of neurotransmitters into secretory vesicles for exocytotic release. </w:t>
      </w:r>
      <w:r w:rsidR="00BA027C" w:rsidRPr="00465302">
        <w:rPr>
          <w:rFonts w:cs="Times New Roman"/>
          <w:szCs w:val="24"/>
        </w:rPr>
        <w:t xml:space="preserve">Numerous </w:t>
      </w:r>
      <w:r w:rsidRPr="00465302">
        <w:rPr>
          <w:rFonts w:cs="Times New Roman"/>
          <w:szCs w:val="24"/>
        </w:rPr>
        <w:t xml:space="preserve">environmental </w:t>
      </w:r>
      <w:r w:rsidR="00BA027C" w:rsidRPr="00465302">
        <w:rPr>
          <w:rFonts w:cs="Times New Roman"/>
          <w:szCs w:val="24"/>
        </w:rPr>
        <w:t>pollutants act by</w:t>
      </w:r>
      <w:r w:rsidRPr="00465302">
        <w:rPr>
          <w:rFonts w:cs="Times New Roman"/>
          <w:szCs w:val="24"/>
        </w:rPr>
        <w:t xml:space="preserve"> inhibit</w:t>
      </w:r>
      <w:r w:rsidR="00BA027C" w:rsidRPr="00465302">
        <w:rPr>
          <w:rFonts w:cs="Times New Roman"/>
          <w:szCs w:val="24"/>
        </w:rPr>
        <w:t>ing</w:t>
      </w:r>
      <w:r w:rsidRPr="00465302">
        <w:rPr>
          <w:rFonts w:cs="Times New Roman"/>
          <w:szCs w:val="24"/>
        </w:rPr>
        <w:t xml:space="preserve"> VMAT activity</w:t>
      </w:r>
      <w:r w:rsidR="00BA027C" w:rsidRPr="00465302">
        <w:rPr>
          <w:rFonts w:cs="Times New Roman"/>
          <w:szCs w:val="24"/>
        </w:rPr>
        <w:t>,</w:t>
      </w:r>
      <w:r w:rsidRPr="00465302">
        <w:rPr>
          <w:rFonts w:cs="Times New Roman"/>
          <w:szCs w:val="24"/>
        </w:rPr>
        <w:t xml:space="preserve"> including the organochlorine pesticide heptachlor and polychlorinated biphenyls (PCBs) </w:t>
      </w:r>
      <w:r w:rsidRPr="00465302">
        <w:rPr>
          <w:rFonts w:cs="Times New Roman"/>
          <w:szCs w:val="24"/>
        </w:rPr>
        <w:fldChar w:fldCharType="begin" w:fldLock="1"/>
      </w:r>
      <w:r w:rsidRPr="00465302">
        <w:rPr>
          <w:rFonts w:cs="Times New Roman"/>
          <w:szCs w:val="24"/>
        </w:rPr>
        <w:instrText>ADDIN CSL_CITATION {"citationItems":[{"id":"ITEM-1","itemData":{"DOI":"10.1016/j.mam.2012.07.005","ISSN":"1872-9452","abstract":"The exocytotic release of neurotransmitters requires active transport into synaptic vesicles and other types of secretory vesicles. Members of the SLC18 family perform this function for acetylcholine (SLC18A3, the vesicular acetylcholine transporter or VAChT) and monoamines such as dopamine and serotonin (SLC18A1 and 2, the vesicular monoamine transporters VMAT1 and 2, respectively). To date, no specific diseases have been attributed to a mutation in an SLC18 family member; however, polymorphisms in SLC18A1 and SLC18A2 may confer risk for some neuropsychiatric disorders. Additional members of this family include SLC18A4, expressed in insects, and SLC18B1, the function of which is not known. SLC18 is part of the Drug:H(+) Antiporter-1 Family (DHA1, TCID 2.A.1.2) within the Major Facilitator Superfamily (MFS, TCID 2.A.1).","author":[{"dropping-particle":"","family":"Lawal","given":"Hakeem O","non-dropping-particle":"","parse-names":false,"suffix":""},{"dropping-particle":"","family":"Krantz","given":"David E","non-dropping-particle":"","parse-names":false,"suffix":""}],"container-title":"Molecular aspects of medicine","id":"ITEM-1","issue":"2-3","issued":{"date-parts":[["2013"]]},"language":"eng","page":"360-372","title":"SLC18: Vesicular neurotransmitter transporters for monoamines and acetylcholine","type":"article-journal","volume":"34"},"uris":["http://www.mendeley.com/documents/?uuid=01f362f3-6c8a-43f3-9203-68f3b1c6ba34"]}],"mendeley":{"formattedCitation":"(Lawal and Krantz, 2013)","plainTextFormattedCitation":"(Lawal and Krantz, 2013)","previouslyFormattedCitation":"(Lawal and Krantz, 2013)"},"properties":{"noteIndex":0},"schema":"https://github.com/citation-style-language/schema/raw/master/csl-citation.json"}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(Lawal and Krantz, 2013)</w:t>
      </w:r>
      <w:r w:rsidRPr="00465302">
        <w:rPr>
          <w:rFonts w:cs="Times New Roman"/>
          <w:szCs w:val="24"/>
        </w:rPr>
        <w:fldChar w:fldCharType="end"/>
      </w:r>
      <w:r w:rsidRPr="00465302">
        <w:rPr>
          <w:rFonts w:cs="Times New Roman"/>
          <w:szCs w:val="24"/>
        </w:rPr>
        <w:t>. Just below our cutoff value for correlating assays was the assay for Nuclear Factor 1A (NF1A), a transcription factor that regulates expression of the 5HT</w:t>
      </w:r>
      <w:r w:rsidRPr="00465302">
        <w:rPr>
          <w:rFonts w:cs="Times New Roman"/>
          <w:szCs w:val="24"/>
          <w:vertAlign w:val="subscript"/>
        </w:rPr>
        <w:t>3</w:t>
      </w:r>
      <w:r w:rsidRPr="00465302">
        <w:rPr>
          <w:rFonts w:cs="Times New Roman"/>
          <w:szCs w:val="24"/>
        </w:rPr>
        <w:t xml:space="preserve"> receptor, which is the serotonin-gated ion channel (in contrast to the other serotonin receptors that are GPCRs). The fact that all these serotonin-related ToxCast assays are affected by PLLDs identified by us indicates that serotonin is important for normal PLL development, and if perturbations occur, neuromast numbers will become altered. </w:t>
      </w:r>
    </w:p>
    <w:p w14:paraId="7A185497" w14:textId="7F25E778" w:rsidR="0069328F" w:rsidRPr="00465302" w:rsidRDefault="0069328F" w:rsidP="00A5237A">
      <w:pPr>
        <w:pStyle w:val="NoSpacing"/>
        <w:spacing w:after="240" w:line="480" w:lineRule="auto"/>
        <w:jc w:val="both"/>
        <w:rPr>
          <w:rFonts w:cs="Times New Roman"/>
          <w:szCs w:val="24"/>
        </w:rPr>
      </w:pPr>
      <w:r w:rsidRPr="00465302">
        <w:rPr>
          <w:rFonts w:cs="Times New Roman"/>
          <w:szCs w:val="24"/>
        </w:rPr>
        <w:lastRenderedPageBreak/>
        <w:t xml:space="preserve">The other large group of correlating </w:t>
      </w:r>
      <w:r w:rsidRPr="00465302">
        <w:rPr>
          <w:rFonts w:cs="Times New Roman"/>
          <w:i/>
          <w:iCs/>
          <w:szCs w:val="24"/>
        </w:rPr>
        <w:t>in vitro</w:t>
      </w:r>
      <w:r w:rsidRPr="00465302">
        <w:rPr>
          <w:rFonts w:cs="Times New Roman"/>
          <w:szCs w:val="24"/>
        </w:rPr>
        <w:t xml:space="preserve"> ToxCast assays contained assays for hormone and steroid signaling. These assays included the retinoic acid receptor (RAR), farnesoid X receptor α (FXRα, NR1H4), and thyroperoxidase (TPO), a hemoprotein that plays a key role in thyroid hormone synthesis (T3 and T4). Retinoic acid </w:t>
      </w:r>
      <w:r w:rsidR="00A734D0" w:rsidRPr="00465302">
        <w:rPr>
          <w:rFonts w:cs="Times New Roman"/>
          <w:szCs w:val="24"/>
        </w:rPr>
        <w:t xml:space="preserve">(RA) </w:t>
      </w:r>
      <w:r w:rsidRPr="00465302">
        <w:rPr>
          <w:rFonts w:cs="Times New Roman"/>
          <w:szCs w:val="24"/>
        </w:rPr>
        <w:t>and thyroid hormone both have multitudes of effects during embryonic development. Worth mentioning in this context is that endogenous RA plays a role in the development and maintenance of the Organ of Corti of the inner ear via the RARα and RAR</w:t>
      </w:r>
      <w:r w:rsidRPr="00465302">
        <w:rPr>
          <w:rFonts w:cs="Times New Roman"/>
          <w:szCs w:val="24"/>
        </w:rPr>
        <w:sym w:font="Symbol" w:char="F067"/>
      </w:r>
      <w:r w:rsidRPr="00465302">
        <w:rPr>
          <w:rFonts w:cs="Times New Roman"/>
          <w:szCs w:val="24"/>
        </w:rPr>
        <w:t xml:space="preserve"> receptors </w:t>
      </w:r>
      <w:r w:rsidRPr="00465302">
        <w:rPr>
          <w:rFonts w:cs="Times New Roman"/>
          <w:szCs w:val="24"/>
        </w:rPr>
        <w:fldChar w:fldCharType="begin" w:fldLock="1"/>
      </w:r>
      <w:r w:rsidRPr="00465302">
        <w:rPr>
          <w:rFonts w:cs="Times New Roman"/>
          <w:szCs w:val="24"/>
        </w:rPr>
        <w:instrText>ADDIN CSL_CITATION {"citationItems":[{"id":"ITEM-1","itemData":{"author":[{"dropping-particle":"","family":"Lefebvre","given":"Philippe","non-dropping-particle":"","parse-names":false,"suffix":""},{"dropping-particle":"","family":"Martin","given":"Perrine J","non-dropping-particle":"","parse-names":false,"suffix":""},{"dropping-particle":"","family":"Billaut","given":"Xavier","non-dropping-particle":"","parse-names":false,"suffix":""},{"dropping-particle":"","family":"Lefebvre","given":"Bruno","non-dropping-particle":"","parse-names":false,"suffix":""}],"container-title":"Vitamins And Hormones","id":"ITEM-1","issued":{"date-parts":[["2005"]]},"title":"Transciptional Activities of Retinoic Acid Receptors","type":"article-journal","volume":"70"},"uris":["http://www.mendeley.com/documents/?uuid=991b850b-f7d2-4fa7-b3ec-7b9c20999212"]},{"id":"ITEM-2","itemData":{"DOI":"10.1002/neu.20244","ISSN":"0022-3034","abstract":"Abstract The inner ear originates from an embryonic ectodermal placode and rapidly develops into a three-dimensional structure (the otocyst) through complex molecular and cellular interactions. Many genes and their products are involved in inner ear induction, organogenesis, and cell differentiation. Retinoic acid (RA) is an endogenous signaling molecule that may play a role during different phases of inner ear development, as shown from pathological observations. To gain insight into the function of RA during inner ear development, we have investigated the spatio-temporal expression patterns of major components of RA signaling pathway, including cellular retinoic acid binding proteins (CRABPs), cellular retinoid binding proteins (CRBPs), retinaldehyde dehydrogenases (RALDHs), catabolic enzymes (CYP26s), and nuclear receptors (RARs). Although the CrbpI, CrabpI, and -II genes are specifically expressed in the inner ear throughout development, loss-of-function studies have revealed that these proteins are dispensable for inner development and function. Several Raldh and Cyp26 gene transcripts are expressed at embryological day (E) 9.0?9.5 in the otocyst and show mainly complementary distributions in the otic epithelium and mesenchyme during following stages. From Western blot, RT-PCR, and in situ hybridization analysis, there is a low expression of Raldhs in the early otocyst at E9, while Cyp26s are strongly expressed. During the following days, there is an up-regulation of Raldhs and a down-regulation for Cyp26s. Specific RA receptor (Rar and Rxr) genes are expressed in the otocyst and during further development of the inner ear. At the otocyst stage, most of the components of the retinoid pathway are present, suggesting that the embryonic inner ear might act as an autocrine system, which is able to synthesize and metabolize RA necessary for its development. We propose a model in which two RA-dependent pathways may control inner ear ontogenesis: one indirect with RA from somitic mesoderm acting to regulate gene expression within the hindbrain neuroepithelium, and another with RA acting directly on the otocyst. Current evidence suggests that RA may regulate several genes involved in mesenchyme-epithelial interactions, thereby controlling inner ear morphogenesis. Our investigations suggest that RA signaling is a critical component not only of embryonic development, but also of postnatal maintenance of the inner ear. ? 2006 Wiley Periodicals, Inc. J Neurobi…","author":[{"dropping-particle":"","family":"Romand","given":"Raymond","non-dropping-particle":"","parse-names":false,"suffix":""},{"dropping-particle":"","family":"Dollé","given":"Pascal","non-dropping-particle":"","parse-names":false,"suffix":""},{"dropping-particle":"","family":"Hashino","given":"Eri","non-dropping-particle":"","parse-names":false,"suffix":""}],"container-title":"Journal of Neurobiology","id":"ITEM-2","issue":"7","issued":{"date-parts":[["2006","6","1"]]},"note":"doi: 10.1002/neu.20244","page":"687-704","publisher":"John Wiley &amp; Sons, Ltd","title":"Retinoid signaling in inner ear development","type":"article-journal","volume":"66"},"uris":["http://www.mendeley.com/documents/?uuid=41a3f238-6599-4b22-941a-7a9ae07d7024"]}],"mendeley":{"formattedCitation":"(Lefebvre &lt;i&gt;et al.&lt;/i&gt;, 2005; Romand, Dollé and Hashino, 2006)","plainTextFormattedCitation":"(Lefebvre et al., 2005; Romand, Dollé and Hashino, 2006)","previouslyFormattedCitation":"(Lefebvre &lt;i&gt;et al.&lt;/i&gt;, 2005; Romand, Dollé and Hashino, 2006)"},"properties":{"noteIndex":0},"schema":"https://github.com/citation-style-language/schema/raw/master/csl-citation.json"}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 xml:space="preserve">(Lefebvre </w:t>
      </w:r>
      <w:r w:rsidRPr="00465302">
        <w:rPr>
          <w:rFonts w:cs="Times New Roman"/>
          <w:i/>
          <w:noProof/>
          <w:szCs w:val="24"/>
        </w:rPr>
        <w:t>et al.</w:t>
      </w:r>
      <w:r w:rsidRPr="00465302">
        <w:rPr>
          <w:rFonts w:cs="Times New Roman"/>
          <w:noProof/>
          <w:szCs w:val="24"/>
        </w:rPr>
        <w:t>, 2005; Romand, Dollé and Hashino, 2006)</w:t>
      </w:r>
      <w:r w:rsidRPr="00465302">
        <w:rPr>
          <w:rFonts w:cs="Times New Roman"/>
          <w:szCs w:val="24"/>
        </w:rPr>
        <w:fldChar w:fldCharType="end"/>
      </w:r>
      <w:r w:rsidRPr="00465302">
        <w:rPr>
          <w:rFonts w:cs="Times New Roman"/>
          <w:szCs w:val="24"/>
        </w:rPr>
        <w:t xml:space="preserve">. Treatment with exogenous RA significantly increases the number of cells that developed as hair cells in the Organ of Corti </w:t>
      </w:r>
      <w:r w:rsidRPr="00465302">
        <w:rPr>
          <w:rFonts w:cs="Times New Roman"/>
          <w:szCs w:val="24"/>
        </w:rPr>
        <w:fldChar w:fldCharType="begin" w:fldLock="1"/>
      </w:r>
      <w:r w:rsidRPr="00465302">
        <w:rPr>
          <w:rFonts w:cs="Times New Roman"/>
          <w:szCs w:val="24"/>
        </w:rPr>
        <w:instrText>ADDIN CSL_CITATION {"citationItems":[{"id":"ITEM-1","itemData":{"ISSN":"09501991","author":[{"dropping-particle":"","family":"Kelley","given":"M. W.","non-dropping-particle":"","parse-names":false,"suffix":""},{"dropping-particle":"","family":"Xu","given":"X. M.","non-dropping-particle":"","parse-names":false,"suffix":""},{"dropping-particle":"","family":"Wagner","given":"M. A.","non-dropping-particle":"","parse-names":false,"suffix":""},{"dropping-particle":"","family":"Warchol","given":"M. E.","non-dropping-particle":"","parse-names":false,"suffix":""},{"dropping-particle":"","family":"Corwin","given":"J. T.","non-dropping-particle":"","parse-names":false,"suffix":""}],"container-title":"Development","id":"ITEM-1","issue":"4","issued":{"date-parts":[["1993"]]},"page":"1041-1053","title":"The developing organ of Corti contains retinoic acid and forms supernumerary hair cells in response to exogenous retinoic acid in culture","type":"article-journal","volume":"119"},"uris":["http://www.mendeley.com/documents/?uuid=a744db25-a9bd-411e-ae35-568f90bbcd6c"]}],"mendeley":{"formattedCitation":"(Kelley &lt;i&gt;et al.&lt;/i&gt;, 1993)","plainTextFormattedCitation":"(Kelley et al., 1993)","previouslyFormattedCitation":"(Kelley &lt;i&gt;et al.&lt;/i&gt;, 1993)"},"properties":{"noteIndex":0},"schema":"https://github.com/citation-style-language/schema/raw/master/csl-citation.json"}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 xml:space="preserve">(Kelley </w:t>
      </w:r>
      <w:r w:rsidRPr="00465302">
        <w:rPr>
          <w:rFonts w:cs="Times New Roman"/>
          <w:i/>
          <w:noProof/>
          <w:szCs w:val="24"/>
        </w:rPr>
        <w:t>et al.</w:t>
      </w:r>
      <w:r w:rsidRPr="00465302">
        <w:rPr>
          <w:rFonts w:cs="Times New Roman"/>
          <w:noProof/>
          <w:szCs w:val="24"/>
        </w:rPr>
        <w:t>, 1993)</w:t>
      </w:r>
      <w:r w:rsidRPr="00465302">
        <w:rPr>
          <w:rFonts w:cs="Times New Roman"/>
          <w:szCs w:val="24"/>
        </w:rPr>
        <w:fldChar w:fldCharType="end"/>
      </w:r>
      <w:r w:rsidRPr="00465302">
        <w:rPr>
          <w:rFonts w:cs="Times New Roman"/>
          <w:szCs w:val="24"/>
        </w:rPr>
        <w:t xml:space="preserve">. For the thyroid hormone system, knockout of thyroid hormone receptor beta in mice causes deafness through malformation of the Tectorial Membrane </w:t>
      </w:r>
      <w:r w:rsidRPr="00465302">
        <w:rPr>
          <w:rFonts w:cs="Times New Roman"/>
          <w:szCs w:val="24"/>
        </w:rPr>
        <w:fldChar w:fldCharType="begin" w:fldLock="1"/>
      </w:r>
      <w:r w:rsidRPr="00465302">
        <w:rPr>
          <w:rFonts w:cs="Times New Roman"/>
          <w:szCs w:val="24"/>
        </w:rPr>
        <w:instrText>ADDIN CSL_CITATION {"citationItems":[{"id":"ITEM-1","itemData":{"DOI":"10.1038/ng0796-354","ISSN":"1546-1718","abstract":"Congenital thyroid disorders are often associated with profound deafness, indicating a requirement for thyroid hormone (T3) and its receptors in the development of hearing1–5. Two T3 receptor genes, Trα and Trβ6,7, are differentially expressed, although in overlapping patterns, during development8–11. Thus, the extent to which they mediate unique or redundant functions is unclear. We demonstrate that Trβ-deficient (Thrb−/−) mice12 exhibit a permanent deficit in auditory function across a wide range of frequencies, although they show no other overt neurological defects. The auditory-evoked brainstem response (ABR) in Thrb−/− mice, although greatly diminished, displayed normal waveforms, which suggested that the primary defect resides in the cochlea. Although hypothyroidism causes cochlear malformation13,14, there was no evidence of this in Thrb−/− mice. These findings suggest that Trβ controls the maturation of auditory function but not morphogenesis of the cochlea. Thrb−/− mice provide a model for the human endocrine disorder of resistance to thyroid hormone (RTH), which is typically associated with dominant mutations in Trβ12,15. However, deafness is generally absent in RTH, indicating that dominant and recessive mutations in Trβ have different consequences on the auditory system. Our results identify Trβ as an essential transcription factor for auditory development and indicate that distinct Tr genes serve certain unique functions.","author":[{"dropping-particle":"","family":"Forrest","given":"Douglas","non-dropping-particle":"","parse-names":false,"suffix":""},{"dropping-particle":"","family":"Erway","given":"Lawrence C","non-dropping-particle":"","parse-names":false,"suffix":""},{"dropping-particle":"","family":"Ng","given":"Lily","non-dropping-particle":"","parse-names":false,"suffix":""},{"dropping-particle":"","family":"Altschuler","given":"Richard","non-dropping-particle":"","parse-names":false,"suffix":""},{"dropping-particle":"","family":"Curran","given":"Tom","non-dropping-particle":"","parse-names":false,"suffix":""}],"container-title":"Nature Genetics","id":"ITEM-1","issue":"3","issued":{"date-parts":[["1996"]]},"page":"354-357","title":"Thyroid hormone receptor β is essential for development of auditory function","type":"article-journal","volume":"13"},"uris":["http://www.mendeley.com/documents/?uuid=a7f0183a-870c-4dd4-8c0e-a20a73bccb56"]},{"id":"ITEM-2","itemData":{"DOI":"10.1523/JNEUROSCI.3557-08.2009","ISSN":"1529-2401","abstract":"Thyroid hormone receptor beta (TRbeta) dysfunction leads to deafness in humans and mice. Deafness in TRbeta(-/-) mutant mice has been attributed to TRbeta-mediated control of voltage- and Ca(2+)-activated K(+) (BK) channel expression in inner hair cells (IHCs). However, normal hearing in young constitutive BKalpha(-/-) mutants contradicts this hypothesis. Here, we show that mice with hair cell-specific deletion of TRbeta after postnatal day 11 (P11) have a delay in BKalpha expression but normal hearing, indicating that the origin of hearing loss in TRbeta(-/-) mutant mice manifested before P11. Analyzing the phenotype of IHCs in constitutive TRbeta(-/-) mice, we found normal Ca(2+) current amplitudes, exocytosis, and shape of compound action potential waveforms. In contrast, reduced distortion product otoacoustic emissions and cochlear microphonics associated with an abnormal structure of the tectorial membrane and enhanced tectorin levels suggest that disturbed mechanical performance is the primary cause of deafness resulting from TRbeta deficiency.","author":[{"dropping-particle":"","family":"Winter","given":"Harald","non-dropping-particle":"","parse-names":false,"suffix":""},{"dropping-particle":"","family":"Rüttiger","given":"Lukas","non-dropping-particle":"","parse-names":false,"suffix":""},{"dropping-particle":"","family":"Müller","given":"Marcus","non-dropping-particle":"","parse-names":false,"suffix":""},{"dropping-particle":"","family":"Kuhn","given":"Stephanie","non-dropping-particle":"","parse-names":false,"suffix":""},{"dropping-particle":"","family":"Brandt","given":"Niels","non-dropping-particle":"","parse-names":false,"suffix":""},{"dropping-particle":"","family":"Zimmermann","given":"Ulrike","non-dropping-particle":"","parse-names":false,"suffix":""},{"dropping-particle":"","family":"Hirt","given":"Bernhard","non-dropping-particle":"","parse-names":false,"suffix":""},{"dropping-particle":"","family":"Bress","given":"Andreas","non-dropping-particle":"","parse-names":false,"suffix":""},{"dropping-particle":"","family":"Sausbier","given":"Matthias","non-dropping-particle":"","parse-names":false,"suffix":""},{"dropping-particle":"","family":"Conscience","given":"Aude","non-dropping-particle":"","parse-names":false,"suffix":""},{"dropping-particle":"","family":"Flamant","given":"Frederic","non-dropping-particle":"","parse-names":false,"suffix":""},{"dropping-particle":"","family":"Tian","given":"Yong","non-dropping-particle":"","parse-names":false,"suffix":""},{"dropping-particle":"","family":"Zuo","given":"Jian","non-dropping-particle":"","parse-names":false,"suffix":""},{"dropping-particle":"","family":"Pfister","given":"Markus","non-dropping-particle":"","parse-names":false,"suffix":""},{"dropping-particle":"","family":"Ruth","given":"Peter","non-dropping-particle":"","parse-names":false,"suffix":""},{"dropping-particle":"","family":"Löwenheim","given":"Hubert","non-dropping-particle":"","parse-names":false,"suffix":""},{"dropping-particle":"","family":"Samarut","given":"Jacques","non-dropping-particle":"","parse-names":false,"suffix":""},{"dropping-particle":"","family":"Engel","given":"Jutta","non-dropping-particle":"","parse-names":false,"suffix":""},{"dropping-particle":"","family":"Knipper","given":"Marlies","non-dropping-particle":"","parse-names":false,"suffix":""}],"container-title":"The Journal of neuroscience : the official journal of the Society for Neuroscience","id":"ITEM-2","issue":"8","issued":{"date-parts":[["2009","2","25"]]},"language":"eng","page":"2581-2587","publisher":"Society for Neuroscience","title":"Deafness in TRbeta mutants is caused by malformation of the tectorial membrane","type":"article-journal","volume":"29"},"uris":["http://www.mendeley.com/documents/?uuid=e6c690f6-45ac-49e8-953e-8bb9063e522c"]}],"mendeley":{"formattedCitation":"(Forrest &lt;i&gt;et al.&lt;/i&gt;, 1996; Winter &lt;i&gt;et al.&lt;/i&gt;, 2009)","plainTextFormattedCitation":"(Forrest et al., 1996; Winter et al., 2009)","previouslyFormattedCitation":"(Forrest &lt;i&gt;et al.&lt;/i&gt;, 1996; Winter &lt;i&gt;et al.&lt;/i&gt;, 2009)"},"properties":{"noteIndex":0},"schema":"https://github.com/citation-style-language/schema/raw/master/csl-citation.json"}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 xml:space="preserve">(Forrest </w:t>
      </w:r>
      <w:r w:rsidRPr="00465302">
        <w:rPr>
          <w:rFonts w:cs="Times New Roman"/>
          <w:i/>
          <w:noProof/>
          <w:szCs w:val="24"/>
        </w:rPr>
        <w:t>et al.</w:t>
      </w:r>
      <w:r w:rsidRPr="00465302">
        <w:rPr>
          <w:rFonts w:cs="Times New Roman"/>
          <w:noProof/>
          <w:szCs w:val="24"/>
        </w:rPr>
        <w:t xml:space="preserve">, 1996; Winter </w:t>
      </w:r>
      <w:r w:rsidRPr="00465302">
        <w:rPr>
          <w:rFonts w:cs="Times New Roman"/>
          <w:i/>
          <w:noProof/>
          <w:szCs w:val="24"/>
        </w:rPr>
        <w:t>et al.</w:t>
      </w:r>
      <w:r w:rsidRPr="00465302">
        <w:rPr>
          <w:rFonts w:cs="Times New Roman"/>
          <w:noProof/>
          <w:szCs w:val="24"/>
        </w:rPr>
        <w:t>, 2009)</w:t>
      </w:r>
      <w:r w:rsidRPr="00465302">
        <w:rPr>
          <w:rFonts w:cs="Times New Roman"/>
          <w:szCs w:val="24"/>
        </w:rPr>
        <w:fldChar w:fldCharType="end"/>
      </w:r>
      <w:r w:rsidRPr="00465302">
        <w:rPr>
          <w:rFonts w:cs="Times New Roman"/>
          <w:szCs w:val="24"/>
        </w:rPr>
        <w:t>, an apical membrane of the extracellular matrix, which lies over the Organ of Corti.</w:t>
      </w:r>
      <w:r w:rsidRPr="00465302">
        <w:rPr>
          <w:rFonts w:cs="Times New Roman"/>
          <w:b/>
          <w:bCs/>
          <w:szCs w:val="24"/>
        </w:rPr>
        <w:t xml:space="preserve"> </w:t>
      </w:r>
      <w:r w:rsidRPr="00465302">
        <w:rPr>
          <w:rFonts w:cs="Times New Roman"/>
          <w:szCs w:val="24"/>
        </w:rPr>
        <w:t xml:space="preserve">Another correlating assay was the transmembrane translocator protein (TSPO)-assay. In steroidogenesis, in response to hormonal signals, TSPO forms a multiprotein complex for the import of cholesterol from intracellular stores into mitochondria, which is a rate-determining step in hormonal regulation of steroidogenesis </w:t>
      </w:r>
      <w:r w:rsidRPr="00465302">
        <w:rPr>
          <w:rFonts w:cs="Times New Roman"/>
          <w:szCs w:val="24"/>
        </w:rPr>
        <w:fldChar w:fldCharType="begin" w:fldLock="1"/>
      </w:r>
      <w:r w:rsidRPr="00465302">
        <w:rPr>
          <w:rFonts w:cs="Times New Roman"/>
          <w:szCs w:val="24"/>
        </w:rPr>
        <w:instrText>ADDIN CSL_CITATION {"citationItems":[{"id":"ITEM-1","itemData":{"DOI":"10.1016/J.MCE.2010.06.013","ISSN":"0303-7207","abstract":"Translocator protein (TSPO) is an 18kDa high affinity cholesterol- and drug-binding protein found primarily in the outer mitochondrial membrane. Although TSPO is found in many tissue types, it is expressed at the highest levels under normal conditions in tissues that synthesize steroids. TSPO has been associated with cholesterol import into mitochondria, a key function in steroidogenesis, and directly or indirectly with multiple other cellular functions including apoptosis, cell proliferation, differentiation, anion transport, porphyrin transport, heme synthesis, and regulation of mitochondrial function. Aberrant expression of TSPO has been linked to multiple diseases, including cancer, brain injury, neurodegeneration, and ischemia-reperfusion injury. There has been an effort during the last decade to understand the mechanisms regulating tissue- and disease-specific TSPO expression and to identify pharmacological means to control its expression. This review focuses on the current knowledge regarding the chemicals, hormones, and molecular mechanisms regulating Tspo gene expression under physiological conditions in a tissue- and disease-specific manner. The results described here provide evidence that the PKCɛ-ERK1/2-AP-1/STAT3 signal transduction pathway is the primary regulator of Tspo gene expression in normal and pathological tissues expressing high levels of TSPO.","author":[{"dropping-particle":"","family":"Batarseh","given":"Amani","non-dropping-particle":"","parse-names":false,"suffix":""},{"dropping-particle":"","family":"Papadopoulos","given":"Vassilios","non-dropping-particle":"","parse-names":false,"suffix":""}],"container-title":"Molecular and Cellular Endocrinology","id":"ITEM-1","issue":"1-2","issued":{"date-parts":[["2010","10","7"]]},"page":"1-12","publisher":"Elsevier","title":"Regulation of translocator protein 18 kDa (TSPO) expression in health and disease states","type":"article-journal","volume":"327"},"uris":["http://www.mendeley.com/documents/?uuid=7df0304d-ac71-381a-9b7a-d21b56cec203"]},{"id":"ITEM-2","itemData":{"DOI":"10.1038/nrd3295","ISSN":"1474-1784","abstract":"The translocator protein (18 kDa) (TSPO) is a five transmembrane domain protein that is localized primarily in the outer mitochondrial membrane and is expressed predominantly in steroid-synthesizing tissues, including the brain.TSPO is involved in the translocation of cholesterol from the outer to the inner mitochondrial membrane, which is the rate-limiting step in the synthesis of steroids and neurosteroids and one of the most well-characterized functions of this protein.TSPO expression seems to be a sensitive biomarker of brain damage and neurodegeneration, particularly of inflammation and reactive gliosis.In response to injury, TSPO expression is strongly upregulated in the peripheral nervous system in Schwann cells, macrophages and neurons. Increased TSPO ligand binding has also been investigated as a molecular in vivo sensor of neuronal damage and inflammation in patients with neurodegenerative diseases of the central nervous system (CNS) that are characterized by neuronal loss in discrete areas.Cholesterol, porphyrins and endozepines are endogenous ligands of TSPO. Classical synthetic ligands of TSPO include the isoquinoline PK-11195 and the benzodiazepine Ro5-4864. Over the past two decades, various additional TSPO ligands have been developed, which can be subdivided into distinct chemical classes.Most of the TSPO ligands were developed primarily as neuroimaging agents and diagnostic tools for brain inflammation associated with various neuropathological conditions.Certain specific TSPO ligands are under development also for the treatment of various neurological and psychiatric disorders. Possible indications include peripheral neuropathies, neurodegenerative or traumatic processes within the CNS, and psychiatric disorders, especially anxiety disorders.There are ongoing trials with TSPO ligands for the treatment of chemotherapy-induced peripheral neuropathy and as an adjunct treatment in amyotrophic lateral sclerosis. Moreover, clinical studies with various TSPO ligands have been performed in patients suffering from diabetic neuropathy, in healthy volunteers undergoing an experimental anxiety challenge and in patients with generalized anxiety disorder. Etifoxine is available in France for the treatment of adjustment disorder with anxiety.Systematic clinical studies involving prolonged administration and safety monitoring and differential treatment regimens are needed to evaluate the therapeutic potential of TSPO ligands in relation to their putati…","author":[{"dropping-particle":"","family":"Rupprecht","given":"Rainer","non-dropping-particle":"","parse-names":false,"suffix":""},{"dropping-particle":"","family":"Papadopoulos","given":"Vassilios","non-dropping-particle":"","parse-names":false,"suffix":""},{"dropping-particle":"","family":"Rammes","given":"Gerhard","non-dropping-particle":"","parse-names":false,"suffix":""},{"dropping-particle":"","family":"Baghai","given":"Thomas C","non-dropping-particle":"","parse-names":false,"suffix":""},{"dropping-particle":"","family":"Fan","given":"Jinjiang","non-dropping-particle":"","parse-names":false,"suffix":""},{"dropping-particle":"","family":"Akula","given":"Nagaraju","non-dropping-particle":"","parse-names":false,"suffix":""},{"dropping-particle":"","family":"Groyer","given":"Ghislaine","non-dropping-particle":"","parse-names":false,"suffix":""},{"dropping-particle":"","family":"Adams","given":"David","non-dropping-particle":"","parse-names":false,"suffix":""},{"dropping-particle":"","family":"Schumacher","given":"Michael","non-dropping-particle":"","parse-names":false,"suffix":""}],"container-title":"Nature Reviews Drug Discovery","id":"ITEM-2","issue":"12","issued":{"date-parts":[["2010"]]},"page":"971-988","title":"Translocator protein (18 kDa) (TSPO) as a therapeutic target for neurological and psychiatric disorders","type":"article-journal","volume":"9"},"uris":["http://www.mendeley.com/documents/?uuid=7a503098-d871-4cec-8f7a-edab007691a2"]}],"mendeley":{"formattedCitation":"(Batarseh and Papadopoulos, 2010; Rupprecht &lt;i&gt;et al.&lt;/i&gt;, 2010)","plainTextFormattedCitation":"(Batarseh and Papadopoulos, 2010; Rupprecht et al., 2010)","previouslyFormattedCitation":"(Batarseh and Papadopoulos, 2010; Rupprecht &lt;i&gt;et al.&lt;/i&gt;, 2010)"},"properties":{"noteIndex":0},"schema":"https://github.com/citation-style-language/schema/raw/master/csl-citation.json"}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 xml:space="preserve">(Batarseh and Papadopoulos, 2010; Rupprecht </w:t>
      </w:r>
      <w:r w:rsidRPr="00465302">
        <w:rPr>
          <w:rFonts w:cs="Times New Roman"/>
          <w:i/>
          <w:noProof/>
          <w:szCs w:val="24"/>
        </w:rPr>
        <w:t>et al.</w:t>
      </w:r>
      <w:r w:rsidRPr="00465302">
        <w:rPr>
          <w:rFonts w:cs="Times New Roman"/>
          <w:noProof/>
          <w:szCs w:val="24"/>
        </w:rPr>
        <w:t>, 2010)</w:t>
      </w:r>
      <w:r w:rsidRPr="00465302">
        <w:rPr>
          <w:rFonts w:cs="Times New Roman"/>
          <w:szCs w:val="24"/>
        </w:rPr>
        <w:fldChar w:fldCharType="end"/>
      </w:r>
      <w:r w:rsidRPr="00465302">
        <w:rPr>
          <w:rFonts w:cs="Times New Roman"/>
          <w:szCs w:val="24"/>
        </w:rPr>
        <w:t>. Furthermore, assays for CypP450s (CYP2A1 and CYP2C13) correlated to the PLLDs. Both these enzymes are sex-specific and involved in testosterone metabolism. PLLDs also affected the Sigma Nonopioid Intracellular Receptor 1 (</w:t>
      </w:r>
      <w:r w:rsidRPr="00465302">
        <w:rPr>
          <w:rFonts w:cs="Times New Roman"/>
          <w:bCs/>
          <w:szCs w:val="24"/>
        </w:rPr>
        <w:t>SIGMAR1,</w:t>
      </w:r>
      <w:r w:rsidRPr="00465302">
        <w:rPr>
          <w:rFonts w:cs="Times New Roman"/>
          <w:szCs w:val="24"/>
        </w:rPr>
        <w:t xml:space="preserve"> σ</w:t>
      </w:r>
      <w:r w:rsidRPr="00465302">
        <w:rPr>
          <w:rFonts w:cs="Times New Roman"/>
          <w:szCs w:val="24"/>
          <w:vertAlign w:val="subscript"/>
        </w:rPr>
        <w:t>1</w:t>
      </w:r>
      <w:r w:rsidRPr="00465302">
        <w:rPr>
          <w:rFonts w:cs="Times New Roman"/>
          <w:szCs w:val="24"/>
        </w:rPr>
        <w:t xml:space="preserve">R)-assay. </w:t>
      </w:r>
      <w:r w:rsidRPr="00465302">
        <w:rPr>
          <w:rFonts w:cs="Times New Roman"/>
          <w:bCs/>
          <w:szCs w:val="24"/>
        </w:rPr>
        <w:t>SIGMAR1</w:t>
      </w:r>
      <w:r w:rsidRPr="00465302">
        <w:rPr>
          <w:rFonts w:cs="Times New Roman"/>
          <w:szCs w:val="24"/>
        </w:rPr>
        <w:t xml:space="preserve"> is a transmembrane chaperone protein localized both at the plasma membrane and endoplasmic reticulum, and it is expressed in neurons and oligodendrocytes in all parts of the brain. </w:t>
      </w:r>
      <w:r w:rsidRPr="00465302">
        <w:rPr>
          <w:rFonts w:cs="Times New Roman"/>
          <w:bCs/>
          <w:szCs w:val="24"/>
        </w:rPr>
        <w:t>SIGMAR1</w:t>
      </w:r>
      <w:r w:rsidRPr="00465302">
        <w:rPr>
          <w:rFonts w:cs="Times New Roman"/>
          <w:szCs w:val="24"/>
        </w:rPr>
        <w:t xml:space="preserve"> is responsible for mitochondrial metabolic regulation and promotes mitochondrial energy depletion and apoptosis. In the endoplasmic reticulum, they modulate Ca</w:t>
      </w:r>
      <w:r w:rsidRPr="00465302">
        <w:rPr>
          <w:rFonts w:cs="Times New Roman"/>
          <w:szCs w:val="24"/>
          <w:vertAlign w:val="superscript"/>
        </w:rPr>
        <w:t>2+</w:t>
      </w:r>
      <w:r w:rsidRPr="00465302">
        <w:rPr>
          <w:rFonts w:cs="Times New Roman"/>
          <w:szCs w:val="24"/>
        </w:rPr>
        <w:t xml:space="preserve"> signaling through IP3 receptors. These receptors also regulate ion channels, lipid transport and metabolism, </w:t>
      </w:r>
      <w:r w:rsidRPr="00465302">
        <w:rPr>
          <w:rFonts w:cs="Times New Roman"/>
          <w:szCs w:val="24"/>
        </w:rPr>
        <w:lastRenderedPageBreak/>
        <w:t>neurite formation, cellular differentiation</w:t>
      </w:r>
      <w:r w:rsidR="00820770">
        <w:rPr>
          <w:rFonts w:cs="Times New Roman"/>
          <w:szCs w:val="24"/>
        </w:rPr>
        <w:t>,</w:t>
      </w:r>
      <w:r w:rsidRPr="00465302">
        <w:rPr>
          <w:rFonts w:cs="Times New Roman"/>
          <w:szCs w:val="24"/>
        </w:rPr>
        <w:t xml:space="preserve"> and myelination in the brain </w:t>
      </w:r>
      <w:r w:rsidRPr="00465302">
        <w:rPr>
          <w:rFonts w:cs="Times New Roman"/>
          <w:szCs w:val="24"/>
        </w:rPr>
        <w:fldChar w:fldCharType="begin" w:fldLock="1"/>
      </w:r>
      <w:r w:rsidRPr="00465302">
        <w:rPr>
          <w:rFonts w:cs="Times New Roman"/>
          <w:szCs w:val="24"/>
        </w:rPr>
        <w:instrText>ADDIN CSL_CITATION {"citationItems":[{"id":"ITEM-1","itemData":{"DOI":"10.3109/10799893.2015.1015737","ISSN":"15324281","abstract":"This review compares the biological and physiological function of Sigma receptors [σRs] and their potential therapeutic roles. Sigma receptors are widespread in the central nervous system and across multiple peripheral tissues. σRs consist of sigma receptor one (σ1R) and sigma receptor two (σ2R) and are expressed in numerous regions of the brain. The sigma receptor was originally proposed as a subtype of opioid receptors and was suggested to contribute to the delusions and psychoses induced by benzomorphans such as SKF-10047 and pentazocine. Later studies confirmed that σRs are non-opioid receptors (not an opioid receptor) and play a more diverse role in intracellular signaling, apoptosis and metabolic regulation. σ1Rs are intracellular receptors acting as chaperone proteins that modulate Ca2+ signaling through the IP3 receptor. They dynamically translocate inside cells, hence are transmembrane proteins. The σ1R receptor, at the mitochondrial-associated endoplasmic reticulum membrane, is responsible for mitochondrial metabolic regulation and promotes mitochondrial energy depletion and apoptosis. Studies have demonstrated that they play a role as a modulator of ion channels (K+ channels; N-methyl-d-aspartate receptors [NMDAR]; inositol 1,3,5 triphosphate receptors) and regulate lipid transport and metabolism, neuritogenesis, cellular differentiation and myelination in the brain. σ1R modulation of Ca2+ release, modulation of cardiac myocyte contractility and may have links to G-proteins. It has been proposed that σ1Rs are intracellular signal transduction amplifiers. This review of the literature examines the mechanism of action of the σRs, their interaction with neurotransmitters, pharmacology, location and adverse effects mediated through them.","author":[{"dropping-particle":"","family":"Rousseaux","given":"Colin G.","non-dropping-particle":"","parse-names":false,"suffix":""},{"dropping-particle":"","family":"Greene","given":"Stephanie F.","non-dropping-particle":"","parse-names":false,"suffix":""}],"container-title":"Journal of Receptors and Signal Transduction","id":"ITEM-1","issue":"4","issued":{"date-parts":[["2016"]]},"page":"327-388","title":"Sigma receptors [ σ Rs]: Biology in normal and diseased states","type":"article-journal","volume":"36"},"uris":["http://www.mendeley.com/documents/?uuid=de1e694e-c1b9-4780-87a9-29343af46c19"]}],"mendeley":{"formattedCitation":"(Rousseaux and Greene, 2016)","plainTextFormattedCitation":"(Rousseaux and Greene, 2016)","previouslyFormattedCitation":"(Rousseaux and Greene, 2016)"},"properties":{"noteIndex":0},"schema":"https://github.com/citation-style-language/schema/raw/master/csl-citation.json"}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(Rousseaux and Greene, 2016)</w:t>
      </w:r>
      <w:r w:rsidRPr="00465302">
        <w:rPr>
          <w:rFonts w:cs="Times New Roman"/>
          <w:szCs w:val="24"/>
        </w:rPr>
        <w:fldChar w:fldCharType="end"/>
      </w:r>
      <w:r w:rsidRPr="00465302">
        <w:rPr>
          <w:rFonts w:cs="Times New Roman"/>
          <w:szCs w:val="24"/>
        </w:rPr>
        <w:t xml:space="preserve">. Finally, an assay for PLAUR, the gene that encodes the Urokinase-type Plasminogen Activator (uPA) Receptor (uPAR), correlated to the PLLDs. The PA system has functions in biological processes such as embryogenesis, angiogenesis, cell migration, wound healing, inflammatory response, apoptotic cell death and cancer processes, such as tumor growth, angiogenesis, tumor cell invasion, migration and metastasis </w:t>
      </w:r>
      <w:r w:rsidRPr="00465302">
        <w:rPr>
          <w:rFonts w:cs="Times New Roman"/>
          <w:szCs w:val="24"/>
        </w:rPr>
        <w:fldChar w:fldCharType="begin" w:fldLock="1"/>
      </w:r>
      <w:r w:rsidR="002E5067" w:rsidRPr="00465302">
        <w:rPr>
          <w:rFonts w:cs="Times New Roman"/>
          <w:szCs w:val="24"/>
        </w:rPr>
        <w:instrText>ADDIN CSL_CITATION {"citationItems":[{"id":"ITEM-1","itemData":{"DOI":"10.3389/fonc.2018.00024","ISSN":"2234943X","abstract":"The plasminogen activator (PA) system is an extracellular proteolytic enzyme system associated with various physiological and pathophysiological processes. A large body of evidence support that among the various components of the PA system, urokinase-type plasminogen activator (uPA), its receptor (uPAR), and plasminogen activator inhibitor-1 and -2 (PAI-1 and PAI-2) play a major role in tumor progression and metastasis. The binding of uPA with uPAR is instrumental for the activation of plasminogen to plasmin, which in turn initiates a series of proteolytic cascade to degrade the components of the extracellular matrix, and thereby, cause tumor cell migration from the primary site of origin to a distant secondary organ. The components of the PA system show altered expression patterns in several common malignancies, which have identified them as ideal diagnostic, prognostic, and therapeutic targets to reduce cancer-associated morbidity and mortality. This review summarizes the various components of the PA system and focuses on the role of uPA-uPAR in different biological processes especially in the context of malignancy. We also discuss the current state of knowledge of uPA-uPAR-targeted diagnostic and therapeutic strategies for various malignancies.","author":[{"dropping-particle":"","family":"Mahmood","given":"Niaz","non-dropping-particle":"","parse-names":false,"suffix":""},{"dropping-particle":"","family":"Mihalcioiu","given":"Catalin","non-dropping-particle":"","parse-names":false,"suffix":""},{"dropping-particle":"","family":"Rabbani","given":"Shafaat A.","non-dropping-particle":"","parse-names":false,"suffix":""}],"container-title":"Frontiers in Oncology","id":"ITEM-1","issue":"FEB","issued":{"date-parts":[["2018"]]},"title":"Multifaceted role of the urokinase-type plasminogen activator (uPA) and its receptor (uPAR): Diagnostic, prognostic, and therapeutic applications","type":"article-journal","volume":"8"},"uris":["http://www.mendeley.com/documents/?uuid=5afc4b68-7a16-465c-a6d4-53af4d46bdb5"]}],"mendeley":{"formattedCitation":"(Mahmood, Mihalcioiu and Rabbani, 2018)","manualFormatting":"(Mahmood, Mihalcioiu, and Rabbani, 2018)","plainTextFormattedCitation":"(Mahmood, Mihalcioiu and Rabbani, 2018)","previouslyFormattedCitation":"(Mahmood, Mihalcioiu and Rabbani, 2018)"},"properties":{"noteIndex":0},"schema":"https://github.com/citation-style-language/schema/raw/master/csl-citation.json"}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(Mahmood, Mihalcioiu, and Rabbani, 2018)</w:t>
      </w:r>
      <w:r w:rsidRPr="00465302">
        <w:rPr>
          <w:rFonts w:cs="Times New Roman"/>
          <w:szCs w:val="24"/>
        </w:rPr>
        <w:fldChar w:fldCharType="end"/>
      </w:r>
      <w:r w:rsidRPr="00465302">
        <w:rPr>
          <w:rFonts w:cs="Times New Roman"/>
          <w:szCs w:val="24"/>
        </w:rPr>
        <w:t>. However, the specific roles of hormones, steroids, σ</w:t>
      </w:r>
      <w:r w:rsidRPr="00465302">
        <w:rPr>
          <w:rFonts w:cs="Times New Roman"/>
          <w:szCs w:val="24"/>
          <w:vertAlign w:val="subscript"/>
        </w:rPr>
        <w:t>1</w:t>
      </w:r>
      <w:r w:rsidRPr="00465302">
        <w:rPr>
          <w:rFonts w:cs="Times New Roman"/>
          <w:szCs w:val="24"/>
        </w:rPr>
        <w:t xml:space="preserve">R and the PA system for neuromast development remain to be investigated. </w:t>
      </w:r>
    </w:p>
    <w:p w14:paraId="697BDE87" w14:textId="196258C5" w:rsidR="00456C42" w:rsidRPr="006F29C0" w:rsidRDefault="00456C42" w:rsidP="00317481">
      <w:pPr>
        <w:pStyle w:val="Heading3"/>
      </w:pPr>
      <w:bookmarkStart w:id="41" w:name="_Toc39502048"/>
      <w:r>
        <w:t xml:space="preserve">2.3.3 </w:t>
      </w:r>
      <w:r w:rsidRPr="006F29C0">
        <w:t xml:space="preserve">Serotonin </w:t>
      </w:r>
      <w:r w:rsidR="00CE2227">
        <w:t>S</w:t>
      </w:r>
      <w:r w:rsidRPr="006F29C0">
        <w:t xml:space="preserve">ignaling is </w:t>
      </w:r>
      <w:r w:rsidR="00CE2227">
        <w:t>R</w:t>
      </w:r>
      <w:r w:rsidRPr="006F29C0">
        <w:t xml:space="preserve">equired for </w:t>
      </w:r>
      <w:r w:rsidR="00CE2227">
        <w:t>N</w:t>
      </w:r>
      <w:r>
        <w:t xml:space="preserve">ormal </w:t>
      </w:r>
      <w:r w:rsidRPr="006F29C0">
        <w:t xml:space="preserve">Posterior Lateral Line </w:t>
      </w:r>
      <w:r w:rsidR="00CE2227">
        <w:t>D</w:t>
      </w:r>
      <w:r w:rsidRPr="006F29C0">
        <w:t>evelopment</w:t>
      </w:r>
      <w:bookmarkEnd w:id="41"/>
    </w:p>
    <w:p w14:paraId="1272280F" w14:textId="30F4EDC1" w:rsidR="0069328F" w:rsidRPr="00465302" w:rsidRDefault="0069328F" w:rsidP="00A5237A">
      <w:pPr>
        <w:pStyle w:val="Default"/>
        <w:spacing w:line="480" w:lineRule="auto"/>
        <w:jc w:val="both"/>
        <w:rPr>
          <w:color w:val="auto"/>
        </w:rPr>
      </w:pPr>
      <w:r w:rsidRPr="00465302">
        <w:rPr>
          <w:color w:val="auto"/>
        </w:rPr>
        <w:t xml:space="preserve">Serotonin modulators such as methylene blue and clorgyline inhibit MAO-A activity either reversibly or irreversibly, respectively, resulting in increased intracellular serotonin </w:t>
      </w:r>
      <w:r w:rsidRPr="00465302">
        <w:rPr>
          <w:color w:val="auto"/>
        </w:rPr>
        <w:fldChar w:fldCharType="begin" w:fldLock="1"/>
      </w:r>
      <w:r w:rsidRPr="00465302">
        <w:rPr>
          <w:color w:val="auto"/>
        </w:rPr>
        <w:instrText>ADDIN CSL_CITATION {"citationItems":[{"id":"ITEM-1","itemData":{"DOI":"10.1038/sj.bjp.0707430","ISSN":"00071188","abstract":"Background and purpose: Monoamine oxidase inhibitors (MAOI) are known to cause serotonin toxicity (ST) when administered with selective serotonin reuptake inhibitors (SSRI). Methylene blue (methylthionium chloride, MB), a redox dye in clinical use, has been reported to precipitate ST in patients using SSRI. MB was assessed for MAO inhibition and so for its potential to precipitate ST. Experimental approach: Inhibition of purified human MAO was quantified using kinetic assays and visible spectral changes to study the interactions of MB with MAO A. Key results: MB was a potent (tight binding) inhibitor for MAO A. It also inhibited MAO B but at much higher concentration. Interactions of MB with the active site of MAO A were confirmed by its action both as an oxidising substrate and as a one-electron reductant. Conclusions and implications: MB is a potent reversible inhibitor of MAO A with implications for gut uptake of amines when administered orally. At concentrations reported in the literature after intravenous administration, MAO B would be partially inhibited but MAO A would be completely inhibited. This inhibition of MAO A would be expected to lead to perturbations of 5-hydroxytryptamine metabolism and hence account for ST occurring when administered to patients on SSRI treatment. © 2007 Nature Publishing Group All rights reserved.","author":[{"dropping-particle":"","family":"Ramsay","given":"R. R.","non-dropping-particle":"","parse-names":false,"suffix":""},{"dropping-particle":"","family":"Dunford","given":"C.","non-dropping-particle":"","parse-names":false,"suffix":""},{"dropping-particle":"","family":"Gillman","given":"P. K.","non-dropping-particle":"","parse-names":false,"suffix":""}],"container-title":"British Journal of Pharmacology","id":"ITEM-1","issue":"6","issued":{"date-parts":[["2007"]]},"page":"946-951","title":"Methylene blue and serotonin toxicity: Inhibition of monoamine oxidase A (MAO A) confirms a theoretical prediction","type":"article-journal","volume":"152"},"uris":["http://www.mendeley.com/documents/?uuid=c585a24e-3946-4b18-bc7e-b57004b7cc3e"]},{"id":"ITEM-2","itemData":{"author":[{"dropping-particle":"","family":"Charles","given":"B","non-dropping-particle":"","parse-names":false,"suffix":""},{"dropping-particle":"","family":"Brandom","given":"Barbara W","non-dropping-particle":"","parse-names":false,"suffix":""}],"container-title":"apsf NEWSLETTER","id":"ITEM-2","issue":"1","issued":{"date-parts":[["2015"]]},"page":"1-6","title":"Methylene Blue and the Risk of Serotonin Toxicity","type":"article-journal","volume":"30"},"uris":["http://www.mendeley.com/documents/?uuid=d526a060-9347-48ad-be85-ece02f0ccb2e"]},{"id":"ITEM-3","itemData":{"ISSN":"03002977","PMID":"24846936","abstract":"This is the first report of a fatal outcome from serotonin toxicity, precipitated by an interaction between methylene blue and venlafaxine. Methylene blue-associated serotonin toxicity has been described before but usually as mild toxicity. Its presentation after general anaesthesia may be atypical and therefore more difficult to diagnose. However, the syndrome is completely preventable if serotonin re-uptake inhibiting agents are stopped beforehand. © Van Zuiden Communications B.V. All rights reserved.","author":[{"dropping-particle":"","family":"Top","given":"W. M.C.","non-dropping-particle":"","parse-names":false,"suffix":""},{"dropping-particle":"","family":"Gillman","given":"P. K.","non-dropping-particle":"","parse-names":false,"suffix":""},{"dropping-particle":"","family":"Langen","given":"C. J.","non-dropping-particle":"de","parse-names":false,"suffix":""},{"dropping-particle":"","family":"Kooy","given":"A.","non-dropping-particle":"","parse-names":false,"suffix":""}],"container-title":"Netherlands Journal of Medicine","id":"ITEM-3","issue":"3","issued":{"date-parts":[["2014"]]},"page":"179-181","title":"Fatal methylene blue associated serotonin toxicity","type":"article-journal","volume":"72"},"uris":["http://www.mendeley.com/documents/?uuid=333e7d42-2830-4e7b-be6a-ee40686251ec"]},{"id":"ITEM-4","itemData":{"DOI":"10.1007/s12035-014-8974-4","ISSN":"1559-1182","abstract":"Monoamine oxidases (MAO) are important components of the homeostatic machinery that maintains the levels of monoamine neurotransmitters, including dopamine, in balance. Given the imbalance in dopamine levels observed in Huntington disease (HD), the aim of this study was to examine MAO activity in a mouse striatal cell model of HD and in human neural cells differentiated from control and HD patient-derived induced pluripotent stem cell (hiPSC) lines. We show that mouse striatal neural cells expressing mutant huntingtin (HTT) exhibit increased MAO expression and activity. We demonstrate using luciferase promoter assays that the increased MAO expression reflects enhanced epigenetic activation in striatal neural cells expressing mutant HTT. Using cellular stress paradigms, we further demonstrate that the increase in MAO activity in mutant striatal neural cells is accompanied by enhanced susceptibility to oxidative stress and impaired viability. Treatment of mutant striatal neural cells with MAO inhibitors ameliorated oxidative stress and improved cellular viability. Finally, we demonstrate that human HD neural cells exhibit increased MAO-A and MAO-B expression and activity. Altogether, this study demonstrates abnormal MAO expression and activity and suggests a potential use for MAO inhibitors in HD.","author":[{"dropping-particle":"","family":"Ooi","given":"Jolene","non-dropping-particle":"","parse-names":false,"suffix":""},{"dropping-particle":"","family":"Hayden","given":"Michael R","non-dropping-particle":"","parse-names":false,"suffix":""},{"dropping-particle":"","family":"Pouladi","given":"Mahmoud A","non-dropping-particle":"","parse-names":false,"suffix":""}],"container-title":"Molecular neurobiology","edition":"2014/11/15","id":"ITEM-4","issue":"3","issued":{"date-parts":[["2015","12"]]},"language":"eng","page":"1850-1861","publisher":"Springer US","title":"Inhibition of Excessive Monoamine Oxidase A/B Activity Protects Against Stress-induced Neuronal Death in Huntington Disease","type":"article-journal","volume":"52"},"uris":["http://www.mendeley.com/documents/?uuid=cd691c4e-4b0d-4ed3-829d-30533deaf753"]},{"id":"ITEM-5","itemData":{"DOI":"10.1016/J.EXPNEUROL.2016.01.019","ISSN":"0014-4886","abstract":"Abnormal monoamine oxidase A and B (MAO-A/B) activity and an imbalance in monoamine neurotransmitters have been suggested to underlie the pathobiology of depression, a major psychiatric symptom observed in patients with neurodegenerative diseases, such as Huntington disease (HD). Increased MAO-A/B activity has been observed in brain tissue from patients with HD and in human and rodent HD neural cells. Using the YAC128 mouse model of HD, we studied the effect of an irreversible MAO-A inhibitor, clorgyline, on the levels of select monoamine neurotransmitters associated with affective function. We observed a decrease in striatal levels of the MAO-A/B substrates, dopamine and norepinephrine, in YAC128 HD mice compared with wild-type mice, which was accompanied by increased anxiety- and depressive-like behaviour at five months of age. Treatment for 26days with clorgyline restored dopamine, serotonin, and norepinephrine neurotransmitter levels in the striatum and reduced anxiety- and depressive-like behaviour in YAC128 HD mice. This study supports a potential therapeutic use for MAO-A inhibitors in the treatment of depression and anxiety in patients with HD.","author":[{"dropping-particle":"","family":"Garcia-Miralles","given":"Marta","non-dropping-particle":"","parse-names":false,"suffix":""},{"dropping-particle":"","family":"Ooi","given":"Jolene","non-dropping-particle":"","parse-names":false,"suffix":""},{"dropping-particle":"","family":"Ferrari Bardile","given":"Costanza","non-dropping-particle":"","parse-names":false,"suffix":""},{"dropping-particle":"","family":"Tan","given":"Liang Juin","non-dropping-particle":"","parse-names":false,"suffix":""},{"dropping-particle":"","family":"George","given":"Maya","non-dropping-particle":"","parse-names":false,"suffix":""},{"dropping-particle":"","family":"Drum","given":"Chester L.","non-dropping-particle":"","parse-names":false,"suffix":""},{"dropping-particle":"","family":"Lin","given":"Rachel Yanping","non-dropping-particle":"","parse-names":false,"suffix":""},{"dropping-particle":"","family":"Hayden","given":"Michael R.","non-dropping-particle":"","parse-names":false,"suffix":""},{"dropping-particle":"","family":"Pouladi","given":"Mahmoud A.","non-dropping-particle":"","parse-names":false,"suffix":""}],"container-title":"Experimental Neurology","id":"ITEM-5","issued":{"date-parts":[["2016","4","1"]]},"page":"4-10","publisher":"Academic Press","title":"Treatment with the MAO-A inhibitor clorgyline elevates monoamine neurotransmitter levels and improves affective phenotypes in a mouse model of Huntington disease","type":"article-journal","volume":"278"},"uris":["http://www.mendeley.com/documents/?uuid=489cdca0-aa95-319a-b23d-04ab0cae44aa"]}],"mendeley":{"formattedCitation":"(Ramsay, Dunford and Gillman, 2007; Top &lt;i&gt;et al.&lt;/i&gt;, 2014; Charles and Brandom, 2015; Ooi, Hayden and Pouladi, 2015; Garcia-Miralles &lt;i&gt;et al.&lt;/i&gt;, 2016)","plainTextFormattedCitation":"(Ramsay, Dunford and Gillman, 2007; Top et al., 2014; Charles and Brandom, 2015; Ooi, Hayden and Pouladi, 2015; Garcia-Miralles et al., 2016)","previouslyFormattedCitation":"(Ramsay, Dunford and Gillman, 2007; Top &lt;i&gt;et al.&lt;/i&gt;, 2014; Charles and Brandom, 2015; Ooi, Hayden and Pouladi, 2015; Garcia-Miralles &lt;i&gt;et al.&lt;/i&gt;, 2016)"},"properties":{"noteIndex":0},"schema":"https://github.com/citation-style-language/schema/raw/master/csl-citation.json"}</w:instrText>
      </w:r>
      <w:r w:rsidRPr="00465302">
        <w:rPr>
          <w:color w:val="auto"/>
        </w:rPr>
        <w:fldChar w:fldCharType="separate"/>
      </w:r>
      <w:r w:rsidRPr="00465302">
        <w:rPr>
          <w:noProof/>
          <w:color w:val="auto"/>
        </w:rPr>
        <w:t xml:space="preserve">(Ramsay, Dunford and Gillman, 2007; Top </w:t>
      </w:r>
      <w:r w:rsidRPr="00465302">
        <w:rPr>
          <w:i/>
          <w:noProof/>
          <w:color w:val="auto"/>
        </w:rPr>
        <w:t>et al.</w:t>
      </w:r>
      <w:r w:rsidRPr="00465302">
        <w:rPr>
          <w:noProof/>
          <w:color w:val="auto"/>
        </w:rPr>
        <w:t xml:space="preserve">, 2014; Charles and Brandom, 2015; Ooi, Hayden and Pouladi, 2015; Garcia-Miralles </w:t>
      </w:r>
      <w:r w:rsidRPr="00465302">
        <w:rPr>
          <w:i/>
          <w:noProof/>
          <w:color w:val="auto"/>
        </w:rPr>
        <w:t>et al.</w:t>
      </w:r>
      <w:r w:rsidRPr="00465302">
        <w:rPr>
          <w:noProof/>
          <w:color w:val="auto"/>
        </w:rPr>
        <w:t>, 2016)</w:t>
      </w:r>
      <w:r w:rsidRPr="00465302">
        <w:rPr>
          <w:color w:val="auto"/>
        </w:rPr>
        <w:fldChar w:fldCharType="end"/>
      </w:r>
      <w:r w:rsidRPr="00465302">
        <w:rPr>
          <w:color w:val="auto"/>
        </w:rPr>
        <w:t xml:space="preserve">. Other serotonin modulators such as PCPA prevent serotonin formation from tryptophan through inhibition of the rate-limiting enzyme tryptophan hydroxylase </w:t>
      </w:r>
      <w:r w:rsidRPr="00465302">
        <w:rPr>
          <w:color w:val="auto"/>
        </w:rPr>
        <w:fldChar w:fldCharType="begin" w:fldLock="1"/>
      </w:r>
      <w:r w:rsidRPr="00465302">
        <w:rPr>
          <w:color w:val="auto"/>
        </w:rPr>
        <w:instrText>ADDIN CSL_CITATION {"citationItems":[{"id":"ITEM-1","itemData":{"DOI":"10.1016/j.ntt.2011.08.008","ISSN":"08920362","abstract":"In this study, p-chlorophenylalanine (pCPA), an inhibitor of tryptophan hydroxylase (the rate limiting enzyme of serotonin synthesis), was used to reduce serotonin (5HT) levels during early development in zebrafish embryos. One day old dechorionated embryos were treated with 25μM pCPA for 24h and subsequently rescued. Immunohistological studies using a 5HT antibody confirmed that 5HT neurons in the brain and spinal cord were depleted of transmitter by 2days post fertilization (dpf). Twenty four hours after pCPA exposure embryos were unable to burst swim and were nearly paralyzed. Movement began to improve at 4dpf, and by 7dpf, larvae exhibited swimming activity. Rescued larvae continued to grow in rostrocaudal length over 5days post-rescue, but their length was always 16-21% below controls. Surprisingly, both groups displayed the same number of myotomes. To examine whether hypertonicity of myotomes in treated embryos played a role in their shorter rostrocaudal lengths, 1dpf embryos were exposed to a combination of 25μM pCPA and 0.6mM of the sodium channel blocker ethyl 3-aminobenzoate methanesulfonate (MS-222). After a 24hour exposure, the embryos exhibited the same rostrocaudal length as control embryos suggesting that myotome hypertonicity plays a major role in the decreased axial length of the treated larvae. In addition, pCPA treated 2dpf embryos exhibited abnormal notochordal morphology that persisted throughout recovery. Reverse transcriptase polymerase chain reaction (RT-PCR) was performed to determine the relative levels of the serotonin 1A receptor (5HT 1A) transcript and the serotonin transporter (SERT) transcript in the brain and spinal cord of control and treated embryos. Transcripts were present in both brain and spinal cord as early as 1dpf and reached maximal concentrations by 3dpf. Embryos treated with pCPA demonstrated a decrease in the concentration of 5HT 1A transcript in both brain and spinal cord. While SERT transcript levels remained unaffected in brain, they were decreased in spinal cord. Five days subsequent to pCPA rescue, 5HT 1A transcript concentrations remained decreased in brain while SERT transcript levels were elevated in both regions. These findings suggest that reduction of 5HT during early zebrafish development may have an adverse effect on body length, notochordal morphology, locomotor behavior, and serotonin message-related expression. © 2011 Elsevier Inc.","author":[{"dropping-particle":"","family":"Airhart","given":"Mark J.","non-dropping-particle":"","parse-names":false,"suffix":""},{"dropping-particle":"","family":"Lee","given":"Deborah H.","non-dropping-particle":"","parse-names":false,"suffix":""},{"dropping-particle":"","family":"Wilson","given":"Tracy D.","non-dropping-particle":"","parse-names":false,"suffix":""},{"dropping-particle":"","family":"Miller","given":"Barney E.","non-dropping-particle":"","parse-names":false,"suffix":""},{"dropping-particle":"","family":"Miller","given":"Merry N.","non-dropping-particle":"","parse-names":false,"suffix":""},{"dropping-particle":"","family":"Skalko","given":"Richard G.","non-dropping-particle":"","parse-names":false,"suffix":""},{"dropping-particle":"","family":"Monaco","given":"Paul J.","non-dropping-particle":"","parse-names":false,"suffix":""}],"container-title":"Neurotoxicology and Teratology","id":"ITEM-1","issue":"1","issued":{"date-parts":[["2012"]]},"page":"152-160","publisher":"Elsevier Inc.","title":"Adverse effects of serotonin depletion in developing zebrafish","type":"article-journal","volume":"34"},"uris":["http://www.mendeley.com/documents/?uuid=b6386e3b-a84b-4d94-9ed4-bebec3c8069f"]},{"id":"ITEM-2","itemData":{"DOI":"10.1016/0166-4328(94)00174-E","ISSN":"0166-4328","abstract":"Para-chlorophenylalanine (PCPA) depletes central serotonin (5-hydroxytryptamine, 5-HT) by inhibiting tryptophan hydroxylase, an enzyme necessary for the synthesis of 5-HT. The effects of a wide range of PCPA doses (150–1000 mg/kg) on spontaneous exploratory locomotor activity in a novel environment, activity in running wheels and a number of sensory-motor capacities were examined. Administration of 1000 mg/kg PCPA reduced whole brain levels of 5-HT and its metabolite 5-hydroxyindoleacetic acid to 9.4 and 8.2% of control levels, respectively. Treatment with PCPA produced a dose-dependent decrease in exploratory locomotion in an unfamiliar automated open field relative to vehicle-treated animals. Further, all measures of general, horizontal and vertical activity were suppressed by PCPA treatment. In contrast to previous work, hyperactivity of rats chronically housed in cages with running wheel access was not observed. In their home cages, some PCPA-treated rats exhibited hyper-reactivity to cutaneous stimulation. No other sensory-motor deficits were apparent. Previous theories of 5-HT function state that its action may be to inhibit motor activity or promote sleep. The present results challenge this view and suggest that 5-HT, at least in certain environments, may stimulate locomotor activity without directly controlling various sensory-motor capacities in rats.","author":[{"dropping-particle":"","family":"Dringenberg","given":"Hans C.","non-dropping-particle":"","parse-names":false,"suffix":""},{"dropping-particle":"","family":"Hargreaves","given":"Eric L.","non-dropping-particle":"","parse-names":false,"suffix":""},{"dropping-particle":"","family":"Baker","given":"Glen B.","non-dropping-particle":"","parse-names":false,"suffix":""},{"dropping-particle":"","family":"Cooley","given":"Richard K.","non-dropping-particle":"","parse-names":false,"suffix":""},{"dropping-particle":"","family":"Vanderwolf","given":"C.H.","non-dropping-particle":"","parse-names":false,"suffix":""}],"container-title":"Behavioural Brain Research","id":"ITEM-2","issue":"2","issued":{"date-parts":[["1995","6","1"]]},"page":"229-237","publisher":"Elsevier","title":"p-Chlorophenylalanine-induced serotonin depletion: reduction in exploratory locomotion but no obvious sensory-motor deficits","type":"article-journal","volume":"68"},"uris":["http://www.mendeley.com/documents/?uuid=a93355f3-098e-3f97-9d26-d690e5922f11"]}],"mendeley":{"formattedCitation":"(Dringenberg &lt;i&gt;et al.&lt;/i&gt;, 1995; Airhart &lt;i&gt;et al.&lt;/i&gt;, 2012)","plainTextFormattedCitation":"(Dringenberg et al., 1995; Airhart et al., 2012)","previouslyFormattedCitation":"(Dringenberg &lt;i&gt;et al.&lt;/i&gt;, 1995; Airhart &lt;i&gt;et al.&lt;/i&gt;, 2012)"},"properties":{"noteIndex":0},"schema":"https://github.com/citation-style-language/schema/raw/master/csl-citation.json"}</w:instrText>
      </w:r>
      <w:r w:rsidRPr="00465302">
        <w:rPr>
          <w:color w:val="auto"/>
        </w:rPr>
        <w:fldChar w:fldCharType="separate"/>
      </w:r>
      <w:r w:rsidRPr="00465302">
        <w:rPr>
          <w:noProof/>
          <w:color w:val="auto"/>
        </w:rPr>
        <w:t xml:space="preserve">(Dringenberg </w:t>
      </w:r>
      <w:r w:rsidRPr="00465302">
        <w:rPr>
          <w:i/>
          <w:noProof/>
          <w:color w:val="auto"/>
        </w:rPr>
        <w:t>et al.</w:t>
      </w:r>
      <w:r w:rsidRPr="00465302">
        <w:rPr>
          <w:noProof/>
          <w:color w:val="auto"/>
        </w:rPr>
        <w:t xml:space="preserve">, 1995; Airhart </w:t>
      </w:r>
      <w:r w:rsidRPr="00465302">
        <w:rPr>
          <w:i/>
          <w:noProof/>
          <w:color w:val="auto"/>
        </w:rPr>
        <w:t>et al.</w:t>
      </w:r>
      <w:r w:rsidRPr="00465302">
        <w:rPr>
          <w:noProof/>
          <w:color w:val="auto"/>
        </w:rPr>
        <w:t>, 2012)</w:t>
      </w:r>
      <w:r w:rsidRPr="00465302">
        <w:rPr>
          <w:color w:val="auto"/>
        </w:rPr>
        <w:fldChar w:fldCharType="end"/>
      </w:r>
      <w:r w:rsidRPr="00465302">
        <w:rPr>
          <w:color w:val="auto"/>
        </w:rPr>
        <w:t xml:space="preserve">. The serotonin modulator, fluoxetine is known to affect serotonin levels through a few different mechanisms, the primary one being inhibiting the reuptake of free serotonin through SERT </w:t>
      </w:r>
      <w:r w:rsidRPr="00465302">
        <w:rPr>
          <w:color w:val="auto"/>
        </w:rPr>
        <w:fldChar w:fldCharType="begin" w:fldLock="1"/>
      </w:r>
      <w:r w:rsidRPr="00465302">
        <w:rPr>
          <w:color w:val="auto"/>
        </w:rPr>
        <w:instrText>ADDIN CSL_CITATION {"citationItems":[{"id":"ITEM-1","itemData":{"DOI":"10.1016/0024-3205(95)00209-O","ISSN":"0024-3205","abstract":"In this review, we describe the evolutionary process involved in the discovery of the selective 5-HT uptake inhibitor, fluoxetine, and summarize some of the large body of scientific research performed on fluoxetine in the 20 years since the first publication. The historical background of the proposed involvement of 5-HT in psychiatric disorders and the activity of tricyclic antidepressants in depression is reviewed. The effects of fluoxetine in various in vitro assays and in animal studies including receptor down-regulation, neurochemical and behavioral models are summarized. In addition, the clinical effectiveness of fluoxetine in depression and obsessive compulsive disorders and its potential use in other disorders are examined.","author":[{"dropping-particle":"","family":"Wong","given":"David T.","non-dropping-particle":"","parse-names":false,"suffix":""},{"dropping-particle":"","family":"Bymaster","given":"Frank P.","non-dropping-particle":"","parse-names":false,"suffix":""},{"dropping-particle":"","family":"Engleman","given":"Eric A.","non-dropping-particle":"","parse-names":false,"suffix":""}],"container-title":"Life Sciences","id":"ITEM-1","issue":"5","issued":{"date-parts":[["1995","6","23"]]},"page":"411-441","publisher":"Pergamon","title":"Prozac (fluoxetine, lilly 110140), the first selective serotonin uptake inhibitor and an antidepressant drug: Twenty years since its first publication","type":"article-journal","volume":"57"},"uris":["http://www.mendeley.com/documents/?uuid=f4d91497-7aeb-3c23-a6e9-c1462adaa065"]},{"id":"ITEM-2","itemData":{"DOI":"10.1097/FPC.0b013e32833132cb","ISSN":"17446872","PMID":"19741567","author":[{"dropping-particle":"","family":"Sangkuhl","given":"Katrin","non-dropping-particle":"","parse-names":false,"suffix":""},{"dropping-particle":"","family":"Klein","given":"Teri E.","non-dropping-particle":"","parse-names":false,"suffix":""},{"dropping-particle":"","family":"Altman","given":"Russ B.","non-dropping-particle":"","parse-names":false,"suffix":""}],"container-title":"Pharmacogenetics and Genomics","id":"ITEM-2","issue":"11","issued":{"date-parts":[["2009"]]},"page":"907-909","title":"Selective serotonin reuptake inhibitors pathway","type":"article-journal","volume":"19"},"uris":["http://www.mendeley.com/documents/?uuid=bf66fb8c-d7a5-407d-804c-4aa445c295b5"]},{"id":"ITEM-3","itemData":{"DOI":"10.1111/j.1365-2125.1992.tb04134.x","ISSN":"0306-5251","abstract":"Inhibition of human cytochrome P4502D6 (CYP2D6)-catalysed metabolism can lead to clinically significant alterations in pharmacokinetics. Since there is evidence that the selective serotonin reuptake inhibitor (SSRI) class of antidepressant drugs might inhibit CYP2D6, the effects of five SSRIs on human liver microsomal CYP2D6 activity were compared with each other and with three tricyclic antidepressant drugs. On a molar basis, paroxetine was the most potent of the SSRIs at inhibiting the CYP2D6-catalysed oxidation of sparteine (Ki = 0.15 microM), although fluoxetine (0.60 microM) and sertaline (0.70 microM) had Ki values in the same range. Fluvoxamine (8.2 microM) and citalopram (5.1 microM) also inhibited CYP2D6 activity. The major circulating metabolites of paroxetine in man produced negligible inhibition. In contrast, norfluoxetine the active metabolite of fluoxetine, was a potent CYP2D6 inhibitor (0.43 microM). CYP2D6 activity was also diminished by the tricyclic antidepressant drugs clomipramine (2.2 microM), desipramine (2.3 microM) and amitriptyline (4.0 microM). These findings suggest that compounds with SSRI activity are likely to interact with human CYP2D6 in vivo with the potential of causing drug interactions.","author":[{"dropping-particle":"","family":"Crewe","given":"H K","non-dropping-particle":"","parse-names":false,"suffix":""},{"dropping-particle":"","family":"Lennard","given":"M S","non-dropping-particle":"","parse-names":false,"suffix":""},{"dropping-particle":"","family":"Tucker","given":"G T","non-dropping-particle":"","parse-names":false,"suffix":""},{"dropping-particle":"","family":"Woods","given":"F R","non-dropping-particle":"","parse-names":false,"suffix":""},{"dropping-particle":"","family":"Haddock","given":"R E","non-dropping-particle":"","parse-names":false,"suffix":""}],"container-title":"British journal of clinical pharmacology","id":"ITEM-3","issue":"3","issued":{"date-parts":[["1992","9"]]},"language":"eng","page":"262-265","title":"The effect of selective serotonin re-uptake inhibitors on cytochrome P4502D6 (CYP2D6) activity in human liver microsomes","type":"article-journal","volume":"34"},"uris":["http://www.mendeley.com/documents/?uuid=4b0048cf-ba58-42e9-914c-b7b250131eab"]},{"id":"ITEM-4","itemData":{"DOI":"10.1016/j.phrs.2012.10.009","ISSN":"10436618","abstract":"Brain serotonin has been implicated in the pathophysiology of a wide spectrum of psychiatric disorders, as well as in the mechanism of action of psychotropic drugs. The aim of present study was to identify rat cytochrome P450 (CYP) isoforms which can catalyze the O-demethylation of 5-methoxytryptamine to serotonin, and to find out whether that alternative pathway of serotonin synthesis may take place in the brain. The study was conducted on cDNA-expressed CYPs (rat CYP1A1/2, 2A1/2, 2B1, 2C6/11/13, 2D1/2/4/18, 2E1, 3A2 and human CYP2D6), on rat brain and liver microsomes and on human liver microsomes (the wild-type CYP2D6 or the allelic variant 2D6*4*4). Of the rat CYP isoforms studied, CYP2D isoforms were the most efficient in catalyzing the O-demethylation of 5-methoxytryptamine to serotonin, but they were less effective than the human isoform CYP2D6. Microsomes from different brain regions were capable of metabolizing 5-methoxytryptamine to serotonin. The reaction was inhibited by the specific CYP2D inhibitors quinine and fluoxetine. Human liver microsomes of the wild-type CYP2D6 metabolized 5-methoxytryptamine to serotonin more effectively than did the defective CYP2D6*4*4 ones. The obtained results indicate that rat brain CYP2D isoforms catalyze the formation of serotonin from 5-methoxytryptamine, and that the deficit or genetic defect of CYP2D may affect serotonin metabolism in the brain. The results are discussed in the context of their possible physiological and pharmacological significance in vivo. © 2012 Elsevier Ltd.","author":[{"dropping-particle":"","family":"Haduch","given":"Anna","non-dropping-particle":"","parse-names":false,"suffix":""},{"dropping-particle":"","family":"Bromek","given":"Ewa","non-dropping-particle":"","parse-names":false,"suffix":""},{"dropping-particle":"","family":"Sadakierska-Chudy","given":"Anna","non-dropping-particle":"","parse-names":false,"suffix":""},{"dropping-particle":"","family":"Wójcikowski","given":"Jacek","non-dropping-particle":"","parse-names":false,"suffix":""},{"dropping-particle":"","family":"Daniel","given":"Władysława A.","non-dropping-particle":"","parse-names":false,"suffix":""}],"container-title":"Pharmacological Research","id":"ITEM-4","issue":"1","issued":{"date-parts":[["2013"]]},"page":"53-59","publisher":"Elsevier Ltd","title":"The catalytic competence of cytochrome P450 in the synthesis of serotonin from 5-methoxytryptamine in the brain: An in vitro study","type":"article-journal","volume":"67"},"uris":["http://www.mendeley.com/documents/?uuid=9238d259-7309-4289-a0f2-a12f8fb25a31"]},{"id":"ITEM-5","itemData":{"DOI":"10.1016/S0028-3908(99)00010-6","ISSN":"00283908","PMID":"10462127","abstract":"It is now nearly 5 years since the last of the currently recognised 5-HT receptors was identified in terms of its cDNA sequence. Over this period, much effort has been directed towards understanding the function attributable to individual 5-HT receptors in the brain. This has been helped, in part, by the synthesis of a number of compounds that selectively interact with individual 5-HT receptor subtypes-although some 5-HT receptors still lack any selective ligands (e.g. 5-ht(1E), 5-ht(5A) and 5-ht(5B) receptors). The present review provides background information for each 5-HT receptor subtype and subsequently reviews in more detail the functional responses attributed to each receptor in the brain. Clearly this latter area has moved forward in recent years and this progression is likely to continue given the level of interest associated with the actions of 5-HT. This interest is stimulated by the belief that pharmacological manipulation of the central 5-HT system will have therapeutic potential. In support of which, a number of 5-HT receptor ligands are currently utilised, or are in clinical development, to reduce the symptoms of CNS dysfunction. Copyright (C) 1999 Elsevier Science Ltd.","author":[{"dropping-particle":"","family":"Barnes","given":"Nicholas M.","non-dropping-particle":"","parse-names":false,"suffix":""},{"dropping-particle":"","family":"Sharp","given":"Trevor","non-dropping-particle":"","parse-names":false,"suffix":""}],"container-title":"Neuropharmacology","id":"ITEM-5","issue":"8","issued":{"date-parts":[["1999"]]},"page":"1083-1152","title":"A review of central 5-HT receptors and their function","type":"article-journal","volume":"38"},"uris":["http://www.mendeley.com/documents/?uuid=7f718068-5901-412f-8219-7cd949ce8024"]}],"mendeley":{"formattedCitation":"(Crewe &lt;i&gt;et al.&lt;/i&gt;, 1992; Wong, Bymaster and Engleman, 1995; Barnes and Sharp, 1999; Sangkuhl, Klein and Altman, 2009; Haduch &lt;i&gt;et al.&lt;/i&gt;, 2013)","plainTextFormattedCitation":"(Crewe et al., 1992; Wong, Bymaster and Engleman, 1995; Barnes and Sharp, 1999; Sangkuhl, Klein and Altman, 2009; Haduch et al., 2013)","previouslyFormattedCitation":"(Crewe &lt;i&gt;et al.&lt;/i&gt;, 1992; Wong, Bymaster and Engleman, 1995; Barnes and Sharp, 1999; Sangkuhl, Klein and Altman, 2009; Haduch &lt;i&gt;et al.&lt;/i&gt;, 2013)"},"properties":{"noteIndex":0},"schema":"https://github.com/citation-style-language/schema/raw/master/csl-citation.json"}</w:instrText>
      </w:r>
      <w:r w:rsidRPr="00465302">
        <w:rPr>
          <w:color w:val="auto"/>
        </w:rPr>
        <w:fldChar w:fldCharType="separate"/>
      </w:r>
      <w:r w:rsidRPr="00465302">
        <w:rPr>
          <w:noProof/>
          <w:color w:val="auto"/>
        </w:rPr>
        <w:t xml:space="preserve">(Crewe </w:t>
      </w:r>
      <w:r w:rsidRPr="00465302">
        <w:rPr>
          <w:i/>
          <w:noProof/>
          <w:color w:val="auto"/>
        </w:rPr>
        <w:t>et al.</w:t>
      </w:r>
      <w:r w:rsidRPr="00465302">
        <w:rPr>
          <w:noProof/>
          <w:color w:val="auto"/>
        </w:rPr>
        <w:t xml:space="preserve">, 1992; Wong, Bymaster and Engleman, 1995; Barnes and Sharp, 1999; Sangkuhl, Klein and Altman, 2009; Haduch </w:t>
      </w:r>
      <w:r w:rsidRPr="00465302">
        <w:rPr>
          <w:i/>
          <w:noProof/>
          <w:color w:val="auto"/>
        </w:rPr>
        <w:t>et al.</w:t>
      </w:r>
      <w:r w:rsidRPr="00465302">
        <w:rPr>
          <w:noProof/>
          <w:color w:val="auto"/>
        </w:rPr>
        <w:t>, 2013)</w:t>
      </w:r>
      <w:r w:rsidRPr="00465302">
        <w:rPr>
          <w:color w:val="auto"/>
        </w:rPr>
        <w:fldChar w:fldCharType="end"/>
      </w:r>
      <w:r w:rsidRPr="00465302">
        <w:rPr>
          <w:color w:val="auto"/>
        </w:rPr>
        <w:t xml:space="preserve">. Upon treatment of zebrafish embryos with these known mammalian serotonin modulators, we observe that they reduce the number of neuromasts deposited in the PLL as well as affect the serotonin levels in zebrafish as seen through immunostaining. This indicates that the levels of serotonin are controlled </w:t>
      </w:r>
      <w:r w:rsidR="00090839">
        <w:rPr>
          <w:color w:val="auto"/>
        </w:rPr>
        <w:t>in a similar way</w:t>
      </w:r>
      <w:r w:rsidRPr="00465302">
        <w:rPr>
          <w:color w:val="auto"/>
        </w:rPr>
        <w:t xml:space="preserve"> in fish and mammals. As expected, treatment with </w:t>
      </w:r>
      <w:r w:rsidRPr="00465302">
        <w:rPr>
          <w:color w:val="auto"/>
        </w:rPr>
        <w:lastRenderedPageBreak/>
        <w:t xml:space="preserve">methylene blue and clorgyline increased serotonin levels, whereas PCPA decreased serotonin staining. In fluoxetine treated embryos, we observed </w:t>
      </w:r>
      <w:r w:rsidR="00090839">
        <w:rPr>
          <w:color w:val="auto"/>
        </w:rPr>
        <w:t xml:space="preserve">a </w:t>
      </w:r>
      <w:r w:rsidRPr="00465302">
        <w:rPr>
          <w:color w:val="auto"/>
        </w:rPr>
        <w:t>general decrease in brain serotonin staining compared to the vehicle treatment except in choroid plexus either because of the serotonin negative feedback loop or as seen in mammalian studies, acute dosing of SSRI’s doesn’t produce</w:t>
      </w:r>
      <w:r w:rsidR="00E30759" w:rsidRPr="00465302">
        <w:rPr>
          <w:color w:val="auto"/>
        </w:rPr>
        <w:t xml:space="preserve"> an</w:t>
      </w:r>
      <w:r w:rsidRPr="00465302">
        <w:rPr>
          <w:color w:val="auto"/>
        </w:rPr>
        <w:t xml:space="preserve"> increase in synaptic serotonin </w:t>
      </w:r>
      <w:r w:rsidRPr="00465302">
        <w:rPr>
          <w:color w:val="auto"/>
        </w:rPr>
        <w:fldChar w:fldCharType="begin" w:fldLock="1"/>
      </w:r>
      <w:r w:rsidRPr="00465302">
        <w:rPr>
          <w:color w:val="auto"/>
        </w:rPr>
        <w:instrText>ADDIN CSL_CITATION {"citationItems":[{"id":"ITEM-1","itemData":{"DOI":"10.1097/FPC.0b013e32833132cb","ISSN":"17446872","PMID":"19741567","author":[{"dropping-particle":"","family":"Sangkuhl","given":"Katrin","non-dropping-particle":"","parse-names":false,"suffix":""},{"dropping-particle":"","family":"Klein","given":"Teri E.","non-dropping-particle":"","parse-names":false,"suffix":""},{"dropping-particle":"","family":"Altman","given":"Russ B.","non-dropping-particle":"","parse-names":false,"suffix":""}],"container-title":"Pharmacogenetics and Genomics","id":"ITEM-1","issue":"11","issued":{"date-parts":[["2009"]]},"page":"907-909","title":"Selective serotonin reuptake inhibitors pathway","type":"article-journal","volume":"19"},"uris":["http://www.mendeley.com/documents/?uuid=bf66fb8c-d7a5-407d-804c-4aa445c295b5"]},{"id":"ITEM-2","itemData":{"DOI":"10.1002/syn.890150310","ISSN":"10982396","author":[{"dropping-particle":"","family":"Bel","given":"Nuria","non-dropping-particle":"","parse-names":false,"suffix":""},{"dropping-particle":"","family":"Artigas","given":"Francesc","non-dropping-particle":"","parse-names":false,"suffix":""}],"container-title":"Synapse","id":"ITEM-2","issue":"3","issued":{"date-parts":[["1993"]]},"page":"243-245","title":"Chronic treatment with fluvoxamine increases extracellular serotonin in frontal cortex but not in raphe nuclei","type":"article-journal","volume":"15"},"uris":["http://www.mendeley.com/documents/?uuid=62b10508-1046-4856-930a-cf15b6b7ca6c"]},{"id":"ITEM-3","itemData":{"DOI":"10.1523/JNEUROSCI.22-15-06766.2002","ISSN":"1529-2401","abstract":"Serotonin uptake, mediated by the serotonin transporter (SERT), is blocked acutely by antidepressants such as the selective serotonin reuptake inhibitors (SSRIs), but such blockade does not correlate temporally with the onset of therapeutic improvement. Treatment with SSRIs for 21 d induced downregulation of the SERT (Benmansour et al., 1999). The time course of SERT downregulation as well as the time course for its recovery after cessation of treatment with the SSRI sertraline were investigated using tritiated cyanoimipramine to measure SERT binding sites. To determine if there was a temporal correlation between the time when sertraline induced downregulation of the SERT and when marked alteration in SERT function occurred, clearance of locally applied 5-HT into the CA3 region of hippocampus was achieved using in vivo electrochemistry. After 4 or 10 d treatment with sertraline, SERT binding sites decreased very little (15-30%), and the chronoamperometric signals for serotonin in sertraline-treated rats were comparable with ones obtained in control animals. By contrast, after 15 d of treatment, when SERT binding sites were markedly reduced by 80%, there was robust decrease in the clearance of 5-HT. Moreover, the functional consequences of SERT downregulation as measured by chronoamperometry were significantly greater than those seen after acute blockade of the SERT by SSRIs. SERT binding sites decreases are not a consequence of reduced SERT gene expression, as revealed by in situ hybridization measurements. SSRI-induced downregulation of the SERT may be a key component for the clinical response to SSRIs.","author":[{"dropping-particle":"","family":"Benmansour","given":"Saloua","non-dropping-particle":"","parse-names":false,"suffix":""},{"dropping-particle":"","family":"Owens","given":"William A","non-dropping-particle":"","parse-names":false,"suffix":""},{"dropping-particle":"","family":"Cecchi","given":"Marco","non-dropping-particle":"","parse-names":false,"suffix":""},{"dropping-particle":"","family":"Morilak","given":"David A","non-dropping-particle":"","parse-names":false,"suffix":""},{"dropping-particle":"","family":"Frazer","given":"Alan","non-dropping-particle":"","parse-names":false,"suffix":""}],"container-title":"The Journal of neuroscience : the official journal of the Society for Neuroscience","id":"ITEM-3","issue":"15","issued":{"date-parts":[["2002","8","1"]]},"language":"eng","page":"6766-6772","publisher":"Society for Neuroscience","title":"Serotonin clearance in vivo is altered to a greater extent by antidepressant-induced downregulation of the serotonin transporter than by acute blockade of this transporter","type":"article-journal","volume":"22"},"uris":["http://www.mendeley.com/documents/?uuid=cdfe4d9f-8429-4763-bd20-286e505c00af"]},{"id":"ITEM-4","itemData":{"DOI":"10.1097/00002826-199310000-00002","ISBN":"1537-162X(Electronic),0362-5664(Print)","abstract":"Selective serotonin reuptake inhibitors (SSRIs) are effective in alleviating symptoms of depression. However, clinical improvement is only obtained after several weeks of treatment. SSRIs, when administered acutely to animals, have little effect on synaptic levels of serotonin (5-hydroxytryptamine [5-HT]). This suggests the existence of one or more regulatory mechanisms controlling serotonergic neurotransmission. It is only after prolonged administration that the pharmacological activity of SSRI is fully expressed in terms of synaptic 5-HT levels. This may explain the latency of antidepressant action seen with these drugs in humans. Various other classes of antidepressant therapies (tricyclic antidepressants and monoamine oxidase inhibitor drugs, electroconvulsive therapy) have long-term effects on one or more feedback mechanisms such that an increase in synaptic concentrations of 5-HT may be a common mechanism of many antidepressant therapies. (PsycINFO Database Record (c) 2016 APA, all rights reserved)","author":[{"dropping-particle":"","family":"Briley","given":"Mike","non-dropping-particle":"","parse-names":false,"suffix":""},{"dropping-particle":"","family":"Moret","given":"Chantal","non-dropping-particle":"","parse-names":false,"suffix":""}],"container-title":"Clinical Neuropharmacology","id":"ITEM-4","issue":"5","issued":{"date-parts":[["1993"]]},"page":"387-400","publisher":"Lippincott Williams &amp; Wilkins","publisher-place":"US","title":"Neurobiological mechanisms involved in antidepressant therapies.","type":"article","volume":"16"},"uris":["http://www.mendeley.com/documents/?uuid=4d9c4b6d-a776-4174-8f95-7aa017fcda5e"]}],"mendeley":{"formattedCitation":"(Bel and Artigas, 1993; Briley and Moret, 1993; Benmansour &lt;i&gt;et al.&lt;/i&gt;, 2002; Sangkuhl, Klein and Altman, 2009)","plainTextFormattedCitation":"(Bel and Artigas, 1993; Briley and Moret, 1993; Benmansour et al., 2002; Sangkuhl, Klein and Altman, 2009)","previouslyFormattedCitation":"(Bel and Artigas, 1993; Briley and Moret, 1993; Benmansour &lt;i&gt;et al.&lt;/i&gt;, 2002; Sangkuhl, Klein and Altman, 2009)"},"properties":{"noteIndex":0},"schema":"https://github.com/citation-style-language/schema/raw/master/csl-citation.json"}</w:instrText>
      </w:r>
      <w:r w:rsidRPr="00465302">
        <w:rPr>
          <w:color w:val="auto"/>
        </w:rPr>
        <w:fldChar w:fldCharType="separate"/>
      </w:r>
      <w:r w:rsidRPr="00465302">
        <w:rPr>
          <w:noProof/>
          <w:color w:val="auto"/>
        </w:rPr>
        <w:t xml:space="preserve">(Bel and Artigas, 1993; Briley and Moret, 1993; Benmansour </w:t>
      </w:r>
      <w:r w:rsidRPr="00465302">
        <w:rPr>
          <w:i/>
          <w:noProof/>
          <w:color w:val="auto"/>
        </w:rPr>
        <w:t>et al.</w:t>
      </w:r>
      <w:r w:rsidRPr="00465302">
        <w:rPr>
          <w:noProof/>
          <w:color w:val="auto"/>
        </w:rPr>
        <w:t>, 2002; Sangkuhl, Klein and Altman, 2009)</w:t>
      </w:r>
      <w:r w:rsidRPr="00465302">
        <w:rPr>
          <w:color w:val="auto"/>
        </w:rPr>
        <w:fldChar w:fldCharType="end"/>
      </w:r>
      <w:r w:rsidRPr="00465302">
        <w:rPr>
          <w:color w:val="auto"/>
        </w:rPr>
        <w:t xml:space="preserve">. The region with the strongest increase in serotonin staining after treatment with MAO-A inhibitors, methylene blue, and clorgyline, was observed to be the choroid plexus. More specifically, serotonin staining highlighted the diencephalic choroid plexus at the most dorsal portion of the third ventricle, just anterior to the pineal gland, which contains serotonergic neurons. The choroid plexus is known to act as a sink for excess neurotransmitters in the brain </w:t>
      </w:r>
      <w:r w:rsidRPr="00465302">
        <w:rPr>
          <w:color w:val="auto"/>
        </w:rPr>
        <w:fldChar w:fldCharType="begin" w:fldLock="1"/>
      </w:r>
      <w:r w:rsidRPr="00465302">
        <w:rPr>
          <w:color w:val="auto"/>
        </w:rPr>
        <w:instrText>ADDIN CSL_CITATION {"citationItems":[{"id":"ITEM-1","itemData":{"DOI":"10.3389/fnins.2014.00364","ISSN":"1662-4548","abstract":"The choroid plexus, an epithelial-based structure localized in the brain ventricle, is the major component of the blood-cerebrospinal fluid barrier. The choroid plexus produces the cerebrospinal fluid and regulates the components of the cerebrospinal fluid. Abnormal choroid plexus function is associated with neurodegenerative diseases, tumor formation in the choroid plexus epithelium, and hydrocephaly. In this study, we used zebrafish (Danio rerio) as a model system to understand the genetic components of choroid plexus development. We generated an enhancer trap line, Et(cp:EGFP) (sj2), that expresses enhanced green fluorescent protein (EGFP) in the choroid plexus epithelium. Using immunohistochemistry and fluorescent tracers, we demonstrated that the zebrafish choroid plexus possesses brain barrier properties such as tight junctions and transporter activity. Thus, we have established zebrafish as a functionally relevant model to study choroid plexus development. Using an unbiased approach, we performed a forward genetic dissection of the choroid plexus to identify genes essential for its formation and function. Using Et(cp:EGFP) (sj2), we isolated 10 recessive mutant lines with choroid plexus abnormalities, which were grouped into five classes based on GFP intensity, epithelial localization, and overall choroid plexus morphology. We also mapped the mutation for two mutant lines to chromosomes 4 and 21, respectively. The mutants generated in this study can be used to elucidate specific genes and signaling pathways essential for choroid plexus development, function, and/or maintenance and will provide important insights into how these genetic mutations contribute to disease.","author":[{"dropping-particle":"","family":"Henson","given":"Hannah E","non-dropping-particle":"","parse-names":false,"suffix":""},{"dropping-particle":"","family":"Parupalli","given":"Chaithanyarani","non-dropping-particle":"","parse-names":false,"suffix":""},{"dropping-particle":"","family":"Ju","given":"Bensheng","non-dropping-particle":"","parse-names":false,"suffix":""},{"dropping-particle":"","family":"Taylor","given":"Michael R","non-dropping-particle":"","parse-names":false,"suffix":""}],"container-title":"Frontiers in neuroscience","id":"ITEM-1","issued":{"date-parts":[["2014","11","10"]]},"language":"eng","page":"364","publisher":"Frontiers Media S.A.","title":"Functional and genetic analysis of choroid plexus development in zebrafish","type":"article-journal","volume":"8"},"uris":["http://www.mendeley.com/documents/?uuid=a12b602b-4c5e-4e2c-b3d6-ae74151e5a69"]},{"id":"ITEM-2","itemData":{"DOI":"10.1002/cne.1390","ISSN":"0021-9967","abstract":"Abstract The histaminergic system and its relationships to the other aminergic transmitter systems in the brain of the zebrafish were studied by using confocal microscopy and immunohistochemistry on brain whole-mounts and sections. All monoaminergic systems displayed extensive, widespread fiber systems that innervated all major brain areas, often in a complementary manner. The ventrocaudal hypothalamus contained all monoamine neurons except noradrenaline cells. Histamine (HA), tyrosine hydroxylase (TH), and serotonin (5-HT) -containing neurons were all found around the posterior recess (PR) of the caudal hypothalamus. TH- and 5-HT-containing neurons were found in the periventricular cell layer of PR, whereas the HA-containing neurons were in the surrounding cell layer as a distinct boundary. Histaminergic neurons, which send widespread ascending and descending fibers, were all confined to the ventrocaudal hypothalamus. Histaminergic neurons were medium in size (?12 ?m) with varicose ascending and descending ipsilateral and contralateral fiber projections. Histamine was stored in vesicles in two types of neurons and fibers. A close relationship between HA fibers and serotonergic raphe neurons and noradrenergic locus coeruleus neurons was evident. Putative synaptic contacts were occasionally detected between HA and TH or 5-HT neurons. These results indicate that reciprocal contacts between monoaminergic systems are abundant and complex. The results also provide evidence of homologies to mammalian systems and allow identification of several previously uncharacterized systems in zebrafish mutants. J. Comp. Neurol. 440:342?377, 2001. ? 2001 Wiley-Liss, Inc.","author":[{"dropping-particle":"","family":"Kaslin","given":"Jan","non-dropping-particle":"","parse-names":false,"suffix":""},{"dropping-particle":"","family":"Panula","given":"Pertti","non-dropping-particle":"","parse-names":false,"suffix":""}],"container-title":"Journal of Comparative Neurology","id":"ITEM-2","issue":"4","issued":{"date-parts":[["2001","11","26"]]},"note":"doi: 10.1002/cne.1390","page":"342-377","publisher":"John Wiley &amp; Sons, Ltd","title":"Comparative anatomy of the histaminergic and other aminergic systems in zebrafish (Danio rerio)","type":"article-journal","volume":"440"},"uris":["http://www.mendeley.com/documents/?uuid=ff9156f4-4752-4cdf-916d-ab0adaba32de"]}],"mendeley":{"formattedCitation":"(Kaslin and Panula, 2001; Henson &lt;i&gt;et al.&lt;/i&gt;, 2014)","plainTextFormattedCitation":"(Kaslin and Panula, 2001; Henson et al., 2014)","previouslyFormattedCitation":"(Kaslin and Panula, 2001; Henson &lt;i&gt;et al.&lt;/i&gt;, 2014)"},"properties":{"noteIndex":0},"schema":"https://github.com/citation-style-language/schema/raw/master/csl-citation.json"}</w:instrText>
      </w:r>
      <w:r w:rsidRPr="00465302">
        <w:rPr>
          <w:color w:val="auto"/>
        </w:rPr>
        <w:fldChar w:fldCharType="separate"/>
      </w:r>
      <w:r w:rsidRPr="00465302">
        <w:rPr>
          <w:noProof/>
          <w:color w:val="auto"/>
        </w:rPr>
        <w:t xml:space="preserve">(Kaslin and Panula, 2001; Henson </w:t>
      </w:r>
      <w:r w:rsidRPr="00465302">
        <w:rPr>
          <w:i/>
          <w:noProof/>
          <w:color w:val="auto"/>
        </w:rPr>
        <w:t>et al.</w:t>
      </w:r>
      <w:r w:rsidRPr="00465302">
        <w:rPr>
          <w:noProof/>
          <w:color w:val="auto"/>
        </w:rPr>
        <w:t>, 2014)</w:t>
      </w:r>
      <w:r w:rsidRPr="00465302">
        <w:rPr>
          <w:color w:val="auto"/>
        </w:rPr>
        <w:fldChar w:fldCharType="end"/>
      </w:r>
      <w:r w:rsidRPr="00465302">
        <w:rPr>
          <w:color w:val="auto"/>
        </w:rPr>
        <w:t xml:space="preserve">. It is, thus, reasonable to assume that an excess of serotonin in the brain by MAO-A inhibitor treatment would result in serotonin drain through the diencephalic choroid plexus. Furthermore, the choroid plexus epithelial cells have developmentally evolved from neuroepithelial cells. Neuroepithelial cells, distributed over the whole skin surface in young zebrafish larvae, have previously been identified by serotonin immunolabelling </w:t>
      </w:r>
      <w:r w:rsidRPr="00465302">
        <w:rPr>
          <w:color w:val="auto"/>
        </w:rPr>
        <w:fldChar w:fldCharType="begin" w:fldLock="1"/>
      </w:r>
      <w:r w:rsidRPr="00465302">
        <w:rPr>
          <w:color w:val="auto"/>
        </w:rPr>
        <w:instrText>ADDIN CSL_CITATION {"citationItems":[{"id":"ITEM-1","itemData":{"DOI":"10.1242/jeb.074575","abstract":"In teleost fish, O2 chemoreceptors of the gills (neuroepithelial cells, NECs) initiate cardiorespiratory reflexes during hypoxia. In developing zebrafish, hyperventilatory and behavioural responses to hypoxia are observed before development of gill NECs, indicating that extrabranchial chemoreceptors mediate these responses in embryos. We have characterised a population of cells of the skin in developing zebrafish that resemble O2-chemoreceptive gill NECs. Skin NECs were identified by serotonin immunolabelling and were distributed over the entire skin surface. These cells contained synaptic vesicles and were associated with nerve fibres. Skin NECs were first evident in embryos 24-26 hours post-fertilisation (h.p.f.), and embryos developed a behavioural response to hypoxia between 24-48 h.p.f. The total number of NECs declined with age from approximately 300 cells per larva at 3 days post-fertilisation (d.p.f.) to about 120 cells at 7 d.p.f., and were rarely observed in adults. Acclimation to hypoxia (30 mmHg) or hyperoxia (300 mmHg) resulted in delayed or accelerated development, respectively, of peak resting ventilatory frequency and produced changes in the ventilatory response to hypoxia. In hypoxia-acclimated larvae, the temporal pattern of skin NECs was altered such that the number of cells did not decrease with age. By contrast, hyperoxia produced a more rapid decline in NEC number. The neurotoxin, 6-hydroxydopamine, degraded catecholaminergic nerve terminals that made contact with skin NECs and eliminated the hyperventilatory response to hypoxia. These studies indicate that skin NECs are sensitive to changes in O2 and suggest that they may play a role in initiating responses to hypoxia in developing zebrafish.","author":[{"dropping-particle":"","family":"Coccimiglio","given":"Maria L","non-dropping-particle":"","parse-names":false,"suffix":""},{"dropping-particle":"","family":"Jonz","given":"Michael G","non-dropping-particle":"","parse-names":false,"suffix":""}],"container-title":"The Journal of Experimental Biology","id":"ITEM-1","issued":{"date-parts":[["2012","1","1"]]},"page":"jeb.074575","title":"Serotonergic neuroepithelial cells of the skin in developing zebrafish: morphology, innervation and oxygen-sensitive properties","type":"article-journal"},"uris":["http://www.mendeley.com/documents/?uuid=ea2668fd-59ed-41b6-9bbb-57b3a6bc32fe"]}],"mendeley":{"formattedCitation":"(Coccimiglio and Jonz, 2012)","plainTextFormattedCitation":"(Coccimiglio and Jonz, 2012)","previouslyFormattedCitation":"(Coccimiglio and Jonz, 2012)"},"properties":{"noteIndex":0},"schema":"https://github.com/citation-style-language/schema/raw/master/csl-citation.json"}</w:instrText>
      </w:r>
      <w:r w:rsidRPr="00465302">
        <w:rPr>
          <w:color w:val="auto"/>
        </w:rPr>
        <w:fldChar w:fldCharType="separate"/>
      </w:r>
      <w:r w:rsidRPr="00465302">
        <w:rPr>
          <w:noProof/>
          <w:color w:val="auto"/>
        </w:rPr>
        <w:t>(Coccimiglio and Jonz, 2012)</w:t>
      </w:r>
      <w:r w:rsidRPr="00465302">
        <w:rPr>
          <w:color w:val="auto"/>
        </w:rPr>
        <w:fldChar w:fldCharType="end"/>
      </w:r>
      <w:r w:rsidRPr="00465302">
        <w:rPr>
          <w:color w:val="auto"/>
        </w:rPr>
        <w:t xml:space="preserve">. These cells, which are observed in our stained larvae, contain synaptic vesicles and are associated with nerve fibers, just as neuromasts are. These skin neuroepithelial cells sense and respond to hypoxia during early zebrafish embryo development </w:t>
      </w:r>
      <w:r w:rsidRPr="00465302">
        <w:rPr>
          <w:color w:val="auto"/>
        </w:rPr>
        <w:fldChar w:fldCharType="begin" w:fldLock="1"/>
      </w:r>
      <w:r w:rsidRPr="00465302">
        <w:rPr>
          <w:color w:val="auto"/>
        </w:rPr>
        <w:instrText>ADDIN CSL_CITATION {"citationItems":[{"id":"ITEM-1","itemData":{"DOI":"10.1242/jeb.074575","abstract":"In teleost fish, O2 chemoreceptors of the gills (neuroepithelial cells, NECs) initiate cardiorespiratory reflexes during hypoxia. In developing zebrafish, hyperventilatory and behavioural responses to hypoxia are observed before development of gill NECs, indicating that extrabranchial chemoreceptors mediate these responses in embryos. We have characterised a population of cells of the skin in developing zebrafish that resemble O2-chemoreceptive gill NECs. Skin NECs were identified by serotonin immunolabelling and were distributed over the entire skin surface. These cells contained synaptic vesicles and were associated with nerve fibres. Skin NECs were first evident in embryos 24-26 hours post-fertilisation (h.p.f.), and embryos developed a behavioural response to hypoxia between 24-48 h.p.f. The total number of NECs declined with age from approximately 300 cells per larva at 3 days post-fertilisation (d.p.f.) to about 120 cells at 7 d.p.f., and were rarely observed in adults. Acclimation to hypoxia (30 mmHg) or hyperoxia (300 mmHg) resulted in delayed or accelerated development, respectively, of peak resting ventilatory frequency and produced changes in the ventilatory response to hypoxia. In hypoxia-acclimated larvae, the temporal pattern of skin NECs was altered such that the number of cells did not decrease with age. By contrast, hyperoxia produced a more rapid decline in NEC number. The neurotoxin, 6-hydroxydopamine, degraded catecholaminergic nerve terminals that made contact with skin NECs and eliminated the hyperventilatory response to hypoxia. These studies indicate that skin NECs are sensitive to changes in O2 and suggest that they may play a role in initiating responses to hypoxia in developing zebrafish.","author":[{"dropping-particle":"","family":"Coccimiglio","given":"Maria L","non-dropping-particle":"","parse-names":false,"suffix":""},{"dropping-particle":"","family":"Jonz","given":"Michael G","non-dropping-particle":"","parse-names":false,"suffix":""}],"container-title":"The Journal of Experimental Biology","id":"ITEM-1","issued":{"date-parts":[["2012","1","1"]]},"page":"jeb.074575","title":"Serotonergic neuroepithelial cells of the skin in developing zebrafish: morphology, innervation and oxygen-sensitive properties","type":"article-journal"},"uris":["http://www.mendeley.com/documents/?uuid=ea2668fd-59ed-41b6-9bbb-57b3a6bc32fe"]}],"mendeley":{"formattedCitation":"(Coccimiglio and Jonz, 2012)","plainTextFormattedCitation":"(Coccimiglio and Jonz, 2012)","previouslyFormattedCitation":"(Coccimiglio and Jonz, 2012)"},"properties":{"noteIndex":0},"schema":"https://github.com/citation-style-language/schema/raw/master/csl-citation.json"}</w:instrText>
      </w:r>
      <w:r w:rsidRPr="00465302">
        <w:rPr>
          <w:color w:val="auto"/>
        </w:rPr>
        <w:fldChar w:fldCharType="separate"/>
      </w:r>
      <w:r w:rsidRPr="00465302">
        <w:rPr>
          <w:noProof/>
          <w:color w:val="auto"/>
        </w:rPr>
        <w:t>(Coccimiglio and Jonz, 2012)</w:t>
      </w:r>
      <w:r w:rsidRPr="00465302">
        <w:rPr>
          <w:color w:val="auto"/>
        </w:rPr>
        <w:fldChar w:fldCharType="end"/>
      </w:r>
      <w:r w:rsidRPr="00465302">
        <w:rPr>
          <w:color w:val="auto"/>
        </w:rPr>
        <w:t>. Thus, sensing of the surrounding environment by neuroepithelial cells, such as neuromasts or the skin neuroepithelial cells, may have in common serotonin as a signaling molecule.</w:t>
      </w:r>
    </w:p>
    <w:p w14:paraId="40777D06" w14:textId="589E45FC" w:rsidR="0069328F" w:rsidRDefault="0069328F" w:rsidP="00242745">
      <w:pPr>
        <w:pStyle w:val="Default"/>
        <w:spacing w:after="240" w:line="480" w:lineRule="auto"/>
        <w:jc w:val="both"/>
      </w:pPr>
      <w:r>
        <w:t xml:space="preserve">At this point, we do not know the exact mechanism by which serotonin contributes to neuromast development. The different aspects of PLL development that serotonin could be involved in are </w:t>
      </w:r>
      <w:r>
        <w:lastRenderedPageBreak/>
        <w:t>PLL primordium migration or proliferation, or neuromast differentiation or cell survival, or neuromast nerve innervation, or proper neuromast development and deposition. We would require further studies to tease out which PLL development process is under serotonin control</w:t>
      </w:r>
      <w:r w:rsidR="00BA027C">
        <w:t xml:space="preserve">. </w:t>
      </w:r>
      <w:r>
        <w:t>However, the serotonin levels must be strictly regulated as both increased and decreased serotonin levels affected neuromast numbers. What is also clear is</w:t>
      </w:r>
      <w:r w:rsidRPr="00A42E64">
        <w:t xml:space="preserve"> that screening in an </w:t>
      </w:r>
      <w:r w:rsidRPr="00DE4962">
        <w:rPr>
          <w:i/>
        </w:rPr>
        <w:t>in vivo</w:t>
      </w:r>
      <w:r w:rsidRPr="00A42E64">
        <w:t xml:space="preserve"> model in combination with computational toxicology</w:t>
      </w:r>
      <w:r>
        <w:t xml:space="preserve"> can </w:t>
      </w:r>
      <w:r w:rsidRPr="00A42E64">
        <w:t xml:space="preserve">both </w:t>
      </w:r>
      <w:r>
        <w:t xml:space="preserve">identify toxic chemicals and </w:t>
      </w:r>
      <w:r w:rsidRPr="00A42E64">
        <w:t>concurrent</w:t>
      </w:r>
      <w:r>
        <w:t xml:space="preserve">ly discover </w:t>
      </w:r>
      <w:r w:rsidR="00E30759">
        <w:t xml:space="preserve">their </w:t>
      </w:r>
      <w:r w:rsidRPr="00A42E64">
        <w:t>modes of action.</w:t>
      </w:r>
      <w:r>
        <w:t xml:space="preserve"> Furthermore, through such medium-</w:t>
      </w:r>
      <w:r w:rsidRPr="00993C93">
        <w:t xml:space="preserve">throughput </w:t>
      </w:r>
      <w:r w:rsidRPr="00DE4962">
        <w:rPr>
          <w:i/>
        </w:rPr>
        <w:t>in vivo</w:t>
      </w:r>
      <w:r w:rsidRPr="00993C93">
        <w:t xml:space="preserve"> assay</w:t>
      </w:r>
      <w:r>
        <w:t xml:space="preserve">s, </w:t>
      </w:r>
      <w:r w:rsidRPr="00993C93">
        <w:t>a phenotype-specific profile of correlating ToxCast assays can be obtained</w:t>
      </w:r>
      <w:r>
        <w:t xml:space="preserve">. This profile can </w:t>
      </w:r>
      <w:r w:rsidRPr="00993C93">
        <w:t xml:space="preserve">further </w:t>
      </w:r>
      <w:r>
        <w:t xml:space="preserve">be </w:t>
      </w:r>
      <w:r w:rsidRPr="00993C93">
        <w:t>used to rank toxicants tested in the Tox21 project</w:t>
      </w:r>
      <w:r>
        <w:t xml:space="preserve"> to</w:t>
      </w:r>
      <w:r w:rsidRPr="00993C93">
        <w:t xml:space="preserve"> speed up prioritization </w:t>
      </w:r>
      <w:r>
        <w:t xml:space="preserve">of chemicals </w:t>
      </w:r>
      <w:r w:rsidRPr="00993C93">
        <w:t>for further testing</w:t>
      </w:r>
      <w:r>
        <w:t xml:space="preserve"> </w:t>
      </w:r>
      <w:r w:rsidRPr="00DE4962">
        <w:rPr>
          <w:i/>
        </w:rPr>
        <w:t>in vivo</w:t>
      </w:r>
      <w:r>
        <w:t>, and in the long run, result in an improved risk assessment for human and environmental health.</w:t>
      </w:r>
    </w:p>
    <w:p w14:paraId="45414241" w14:textId="32BE2084" w:rsidR="00456C42" w:rsidRPr="00456C42" w:rsidRDefault="00456C42" w:rsidP="00317481">
      <w:pPr>
        <w:pStyle w:val="Heading3"/>
        <w:rPr>
          <w:rFonts w:eastAsia="Times New Roman"/>
        </w:rPr>
      </w:pPr>
      <w:bookmarkStart w:id="42" w:name="_Toc39502049"/>
      <w:r w:rsidRPr="00456C42">
        <w:rPr>
          <w:rFonts w:eastAsia="Times New Roman"/>
        </w:rPr>
        <w:t xml:space="preserve">2.2.4 Toxicity </w:t>
      </w:r>
      <w:r w:rsidR="00C03E9B">
        <w:rPr>
          <w:rFonts w:eastAsia="Times New Roman"/>
        </w:rPr>
        <w:t>P</w:t>
      </w:r>
      <w:r w:rsidRPr="00456C42">
        <w:rPr>
          <w:rFonts w:eastAsia="Times New Roman"/>
        </w:rPr>
        <w:t xml:space="preserve">rediction </w:t>
      </w:r>
      <w:r w:rsidR="00C03E9B">
        <w:rPr>
          <w:rFonts w:eastAsia="Times New Roman"/>
        </w:rPr>
        <w:t>B</w:t>
      </w:r>
      <w:r w:rsidRPr="00456C42">
        <w:rPr>
          <w:rFonts w:eastAsia="Times New Roman"/>
        </w:rPr>
        <w:t xml:space="preserve">ased on ToxCast </w:t>
      </w:r>
      <w:r w:rsidR="00823843">
        <w:rPr>
          <w:rFonts w:eastAsia="Times New Roman"/>
        </w:rPr>
        <w:t>A</w:t>
      </w:r>
      <w:r w:rsidRPr="00456C42">
        <w:rPr>
          <w:rFonts w:eastAsia="Times New Roman"/>
        </w:rPr>
        <w:t xml:space="preserve">ssay </w:t>
      </w:r>
      <w:r w:rsidR="00823843">
        <w:rPr>
          <w:rFonts w:eastAsia="Times New Roman"/>
        </w:rPr>
        <w:t>T</w:t>
      </w:r>
      <w:r w:rsidRPr="00456C42">
        <w:rPr>
          <w:rFonts w:eastAsia="Times New Roman"/>
        </w:rPr>
        <w:t>argets</w:t>
      </w:r>
      <w:bookmarkEnd w:id="42"/>
    </w:p>
    <w:p w14:paraId="2C65894D" w14:textId="4805A600" w:rsidR="00BA027C" w:rsidRDefault="00BA027C" w:rsidP="00BA027C">
      <w:pPr>
        <w:pStyle w:val="NoSpacing"/>
        <w:spacing w:line="480" w:lineRule="auto"/>
        <w:jc w:val="both"/>
        <w:rPr>
          <w:rFonts w:cs="Times New Roman"/>
          <w:szCs w:val="24"/>
        </w:rPr>
      </w:pPr>
      <w:r>
        <w:rPr>
          <w:rFonts w:cs="Times New Roman"/>
          <w:color w:val="000000"/>
          <w:szCs w:val="24"/>
        </w:rPr>
        <w:t xml:space="preserve">Based on the </w:t>
      </w:r>
      <w:r>
        <w:rPr>
          <w:rFonts w:cs="Times New Roman"/>
          <w:i/>
          <w:color w:val="000000"/>
          <w:szCs w:val="24"/>
        </w:rPr>
        <w:t>in vitro</w:t>
      </w:r>
      <w:r>
        <w:rPr>
          <w:rFonts w:cs="Times New Roman"/>
          <w:color w:val="000000"/>
          <w:szCs w:val="24"/>
        </w:rPr>
        <w:t xml:space="preserve"> assay targets, the identified PLLDs affect multiple pathways of which serotonin was the most obvious. We hypothesized that if a compound affects these serotonergic </w:t>
      </w:r>
      <w:r>
        <w:rPr>
          <w:rFonts w:cs="Times New Roman"/>
          <w:i/>
          <w:color w:val="000000"/>
          <w:szCs w:val="24"/>
        </w:rPr>
        <w:t>in vitro</w:t>
      </w:r>
      <w:r>
        <w:rPr>
          <w:rFonts w:cs="Times New Roman"/>
          <w:color w:val="000000"/>
          <w:szCs w:val="24"/>
        </w:rPr>
        <w:t xml:space="preserve"> endpoints, then it could potentially be a PLLD </w:t>
      </w:r>
      <w:r>
        <w:rPr>
          <w:rFonts w:cs="Times New Roman"/>
          <w:i/>
          <w:color w:val="000000"/>
          <w:szCs w:val="24"/>
        </w:rPr>
        <w:t>in vivo</w:t>
      </w:r>
      <w:r>
        <w:rPr>
          <w:rFonts w:cs="Times New Roman"/>
          <w:color w:val="000000"/>
          <w:szCs w:val="24"/>
        </w:rPr>
        <w:t xml:space="preserve">. To test this, ToxCast data for the </w:t>
      </w:r>
      <w:r w:rsidR="003C7A73">
        <w:rPr>
          <w:rFonts w:cs="Times New Roman"/>
          <w:color w:val="000000"/>
          <w:szCs w:val="24"/>
        </w:rPr>
        <w:t>five</w:t>
      </w:r>
      <w:r>
        <w:rPr>
          <w:rFonts w:cs="Times New Roman"/>
          <w:color w:val="000000"/>
          <w:szCs w:val="24"/>
        </w:rPr>
        <w:t xml:space="preserve"> serotonergic assays were used. All the ToxCast Phase I and Phase II compounds were ranked based on their bioactivity of the </w:t>
      </w:r>
      <w:r>
        <w:rPr>
          <w:rFonts w:cs="Times New Roman"/>
          <w:i/>
          <w:color w:val="000000"/>
          <w:szCs w:val="24"/>
        </w:rPr>
        <w:t>in vitro</w:t>
      </w:r>
      <w:r>
        <w:rPr>
          <w:rFonts w:cs="Times New Roman"/>
          <w:color w:val="000000"/>
          <w:szCs w:val="24"/>
        </w:rPr>
        <w:t xml:space="preserve"> endpoints that correlated with zebrafish PLLDs. Eight of the 11 top-ranked compounds were tested in zebrafish and none of these compounds had been tested in zebrafish during the initial screening. As predicted, exposure to these eight compounds caused PLL disruption in zebrafish in a dose-dependent manner. Exposure to the predicted non-PLLDs (low ranked) did not show any effects on neuromast pattern </w:t>
      </w:r>
      <w:r>
        <w:rPr>
          <w:rFonts w:cs="Times New Roman"/>
          <w:i/>
          <w:color w:val="000000"/>
          <w:szCs w:val="24"/>
        </w:rPr>
        <w:t>in vivo</w:t>
      </w:r>
      <w:r>
        <w:rPr>
          <w:rFonts w:cs="Times New Roman"/>
          <w:color w:val="000000"/>
          <w:szCs w:val="24"/>
        </w:rPr>
        <w:t xml:space="preserve">. Interestingly, all three tested compounds with a zero score for PLL disruption affected neuromast pattern in </w:t>
      </w:r>
      <w:r w:rsidR="0054048D">
        <w:rPr>
          <w:rFonts w:cs="Times New Roman"/>
          <w:color w:val="000000"/>
          <w:szCs w:val="24"/>
        </w:rPr>
        <w:t xml:space="preserve">the </w:t>
      </w:r>
      <w:r>
        <w:rPr>
          <w:rFonts w:cs="Times New Roman"/>
          <w:color w:val="000000"/>
          <w:szCs w:val="24"/>
        </w:rPr>
        <w:t>PLL in a dose-</w:t>
      </w:r>
      <w:r>
        <w:rPr>
          <w:rFonts w:cs="Times New Roman"/>
          <w:color w:val="000000"/>
          <w:szCs w:val="24"/>
        </w:rPr>
        <w:lastRenderedPageBreak/>
        <w:t xml:space="preserve">dependent manner. The compounds that received a zero score for PLL disruption, did so because they were tested </w:t>
      </w:r>
      <w:r w:rsidR="008352AE">
        <w:rPr>
          <w:rFonts w:cs="Times New Roman"/>
          <w:color w:val="000000"/>
          <w:szCs w:val="24"/>
        </w:rPr>
        <w:t xml:space="preserve">in </w:t>
      </w:r>
      <w:r>
        <w:rPr>
          <w:rFonts w:cs="Times New Roman"/>
          <w:color w:val="000000"/>
          <w:szCs w:val="24"/>
        </w:rPr>
        <w:t>one or more of the five</w:t>
      </w:r>
      <w:r w:rsidRPr="00DE4962">
        <w:rPr>
          <w:rFonts w:cs="Times New Roman"/>
          <w:color w:val="000000"/>
          <w:szCs w:val="24"/>
        </w:rPr>
        <w:t xml:space="preserve"> serotonin</w:t>
      </w:r>
      <w:r>
        <w:rPr>
          <w:rFonts w:cs="Times New Roman"/>
          <w:color w:val="000000"/>
          <w:szCs w:val="24"/>
        </w:rPr>
        <w:t>-</w:t>
      </w:r>
      <w:r w:rsidRPr="00DE4962">
        <w:rPr>
          <w:rFonts w:cs="Times New Roman"/>
          <w:color w:val="000000"/>
          <w:szCs w:val="24"/>
        </w:rPr>
        <w:t xml:space="preserve">related </w:t>
      </w:r>
      <w:r w:rsidRPr="00DE4962">
        <w:rPr>
          <w:rFonts w:cs="Times New Roman"/>
          <w:i/>
          <w:iCs/>
          <w:color w:val="000000"/>
          <w:szCs w:val="24"/>
        </w:rPr>
        <w:t>in vitro</w:t>
      </w:r>
      <w:r w:rsidRPr="00DE4962">
        <w:rPr>
          <w:rFonts w:cs="Times New Roman"/>
          <w:color w:val="000000"/>
          <w:szCs w:val="24"/>
        </w:rPr>
        <w:t xml:space="preserve"> assays</w:t>
      </w:r>
      <w:r>
        <w:rPr>
          <w:rFonts w:cs="Times New Roman"/>
          <w:color w:val="000000"/>
          <w:szCs w:val="24"/>
        </w:rPr>
        <w:t xml:space="preserve"> and had no effect</w:t>
      </w:r>
      <w:r w:rsidRPr="00DE4962">
        <w:rPr>
          <w:rFonts w:cs="Times New Roman"/>
          <w:color w:val="000000"/>
          <w:szCs w:val="24"/>
        </w:rPr>
        <w:t>.</w:t>
      </w:r>
      <w:r w:rsidR="002045ED">
        <w:rPr>
          <w:rFonts w:cs="Times New Roman"/>
          <w:color w:val="000000"/>
          <w:szCs w:val="24"/>
        </w:rPr>
        <w:t xml:space="preserve"> Of all the zero-scored compounds, hundred had been tested in only one of the five serotonin assays, while five compounds including Malic acid, CI-1029, and CP-283097 had been tested in two serotonin assays. Only one compound had been tested in four of the five serotonin assays. </w:t>
      </w:r>
      <w:r w:rsidR="008352AE">
        <w:rPr>
          <w:rFonts w:cs="Times New Roman"/>
          <w:color w:val="000000"/>
          <w:szCs w:val="24"/>
        </w:rPr>
        <w:t>A</w:t>
      </w:r>
      <w:r>
        <w:rPr>
          <w:rFonts w:cs="Times New Roman"/>
          <w:color w:val="000000"/>
          <w:szCs w:val="24"/>
        </w:rPr>
        <w:t xml:space="preserve">ll three tested compounds with a zero score for PLL disruption affected neuromast pattern </w:t>
      </w:r>
      <w:r w:rsidR="008352AE">
        <w:rPr>
          <w:rFonts w:cs="Times New Roman"/>
          <w:color w:val="000000"/>
          <w:szCs w:val="24"/>
        </w:rPr>
        <w:t xml:space="preserve">somewhat </w:t>
      </w:r>
      <w:r>
        <w:rPr>
          <w:rFonts w:cs="Times New Roman"/>
          <w:color w:val="000000"/>
          <w:szCs w:val="24"/>
        </w:rPr>
        <w:t>in the PLL in a dose-dependent manner. This goes to show the importance and need of whole organism toxicity testing required to observe the phenotypic effects of these compounds. Their mechanism of action is yet to be elucidated, but th</w:t>
      </w:r>
      <w:r w:rsidR="008352AE">
        <w:rPr>
          <w:rFonts w:cs="Times New Roman"/>
          <w:color w:val="000000"/>
          <w:szCs w:val="24"/>
        </w:rPr>
        <w:t xml:space="preserve">ey </w:t>
      </w:r>
      <w:r>
        <w:rPr>
          <w:rFonts w:cs="Times New Roman"/>
          <w:color w:val="000000"/>
          <w:szCs w:val="24"/>
        </w:rPr>
        <w:t xml:space="preserve">may be </w:t>
      </w:r>
      <w:r w:rsidR="008352AE">
        <w:rPr>
          <w:rFonts w:cs="Times New Roman"/>
          <w:color w:val="000000"/>
          <w:szCs w:val="24"/>
        </w:rPr>
        <w:t>affecting</w:t>
      </w:r>
      <w:r>
        <w:rPr>
          <w:rFonts w:cs="Times New Roman"/>
          <w:color w:val="000000"/>
          <w:szCs w:val="24"/>
        </w:rPr>
        <w:t xml:space="preserve"> the serotonin pathway through a mechanism that is not yet covered by the ToxCast </w:t>
      </w:r>
      <w:r>
        <w:rPr>
          <w:rFonts w:cs="Times New Roman"/>
          <w:i/>
          <w:iCs/>
          <w:color w:val="000000"/>
          <w:szCs w:val="24"/>
        </w:rPr>
        <w:t>in vitro</w:t>
      </w:r>
      <w:r>
        <w:rPr>
          <w:rFonts w:cs="Times New Roman"/>
          <w:color w:val="000000"/>
          <w:szCs w:val="24"/>
        </w:rPr>
        <w:t xml:space="preserve"> assays. In conclusion, zebrafish based </w:t>
      </w:r>
      <w:r>
        <w:rPr>
          <w:rFonts w:cs="Times New Roman"/>
          <w:i/>
          <w:color w:val="000000"/>
          <w:szCs w:val="24"/>
        </w:rPr>
        <w:t>in vivo</w:t>
      </w:r>
      <w:r>
        <w:rPr>
          <w:rFonts w:cs="Times New Roman"/>
          <w:color w:val="000000"/>
          <w:szCs w:val="24"/>
        </w:rPr>
        <w:t xml:space="preserve"> data in combination with ToxCast </w:t>
      </w:r>
      <w:r>
        <w:rPr>
          <w:rFonts w:cs="Times New Roman"/>
          <w:i/>
          <w:color w:val="000000"/>
          <w:szCs w:val="24"/>
        </w:rPr>
        <w:t>in vitro</w:t>
      </w:r>
      <w:r>
        <w:rPr>
          <w:rFonts w:cs="Times New Roman"/>
          <w:color w:val="000000"/>
          <w:szCs w:val="24"/>
        </w:rPr>
        <w:t xml:space="preserve"> data can be utilized to predict the </w:t>
      </w:r>
      <w:r>
        <w:rPr>
          <w:rFonts w:cs="Times New Roman"/>
          <w:i/>
          <w:color w:val="000000"/>
          <w:szCs w:val="24"/>
        </w:rPr>
        <w:t>in vivo</w:t>
      </w:r>
      <w:r>
        <w:rPr>
          <w:rFonts w:cs="Times New Roman"/>
          <w:color w:val="000000"/>
          <w:szCs w:val="24"/>
        </w:rPr>
        <w:t xml:space="preserve"> toxicity of novel compounds. </w:t>
      </w:r>
    </w:p>
    <w:p w14:paraId="0C325417" w14:textId="77777777" w:rsidR="00BA027C" w:rsidRDefault="00BA027C" w:rsidP="00A5237A">
      <w:pPr>
        <w:pStyle w:val="NoSpacing"/>
        <w:spacing w:line="480" w:lineRule="auto"/>
        <w:contextualSpacing/>
        <w:jc w:val="both"/>
        <w:rPr>
          <w:rFonts w:cs="Times New Roman"/>
          <w:color w:val="000000"/>
          <w:szCs w:val="24"/>
        </w:rPr>
      </w:pPr>
    </w:p>
    <w:p w14:paraId="10EB9EE6" w14:textId="77777777" w:rsidR="0069328F" w:rsidRDefault="0069328F" w:rsidP="00A5237A">
      <w:pPr>
        <w:pStyle w:val="NoSpacing"/>
        <w:spacing w:line="480" w:lineRule="auto"/>
        <w:contextualSpacing/>
        <w:jc w:val="both"/>
        <w:rPr>
          <w:rFonts w:cs="Times New Roman"/>
          <w:szCs w:val="24"/>
        </w:rPr>
      </w:pPr>
    </w:p>
    <w:p w14:paraId="3A3B8FE8" w14:textId="77777777" w:rsidR="0069328F" w:rsidRDefault="0069328F" w:rsidP="00A5237A">
      <w:pPr>
        <w:pStyle w:val="NoSpacing"/>
        <w:spacing w:line="480" w:lineRule="auto"/>
        <w:contextualSpacing/>
        <w:jc w:val="both"/>
        <w:rPr>
          <w:rFonts w:cs="Times New Roman"/>
          <w:b/>
          <w:u w:val="single"/>
        </w:rPr>
      </w:pPr>
    </w:p>
    <w:p w14:paraId="4372A4C1" w14:textId="77777777" w:rsidR="00A5237A" w:rsidRDefault="00A5237A" w:rsidP="00A5237A">
      <w:pPr>
        <w:spacing w:after="0" w:line="240" w:lineRule="auto"/>
        <w:jc w:val="both"/>
        <w:rPr>
          <w:rFonts w:eastAsia="Times New Roman" w:cs="Times New Roman"/>
          <w:b/>
          <w:bCs/>
          <w:color w:val="000000"/>
          <w:sz w:val="144"/>
          <w:szCs w:val="144"/>
        </w:rPr>
      </w:pPr>
    </w:p>
    <w:p w14:paraId="2287423C" w14:textId="3D46AF27" w:rsidR="00A5237A" w:rsidRDefault="00A5237A" w:rsidP="00A5237A">
      <w:pPr>
        <w:spacing w:after="0" w:line="240" w:lineRule="auto"/>
        <w:jc w:val="both"/>
        <w:rPr>
          <w:rFonts w:eastAsia="Times New Roman" w:cs="Times New Roman"/>
          <w:b/>
          <w:bCs/>
          <w:color w:val="000000"/>
          <w:sz w:val="144"/>
          <w:szCs w:val="144"/>
        </w:rPr>
      </w:pPr>
    </w:p>
    <w:p w14:paraId="52BB6A40" w14:textId="244355FD" w:rsidR="00A5237A" w:rsidRDefault="00A5237A" w:rsidP="00A5237A">
      <w:pPr>
        <w:spacing w:after="0" w:line="240" w:lineRule="auto"/>
        <w:jc w:val="both"/>
        <w:rPr>
          <w:rFonts w:eastAsia="Times New Roman" w:cs="Times New Roman"/>
          <w:b/>
          <w:bCs/>
          <w:color w:val="000000"/>
          <w:sz w:val="44"/>
          <w:szCs w:val="44"/>
        </w:rPr>
      </w:pPr>
    </w:p>
    <w:p w14:paraId="46467E50" w14:textId="19688DC5" w:rsidR="006B7F04" w:rsidRDefault="006B7F04" w:rsidP="00A5237A">
      <w:pPr>
        <w:spacing w:after="0" w:line="240" w:lineRule="auto"/>
        <w:jc w:val="both"/>
        <w:rPr>
          <w:rFonts w:eastAsia="Times New Roman" w:cs="Times New Roman"/>
          <w:b/>
          <w:bCs/>
          <w:color w:val="000000"/>
          <w:sz w:val="44"/>
          <w:szCs w:val="44"/>
        </w:rPr>
      </w:pPr>
    </w:p>
    <w:p w14:paraId="5B1375B6" w14:textId="1497BB55" w:rsidR="006B7F04" w:rsidRDefault="006B7F04" w:rsidP="00A5237A">
      <w:pPr>
        <w:spacing w:after="0" w:line="240" w:lineRule="auto"/>
        <w:jc w:val="both"/>
        <w:rPr>
          <w:rFonts w:eastAsia="Times New Roman" w:cs="Times New Roman"/>
          <w:b/>
          <w:bCs/>
          <w:color w:val="000000"/>
          <w:sz w:val="44"/>
          <w:szCs w:val="44"/>
        </w:rPr>
      </w:pPr>
    </w:p>
    <w:p w14:paraId="1BFA7B28" w14:textId="735367BF" w:rsidR="006B7F04" w:rsidRDefault="006B7F04" w:rsidP="00A5237A">
      <w:pPr>
        <w:spacing w:after="0" w:line="240" w:lineRule="auto"/>
        <w:jc w:val="both"/>
        <w:rPr>
          <w:rFonts w:eastAsia="Times New Roman" w:cs="Times New Roman"/>
          <w:b/>
          <w:bCs/>
          <w:color w:val="000000"/>
          <w:sz w:val="44"/>
          <w:szCs w:val="44"/>
        </w:rPr>
      </w:pPr>
    </w:p>
    <w:p w14:paraId="61C00FC2" w14:textId="41CE5B49" w:rsidR="006B7F04" w:rsidRDefault="006B7F04" w:rsidP="00A5237A">
      <w:pPr>
        <w:spacing w:after="0" w:line="240" w:lineRule="auto"/>
        <w:jc w:val="both"/>
        <w:rPr>
          <w:rFonts w:eastAsia="Times New Roman" w:cs="Times New Roman"/>
          <w:b/>
          <w:bCs/>
          <w:color w:val="000000"/>
          <w:sz w:val="44"/>
          <w:szCs w:val="44"/>
        </w:rPr>
      </w:pPr>
    </w:p>
    <w:p w14:paraId="2490CC66" w14:textId="77777777" w:rsidR="00F547E7" w:rsidRDefault="00F547E7" w:rsidP="00A5237A">
      <w:pPr>
        <w:spacing w:after="0" w:line="240" w:lineRule="auto"/>
        <w:jc w:val="both"/>
        <w:rPr>
          <w:rFonts w:eastAsia="Times New Roman" w:cs="Times New Roman"/>
          <w:b/>
          <w:bCs/>
          <w:color w:val="000000"/>
          <w:sz w:val="44"/>
          <w:szCs w:val="44"/>
        </w:rPr>
      </w:pPr>
    </w:p>
    <w:p w14:paraId="7011E2E3" w14:textId="77777777" w:rsidR="006B7F04" w:rsidRDefault="006B7F04" w:rsidP="00A5237A">
      <w:pPr>
        <w:spacing w:after="0" w:line="240" w:lineRule="auto"/>
        <w:jc w:val="both"/>
        <w:rPr>
          <w:rFonts w:eastAsia="Times New Roman" w:cs="Times New Roman"/>
          <w:b/>
          <w:bCs/>
          <w:color w:val="000000"/>
          <w:sz w:val="44"/>
          <w:szCs w:val="44"/>
        </w:rPr>
      </w:pPr>
    </w:p>
    <w:p w14:paraId="2FAA87ED" w14:textId="77777777" w:rsidR="00A5237A" w:rsidRDefault="00A5237A" w:rsidP="00A5237A">
      <w:pPr>
        <w:spacing w:after="0" w:line="240" w:lineRule="auto"/>
        <w:jc w:val="both"/>
        <w:rPr>
          <w:rFonts w:eastAsia="Times New Roman" w:cs="Times New Roman"/>
          <w:b/>
          <w:bCs/>
          <w:color w:val="000000"/>
          <w:sz w:val="44"/>
          <w:szCs w:val="44"/>
        </w:rPr>
      </w:pPr>
    </w:p>
    <w:p w14:paraId="132583BA" w14:textId="20A4CF56" w:rsidR="00A5237A" w:rsidRPr="00465302" w:rsidRDefault="00A5237A" w:rsidP="00003E36">
      <w:pPr>
        <w:pStyle w:val="Heading1"/>
      </w:pPr>
      <w:bookmarkStart w:id="43" w:name="_Toc39502050"/>
      <w:bookmarkStart w:id="44" w:name="VDC"/>
      <w:r w:rsidRPr="00465302">
        <w:t>CHAPTER 3: IDENTIFICATION AND PREDICTION OF VASCULAR DISRUPTOR COMPOUNDS</w:t>
      </w:r>
      <w:bookmarkEnd w:id="43"/>
      <w:r w:rsidRPr="00465302">
        <w:t xml:space="preserve"> </w:t>
      </w:r>
    </w:p>
    <w:bookmarkEnd w:id="44"/>
    <w:p w14:paraId="31C137A9" w14:textId="77777777" w:rsidR="00A5237A" w:rsidRPr="00465302" w:rsidRDefault="00A5237A" w:rsidP="00A5237A">
      <w:pPr>
        <w:spacing w:line="480" w:lineRule="auto"/>
        <w:jc w:val="both"/>
        <w:rPr>
          <w:rFonts w:eastAsia="Times New Roman" w:cs="Times New Roman"/>
          <w:b/>
          <w:bCs/>
          <w:color w:val="000000"/>
          <w:sz w:val="52"/>
          <w:szCs w:val="52"/>
        </w:rPr>
      </w:pPr>
      <w:r w:rsidRPr="00465302">
        <w:rPr>
          <w:rFonts w:eastAsia="Times New Roman" w:cs="Times New Roman"/>
          <w:szCs w:val="24"/>
        </w:rPr>
        <w:br/>
      </w:r>
    </w:p>
    <w:p w14:paraId="5D6DCB75" w14:textId="77777777" w:rsidR="00A5237A" w:rsidRPr="00465302" w:rsidRDefault="00A5237A" w:rsidP="00A5237A">
      <w:pPr>
        <w:spacing w:line="480" w:lineRule="auto"/>
        <w:jc w:val="both"/>
        <w:rPr>
          <w:rFonts w:eastAsia="Times New Roman" w:cs="Times New Roman"/>
          <w:b/>
          <w:bCs/>
          <w:color w:val="000000"/>
          <w:sz w:val="52"/>
          <w:szCs w:val="52"/>
        </w:rPr>
      </w:pPr>
    </w:p>
    <w:p w14:paraId="57BFF342" w14:textId="77777777" w:rsidR="00A5237A" w:rsidRPr="00465302" w:rsidRDefault="00A5237A" w:rsidP="00A5237A">
      <w:pPr>
        <w:spacing w:line="480" w:lineRule="auto"/>
        <w:jc w:val="both"/>
        <w:rPr>
          <w:rFonts w:eastAsia="Times New Roman" w:cs="Times New Roman"/>
          <w:b/>
          <w:bCs/>
          <w:color w:val="000000"/>
          <w:sz w:val="52"/>
          <w:szCs w:val="52"/>
        </w:rPr>
      </w:pPr>
    </w:p>
    <w:p w14:paraId="5F9F6F9B" w14:textId="77777777" w:rsidR="00D472C3" w:rsidRPr="00465302" w:rsidRDefault="00D472C3">
      <w:pPr>
        <w:spacing w:before="0" w:after="160" w:line="259" w:lineRule="auto"/>
        <w:rPr>
          <w:rFonts w:eastAsia="Times New Roman" w:cs="Times New Roman"/>
          <w:b/>
          <w:color w:val="0E101A"/>
          <w:sz w:val="28"/>
          <w:szCs w:val="28"/>
        </w:rPr>
      </w:pPr>
      <w:r w:rsidRPr="00465302">
        <w:rPr>
          <w:rFonts w:eastAsia="Times New Roman"/>
        </w:rPr>
        <w:br w:type="page"/>
      </w:r>
    </w:p>
    <w:p w14:paraId="213B23C1" w14:textId="5B4776A5" w:rsidR="00A5237A" w:rsidRPr="00465302" w:rsidRDefault="00F547E7">
      <w:pPr>
        <w:pStyle w:val="Heading2"/>
        <w:rPr>
          <w:rFonts w:eastAsia="Times New Roman"/>
        </w:rPr>
      </w:pPr>
      <w:bookmarkStart w:id="45" w:name="_Toc39502051"/>
      <w:r w:rsidRPr="00465302">
        <w:rPr>
          <w:rFonts w:eastAsia="Times New Roman"/>
        </w:rPr>
        <w:lastRenderedPageBreak/>
        <w:t>3.1 INTRODUCTION</w:t>
      </w:r>
      <w:bookmarkEnd w:id="45"/>
    </w:p>
    <w:p w14:paraId="2FF7FA37" w14:textId="35192256" w:rsidR="00F547E7" w:rsidRPr="00465302" w:rsidRDefault="00873599" w:rsidP="00242745">
      <w:pPr>
        <w:spacing w:before="0" w:line="480" w:lineRule="auto"/>
        <w:jc w:val="both"/>
        <w:rPr>
          <w:rFonts w:eastAsia="Times New Roman" w:cs="Times New Roman"/>
          <w:color w:val="000000"/>
          <w:szCs w:val="24"/>
        </w:rPr>
      </w:pPr>
      <w:r>
        <w:rPr>
          <w:rFonts w:eastAsia="Times New Roman" w:cs="Times New Roman"/>
          <w:color w:val="000000"/>
          <w:szCs w:val="24"/>
        </w:rPr>
        <w:t>D</w:t>
      </w:r>
      <w:r w:rsidR="00F547E7" w:rsidRPr="00465302">
        <w:rPr>
          <w:rFonts w:eastAsia="Times New Roman" w:cs="Times New Roman"/>
          <w:color w:val="000000"/>
          <w:szCs w:val="24"/>
        </w:rPr>
        <w:t xml:space="preserve">isruption of vascular development during embryonic stages in mammals </w:t>
      </w:r>
      <w:r w:rsidR="005B4CA9">
        <w:rPr>
          <w:rFonts w:eastAsia="Times New Roman" w:cs="Times New Roman"/>
          <w:color w:val="000000"/>
          <w:szCs w:val="24"/>
        </w:rPr>
        <w:t xml:space="preserve">does </w:t>
      </w:r>
      <w:r w:rsidR="00F547E7" w:rsidRPr="00465302">
        <w:rPr>
          <w:rFonts w:eastAsia="Times New Roman" w:cs="Times New Roman"/>
          <w:color w:val="000000"/>
          <w:szCs w:val="24"/>
        </w:rPr>
        <w:t>not just result in severe birth defects, but also reduces fetal survival</w:t>
      </w:r>
      <w:r w:rsidR="00CD0BB9" w:rsidRPr="00465302">
        <w:rPr>
          <w:rFonts w:eastAsia="Times New Roman" w:cs="Times New Roman"/>
          <w:color w:val="000000"/>
          <w:szCs w:val="24"/>
        </w:rPr>
        <w:t xml:space="preserve"> </w:t>
      </w:r>
      <w:r w:rsidR="00CD0BB9" w:rsidRPr="00465302">
        <w:rPr>
          <w:rFonts w:eastAsia="Times New Roman" w:cs="Times New Roman"/>
          <w:color w:val="000000"/>
          <w:szCs w:val="24"/>
        </w:rPr>
        <w:fldChar w:fldCharType="begin" w:fldLock="1"/>
      </w:r>
      <w:r w:rsidR="00ED6657" w:rsidRPr="00465302">
        <w:rPr>
          <w:rFonts w:eastAsia="Times New Roman" w:cs="Times New Roman"/>
          <w:color w:val="000000"/>
          <w:szCs w:val="24"/>
        </w:rPr>
        <w:instrText>ADDIN CSL_CITATION {"citationItems":[{"id":"ITEM-1","itemData":{"DOI":"10.1006/dbio.2000.9995","ISSN":"00121606","abstract":"We have used confocal microangiography to examine and describe the vascular anatomy of the developing zebrafish, Danio rerio. This method and the profound optical clarity of zebrafish embryos make it possible to view the entire developing vasculature with unprecedented resolution. A staged series of three-dimensional images of the vascular system were collected beginning shortly after the onset of circulation at 1 day postfertilization through early- to midlarval stages at approximately 7 days postfertilization. Blood vessels in every region of the animal were imaged at each stage, and detailed \"wiring patterns\" were derived describing the interconnections between every major vessel. We present an overview of these data here in this paper and in an accompanying Web site \"The interactive atlas of zebrafish vascular anatomy\" online at (http://eclipse.nichd.nih.gov/nichd/lmg/redirect.html). We find a highly dynamic but also highly stereotypic pattern of vascular connections, with different sets of primitive embryonic vessels severing connections and rewiring in new configurations according to a reproducible plan. We also find that despite variation in the details of the vascular anatomy, the basic vascular plan of the developing zebrafish shows strong similarity to that of other vertebrates. This atlas will provide an invaluable foundation for future genetic and experimental studies of vascular development in the zebrafish.","author":[{"dropping-particle":"","family":"Isogai","given":"Sumio","non-dropping-particle":"","parse-names":false,"suffix":""},{"dropping-particle":"","family":"Horiguchi","given":"Masaharu","non-dropping-particle":"","parse-names":false,"suffix":""},{"dropping-particle":"","family":"Weinstein","given":"Brant M.","non-dropping-particle":"","parse-names":false,"suffix":""}],"container-title":"Developmental Biology","id":"ITEM-1","issue":"2","issued":{"date-parts":[["2001"]]},"page":"278-301","title":"The vascular anatomy of the developing zebrafish: An atlas of embryonic and early larval development","type":"article-journal","volume":"230"},"uris":["http://www.mendeley.com/documents/?uuid=5d256fbf-cfeb-4df8-99b6-197e88363afa"]}],"mendeley":{"formattedCitation":"(Isogai, Horiguchi and Weinstein, 2001)","plainTextFormattedCitation":"(Isogai, Horiguchi and Weinstein, 2001)","previouslyFormattedCitation":"(Isogai, Horiguchi and Weinstein, 2001)"},"properties":{"noteIndex":0},"schema":"https://github.com/citation-style-language/schema/raw/master/csl-citation.json"}</w:instrText>
      </w:r>
      <w:r w:rsidR="00CD0BB9" w:rsidRPr="00465302">
        <w:rPr>
          <w:rFonts w:eastAsia="Times New Roman" w:cs="Times New Roman"/>
          <w:color w:val="000000"/>
          <w:szCs w:val="24"/>
        </w:rPr>
        <w:fldChar w:fldCharType="separate"/>
      </w:r>
      <w:r w:rsidR="00CD0BB9" w:rsidRPr="00465302">
        <w:rPr>
          <w:rFonts w:eastAsia="Times New Roman" w:cs="Times New Roman"/>
          <w:noProof/>
          <w:color w:val="000000"/>
          <w:szCs w:val="24"/>
        </w:rPr>
        <w:t>(Isogai, Horiguchi and Weinstein, 2001)</w:t>
      </w:r>
      <w:r w:rsidR="00CD0BB9" w:rsidRPr="00465302">
        <w:rPr>
          <w:rFonts w:eastAsia="Times New Roman" w:cs="Times New Roman"/>
          <w:color w:val="000000"/>
          <w:szCs w:val="24"/>
        </w:rPr>
        <w:fldChar w:fldCharType="end"/>
      </w:r>
      <w:r w:rsidR="00F547E7" w:rsidRPr="00465302">
        <w:rPr>
          <w:rFonts w:eastAsia="Times New Roman" w:cs="Times New Roman"/>
          <w:color w:val="000000"/>
          <w:szCs w:val="24"/>
        </w:rPr>
        <w:t>. Thalidomide, a drug widely prescribed to pregnant women for morning sickness approximately fifty years ago, was found to cause severe birth defects in over 80% of the babies while also increasing infant mortality</w:t>
      </w:r>
      <w:r w:rsidR="00CD0BB9" w:rsidRPr="00465302">
        <w:rPr>
          <w:rFonts w:eastAsia="Times New Roman" w:cs="Times New Roman"/>
          <w:color w:val="000000"/>
          <w:szCs w:val="24"/>
        </w:rPr>
        <w:t xml:space="preserve"> </w:t>
      </w:r>
      <w:r w:rsidR="00ED6657" w:rsidRPr="00465302">
        <w:rPr>
          <w:rFonts w:eastAsia="Times New Roman" w:cs="Times New Roman"/>
          <w:color w:val="000000"/>
          <w:szCs w:val="24"/>
        </w:rPr>
        <w:fldChar w:fldCharType="begin" w:fldLock="1"/>
      </w:r>
      <w:r w:rsidR="00ED6657" w:rsidRPr="00465302">
        <w:rPr>
          <w:rFonts w:eastAsia="Times New Roman" w:cs="Times New Roman"/>
          <w:color w:val="000000"/>
          <w:szCs w:val="24"/>
        </w:rPr>
        <w:instrText>ADDIN CSL_CITATION {"citationItems":[{"id":"ITEM-1","itemData":{"DOI":"10.1073/pnas.0901505106","ISSN":"1091-6490","abstract":"Thalidomide is a potent teratogen that induces a range of birth defects, most commonly of the developing limbs. The mechanisms underpinning the teratogenic effects of thalidomide are unclear. Here we demonstrate that loss of immature blood vessels is the primary cause of thalidomide-induced teratogenesis and provide an explanation for its action at the cell biological level. Antiangiogenic but not antiinflammatory metabolites/analogues of thalidomide induce chick limb defects. Both in vitro and in vivo, outgrowth and remodeling of more mature blood vessels is blocked temporarily, whereas newly formed, rapidly developing, angiogenic vessels are lost. Such vessel loss occurs upstream of changes in limb morphogenesis and gene expression and, depending on the timing of drug application, results in either embryonic death or developmental defects. These results explain both the timing and relative tissue specificity of thalidomide embryopathy and have significant implications for its use as a therapeutic agent.","author":[{"dropping-particle":"","family":"Therapontos","given":"Christina","non-dropping-particle":"","parse-names":false,"suffix":""},{"dropping-particle":"","family":"Erskine","given":"Lynda","non-dropping-particle":"","parse-names":false,"suffix":""},{"dropping-particle":"","family":"Gardner","given":"Erin R","non-dropping-particle":"","parse-names":false,"suffix":""},{"dropping-particle":"","family":"Figg","given":"William D","non-dropping-particle":"","parse-names":false,"suffix":""},{"dropping-particle":"","family":"Vargesson","given":"Neil","non-dropping-particle":"","parse-names":false,"suffix":""}],"container-title":"Proceedings of the National Academy of Sciences of the United States of America","edition":"2009/05/11","id":"ITEM-1","issue":"21","issued":{"date-parts":[["2009","5","26"]]},"language":"eng","page":"8573-8578","publisher":"National Academy of Sciences","title":"Thalidomide induces limb defects by preventing angiogenic outgrowth during early limb formation","type":"article-journal","volume":"106"},"uris":["http://www.mendeley.com/documents/?uuid=cd515d3b-9ae7-4747-bf85-2fe28ffaeeab"]}],"mendeley":{"formattedCitation":"(Therapontos &lt;i&gt;et al.&lt;/i&gt;, 2009)","plainTextFormattedCitation":"(Therapontos et al., 2009)","previouslyFormattedCitation":"(Therapontos &lt;i&gt;et al.&lt;/i&gt;, 2009)"},"properties":{"noteIndex":0},"schema":"https://github.com/citation-style-language/schema/raw/master/csl-citation.json"}</w:instrText>
      </w:r>
      <w:r w:rsidR="00ED6657" w:rsidRPr="00465302">
        <w:rPr>
          <w:rFonts w:eastAsia="Times New Roman" w:cs="Times New Roman"/>
          <w:color w:val="000000"/>
          <w:szCs w:val="24"/>
        </w:rPr>
        <w:fldChar w:fldCharType="separate"/>
      </w:r>
      <w:r w:rsidR="00ED6657" w:rsidRPr="00465302">
        <w:rPr>
          <w:rFonts w:eastAsia="Times New Roman" w:cs="Times New Roman"/>
          <w:noProof/>
          <w:color w:val="000000"/>
          <w:szCs w:val="24"/>
        </w:rPr>
        <w:t xml:space="preserve">(Therapontos </w:t>
      </w:r>
      <w:r w:rsidR="00ED6657" w:rsidRPr="00465302">
        <w:rPr>
          <w:rFonts w:eastAsia="Times New Roman" w:cs="Times New Roman"/>
          <w:i/>
          <w:noProof/>
          <w:color w:val="000000"/>
          <w:szCs w:val="24"/>
        </w:rPr>
        <w:t>et al.</w:t>
      </w:r>
      <w:r w:rsidR="00ED6657" w:rsidRPr="00465302">
        <w:rPr>
          <w:rFonts w:eastAsia="Times New Roman" w:cs="Times New Roman"/>
          <w:noProof/>
          <w:color w:val="000000"/>
          <w:szCs w:val="24"/>
        </w:rPr>
        <w:t>, 2009)</w:t>
      </w:r>
      <w:r w:rsidR="00ED6657" w:rsidRPr="00465302">
        <w:rPr>
          <w:rFonts w:eastAsia="Times New Roman" w:cs="Times New Roman"/>
          <w:color w:val="000000"/>
          <w:szCs w:val="24"/>
        </w:rPr>
        <w:fldChar w:fldCharType="end"/>
      </w:r>
      <w:r w:rsidR="00F547E7" w:rsidRPr="00465302">
        <w:rPr>
          <w:rFonts w:eastAsia="Times New Roman" w:cs="Times New Roman"/>
          <w:color w:val="000000"/>
          <w:szCs w:val="24"/>
        </w:rPr>
        <w:t>. The birth defects caused were shortening or absence of limbs; eye, ear, and</w:t>
      </w:r>
      <w:r w:rsidR="00A26D09">
        <w:rPr>
          <w:rFonts w:eastAsia="Times New Roman" w:cs="Times New Roman"/>
          <w:color w:val="000000"/>
          <w:szCs w:val="24"/>
        </w:rPr>
        <w:t xml:space="preserve"> </w:t>
      </w:r>
      <w:r w:rsidR="00F547E7" w:rsidRPr="00465302">
        <w:rPr>
          <w:rFonts w:eastAsia="Times New Roman" w:cs="Times New Roman"/>
          <w:color w:val="000000"/>
          <w:szCs w:val="24"/>
        </w:rPr>
        <w:t>facial damage; and malformations of internal organs. Thalidomide was later found to be anti-angiogenic</w:t>
      </w:r>
      <w:r w:rsidR="00ED6657" w:rsidRPr="00465302">
        <w:rPr>
          <w:rFonts w:eastAsia="Times New Roman" w:cs="Times New Roman"/>
          <w:color w:val="000000"/>
          <w:szCs w:val="24"/>
        </w:rPr>
        <w:t xml:space="preserve"> </w:t>
      </w:r>
      <w:r w:rsidR="00ED6657" w:rsidRPr="00465302">
        <w:rPr>
          <w:rFonts w:eastAsia="Times New Roman" w:cs="Times New Roman"/>
          <w:color w:val="000000"/>
          <w:szCs w:val="24"/>
        </w:rPr>
        <w:fldChar w:fldCharType="begin" w:fldLock="1"/>
      </w:r>
      <w:r w:rsidR="00ED6657" w:rsidRPr="00465302">
        <w:rPr>
          <w:rFonts w:eastAsia="Times New Roman" w:cs="Times New Roman"/>
          <w:color w:val="000000"/>
          <w:szCs w:val="24"/>
        </w:rPr>
        <w:instrText>ADDIN CSL_CITATION {"citationItems":[{"id":"ITEM-1","itemData":{"DOI":"10.1073/pnas.0901505106","ISSN":"1091-6490","abstract":"Thalidomide is a potent teratogen that induces a range of birth defects, most commonly of the developing limbs. The mechanisms underpinning the teratogenic effects of thalidomide are unclear. Here we demonstrate that loss of immature blood vessels is the primary cause of thalidomide-induced teratogenesis and provide an explanation for its action at the cell biological level. Antiangiogenic but not antiinflammatory metabolites/analogues of thalidomide induce chick limb defects. Both in vitro and in vivo, outgrowth and remodeling of more mature blood vessels is blocked temporarily, whereas newly formed, rapidly developing, angiogenic vessels are lost. Such vessel loss occurs upstream of changes in limb morphogenesis and gene expression and, depending on the timing of drug application, results in either embryonic death or developmental defects. These results explain both the timing and relative tissue specificity of thalidomide embryopathy and have significant implications for its use as a therapeutic agent.","author":[{"dropping-particle":"","family":"Therapontos","given":"Christina","non-dropping-particle":"","parse-names":false,"suffix":""},{"dropping-particle":"","family":"Erskine","given":"Lynda","non-dropping-particle":"","parse-names":false,"suffix":""},{"dropping-particle":"","family":"Gardner","given":"Erin R","non-dropping-particle":"","parse-names":false,"suffix":""},{"dropping-particle":"","family":"Figg","given":"William D","non-dropping-particle":"","parse-names":false,"suffix":""},{"dropping-particle":"","family":"Vargesson","given":"Neil","non-dropping-particle":"","parse-names":false,"suffix":""}],"container-title":"Proceedings of the National Academy of Sciences of the United States of America","edition":"2009/05/11","id":"ITEM-1","issue":"21","issued":{"date-parts":[["2009","5","26"]]},"language":"eng","page":"8573-8578","publisher":"National Academy of Sciences","title":"Thalidomide induces limb defects by preventing angiogenic outgrowth during early limb formation","type":"article-journal","volume":"106"},"uris":["http://www.mendeley.com/documents/?uuid=cd515d3b-9ae7-4747-bf85-2fe28ffaeeab"]}],"mendeley":{"formattedCitation":"(Therapontos &lt;i&gt;et al.&lt;/i&gt;, 2009)","plainTextFormattedCitation":"(Therapontos et al., 2009)","previouslyFormattedCitation":"(Therapontos &lt;i&gt;et al.&lt;/i&gt;, 2009)"},"properties":{"noteIndex":0},"schema":"https://github.com/citation-style-language/schema/raw/master/csl-citation.json"}</w:instrText>
      </w:r>
      <w:r w:rsidR="00ED6657" w:rsidRPr="00465302">
        <w:rPr>
          <w:rFonts w:eastAsia="Times New Roman" w:cs="Times New Roman"/>
          <w:color w:val="000000"/>
          <w:szCs w:val="24"/>
        </w:rPr>
        <w:fldChar w:fldCharType="separate"/>
      </w:r>
      <w:r w:rsidR="00ED6657" w:rsidRPr="00465302">
        <w:rPr>
          <w:rFonts w:eastAsia="Times New Roman" w:cs="Times New Roman"/>
          <w:noProof/>
          <w:color w:val="000000"/>
          <w:szCs w:val="24"/>
        </w:rPr>
        <w:t xml:space="preserve">(Therapontos </w:t>
      </w:r>
      <w:r w:rsidR="00ED6657" w:rsidRPr="00465302">
        <w:rPr>
          <w:rFonts w:eastAsia="Times New Roman" w:cs="Times New Roman"/>
          <w:i/>
          <w:noProof/>
          <w:color w:val="000000"/>
          <w:szCs w:val="24"/>
        </w:rPr>
        <w:t>et al.</w:t>
      </w:r>
      <w:r w:rsidR="00ED6657" w:rsidRPr="00465302">
        <w:rPr>
          <w:rFonts w:eastAsia="Times New Roman" w:cs="Times New Roman"/>
          <w:noProof/>
          <w:color w:val="000000"/>
          <w:szCs w:val="24"/>
        </w:rPr>
        <w:t>, 2009)</w:t>
      </w:r>
      <w:r w:rsidR="00ED6657" w:rsidRPr="00465302">
        <w:rPr>
          <w:rFonts w:eastAsia="Times New Roman" w:cs="Times New Roman"/>
          <w:color w:val="000000"/>
          <w:szCs w:val="24"/>
        </w:rPr>
        <w:fldChar w:fldCharType="end"/>
      </w:r>
      <w:r w:rsidR="00F547E7" w:rsidRPr="00465302">
        <w:rPr>
          <w:rFonts w:eastAsia="Times New Roman" w:cs="Times New Roman"/>
          <w:color w:val="000000"/>
          <w:szCs w:val="24"/>
        </w:rPr>
        <w:t>. The specific teratogenic birth defects caused by thalidomide demonstrated the wide range of phenotypic malformations caused by vascular disruption and highlighted the importance of identifying vascular disruption compounds (VDCs) to protect unborn babies from exposure.</w:t>
      </w:r>
    </w:p>
    <w:p w14:paraId="680C63B9" w14:textId="64E6233C" w:rsidR="006B7F04" w:rsidRPr="00465302" w:rsidRDefault="006B7F04" w:rsidP="00317481">
      <w:pPr>
        <w:pStyle w:val="Heading3"/>
      </w:pPr>
      <w:bookmarkStart w:id="46" w:name="_Toc34376890"/>
      <w:bookmarkStart w:id="47" w:name="_Toc39502052"/>
      <w:bookmarkStart w:id="48" w:name="_Hlk35087339"/>
      <w:r w:rsidRPr="00465302">
        <w:t xml:space="preserve">3.1.1 Vascular </w:t>
      </w:r>
      <w:r w:rsidR="00E13268" w:rsidRPr="00465302">
        <w:t>S</w:t>
      </w:r>
      <w:r w:rsidRPr="00465302">
        <w:t xml:space="preserve">ystem </w:t>
      </w:r>
      <w:r w:rsidR="00E13268" w:rsidRPr="00465302">
        <w:t>D</w:t>
      </w:r>
      <w:r w:rsidRPr="00465302">
        <w:t xml:space="preserve">evelopment in </w:t>
      </w:r>
      <w:r w:rsidR="00E13268" w:rsidRPr="00465302">
        <w:t>Z</w:t>
      </w:r>
      <w:r w:rsidRPr="00465302">
        <w:t>ebrafish</w:t>
      </w:r>
      <w:bookmarkEnd w:id="46"/>
      <w:bookmarkEnd w:id="47"/>
    </w:p>
    <w:p w14:paraId="6AEA2247" w14:textId="42590E85" w:rsidR="00F547E7" w:rsidRPr="00465302" w:rsidRDefault="00F547E7" w:rsidP="00242745">
      <w:pPr>
        <w:spacing w:before="0" w:line="480" w:lineRule="auto"/>
        <w:jc w:val="both"/>
        <w:rPr>
          <w:rFonts w:cs="Times New Roman"/>
          <w:szCs w:val="24"/>
        </w:rPr>
      </w:pPr>
      <w:r w:rsidRPr="00465302">
        <w:rPr>
          <w:rFonts w:cs="Times New Roman"/>
          <w:szCs w:val="24"/>
        </w:rPr>
        <w:t>The zebrafish has a closed vascular circulatory system just as is seen in higher vertebrates</w:t>
      </w:r>
      <w:r w:rsidR="00ED6657" w:rsidRPr="00465302">
        <w:rPr>
          <w:rFonts w:cs="Times New Roman"/>
          <w:szCs w:val="24"/>
        </w:rPr>
        <w:t xml:space="preserve"> </w:t>
      </w:r>
      <w:r w:rsidR="00ED6657" w:rsidRPr="00465302">
        <w:rPr>
          <w:rFonts w:cs="Times New Roman"/>
          <w:szCs w:val="24"/>
        </w:rPr>
        <w:fldChar w:fldCharType="begin" w:fldLock="1"/>
      </w:r>
      <w:r w:rsidR="00ED6657" w:rsidRPr="00465302">
        <w:rPr>
          <w:rFonts w:cs="Times New Roman"/>
          <w:szCs w:val="24"/>
        </w:rPr>
        <w:instrText>ADDIN CSL_CITATION {"citationItems":[{"id":"ITEM-1","itemData":{"DOI":"10.1101/cshperspect.a006684","ISSN":"2157-1422","abstract":"The zebrafish has emerged as an excellent vertebrate model system for studying blood and lymphatic vascular development. The small size, external and rapid development, and optical transparency of zebrafish embryos are some of the advantages the zebrafish model system offers. Multiple well-established techniques have been developed for imaging and functionally manipulating vascular tissues in zebrafish embryos, expanding on and amplifying these basic advantages and accelerating use of this model system for studying vascular development. In the past decade, studies performed using zebrafish as a model system have provided many novel insights into vascular development. In this article we discuss the amenability of this model system for studying blood vessel development and review contributions made by this system to our understanding of vascular development.","author":[{"dropping-particle":"V","family":"Gore","given":"Aniket","non-dropping-particle":"","parse-names":false,"suffix":""},{"dropping-particle":"","family":"Monzo","given":"Kathryn","non-dropping-particle":"","parse-names":false,"suffix":""},{"dropping-particle":"","family":"Cha","given":"Young R","non-dropping-particle":"","parse-names":false,"suffix":""},{"dropping-particle":"","family":"Pan","given":"Weijun","non-dropping-particle":"","parse-names":false,"suffix":""},{"dropping-particle":"","family":"Weinstein","given":"Brant M","non-dropping-particle":"","parse-names":false,"suffix":""}],"container-title":"Cold Spring Harbor perspectives in medicine","id":"ITEM-1","issue":"5","issued":{"date-parts":[["2012","5"]]},"language":"eng","page":"a006684-a006684","publisher":"Cold Spring Harbor Laboratory Press","title":"Vascular development in the zebrafish","type":"article-journal","volume":"2"},"uris":["http://www.mendeley.com/documents/?uuid=bd851a62-937f-4905-95aa-bb77654b599e"]}],"mendeley":{"formattedCitation":"(Gore &lt;i&gt;et al.&lt;/i&gt;, 2012)","plainTextFormattedCitation":"(Gore et al., 2012)","previouslyFormattedCitation":"(Gore &lt;i&gt;et al.&lt;/i&gt;, 2012)"},"properties":{"noteIndex":0},"schema":"https://github.com/citation-style-language/schema/raw/master/csl-citation.json"}</w:instrText>
      </w:r>
      <w:r w:rsidR="00ED6657" w:rsidRPr="00465302">
        <w:rPr>
          <w:rFonts w:cs="Times New Roman"/>
          <w:szCs w:val="24"/>
        </w:rPr>
        <w:fldChar w:fldCharType="separate"/>
      </w:r>
      <w:r w:rsidR="00ED6657" w:rsidRPr="00465302">
        <w:rPr>
          <w:rFonts w:cs="Times New Roman"/>
          <w:noProof/>
          <w:szCs w:val="24"/>
        </w:rPr>
        <w:t xml:space="preserve">(Gore </w:t>
      </w:r>
      <w:r w:rsidR="00ED6657" w:rsidRPr="00465302">
        <w:rPr>
          <w:rFonts w:cs="Times New Roman"/>
          <w:i/>
          <w:noProof/>
          <w:szCs w:val="24"/>
        </w:rPr>
        <w:t>et al.</w:t>
      </w:r>
      <w:r w:rsidR="00ED6657" w:rsidRPr="00465302">
        <w:rPr>
          <w:rFonts w:cs="Times New Roman"/>
          <w:noProof/>
          <w:szCs w:val="24"/>
        </w:rPr>
        <w:t>, 2012)</w:t>
      </w:r>
      <w:r w:rsidR="00ED6657" w:rsidRPr="00465302">
        <w:rPr>
          <w:rFonts w:cs="Times New Roman"/>
          <w:szCs w:val="24"/>
        </w:rPr>
        <w:fldChar w:fldCharType="end"/>
      </w:r>
      <w:r w:rsidRPr="00465302">
        <w:rPr>
          <w:rFonts w:cs="Times New Roman"/>
          <w:szCs w:val="24"/>
        </w:rPr>
        <w:t>. The zebrafish vasculature develops through the processes of vasculogenesis and angiogenesis. Vascular development in zebrafish begins with vasculogenesis, which is the formation of completely new blood vessels without relying on pre-existing vessels</w:t>
      </w:r>
      <w:r w:rsidR="00ED6657" w:rsidRPr="00465302">
        <w:rPr>
          <w:rFonts w:cs="Times New Roman"/>
          <w:szCs w:val="24"/>
        </w:rPr>
        <w:t xml:space="preserve"> </w:t>
      </w:r>
      <w:r w:rsidR="00ED6657" w:rsidRPr="00465302">
        <w:rPr>
          <w:rFonts w:cs="Times New Roman"/>
          <w:szCs w:val="24"/>
        </w:rPr>
        <w:fldChar w:fldCharType="begin" w:fldLock="1"/>
      </w:r>
      <w:r w:rsidR="00ED6657" w:rsidRPr="00465302">
        <w:rPr>
          <w:rFonts w:cs="Times New Roman"/>
          <w:szCs w:val="24"/>
        </w:rPr>
        <w:instrText>ADDIN CSL_CITATION {"citationItems":[{"id":"ITEM-1","itemData":{"DOI":"10.1016/j.devcel.2017.08.015","ISSN":"18781551","abstract":"Our vasculature plays diverse and critical roles in homeostasis and disease. In recent decades, the use of zebrafish has driven our understanding of vascular development into new areas, identifying new genes and mechanisms controlling vessel formation and allowing unprecedented observation of the cellular and molecular events that shape the developing vasculature. Here, we highlight key mechanisms controlling formation of the zebrafish vasculature and investigate how knowledge from this highly tractable model system has informed our understanding of vascular disease in humans. Hogan and Schulte-Merker present a review discussing formation of the zebrafish vasculature. They highlight both the genes and mechanisms controlling vessel formation and connect this to the use of this model system for the study of vascular disease.","author":[{"dropping-particle":"","family":"Hogan","given":"Benjamin M.","non-dropping-particle":"","parse-names":false,"suffix":""},{"dropping-particle":"","family":"Schulte-Merker","given":"Stefan","non-dropping-particle":"","parse-names":false,"suffix":""}],"container-title":"Developmental Cell","id":"ITEM-1","issue":"6","issued":{"date-parts":[["2017"]]},"page":"567-583","publisher":"Elsevier","title":"How to Plumb a Pisces: Understanding Vascular Development and Disease Using Zebrafish Embryos","type":"article-journal","volume":"42"},"uris":["http://www.mendeley.com/documents/?uuid=66785479-57fc-4f07-94fa-1c8da264f66a"]},{"id":"ITEM-2","itemData":{"DOI":"10.1038/35102599","author":[{"dropping-particle":"","family":"Zhong","given":"Tao","non-dropping-particle":"","parse-names":false,"suffix":""},{"dropping-particle":"","family":"Childs","given":"Sarah","non-dropping-particle":"","parse-names":false,"suffix":""},{"dropping-particle":"","family":"Leu","given":"James","non-dropping-particle":"","parse-names":false,"suffix":""},{"dropping-particle":"","family":"Fishman","given":"Mark","non-dropping-particle":"","parse-names":false,"suffix":""}],"container-title":"Nature","id":"ITEM-2","issued":{"date-parts":[["2001","12","1"]]},"page":"216-220","title":"Gridlock Signalling Pathway Fashions the first embryonic artery","type":"article-journal","volume":"414"},"uris":["http://www.mendeley.com/documents/?uuid=2f10fbf4-bbb0-422e-8c49-a134d6898fa8"]}],"mendeley":{"formattedCitation":"(Zhong &lt;i&gt;et al.&lt;/i&gt;, 2001; Hogan and Schulte-Merker, 2017)","plainTextFormattedCitation":"(Zhong et al., 2001; Hogan and Schulte-Merker, 2017)","previouslyFormattedCitation":"(Zhong &lt;i&gt;et al.&lt;/i&gt;, 2001; Hogan and Schulte-Merker, 2017)"},"properties":{"noteIndex":0},"schema":"https://github.com/citation-style-language/schema/raw/master/csl-citation.json"}</w:instrText>
      </w:r>
      <w:r w:rsidR="00ED6657" w:rsidRPr="00465302">
        <w:rPr>
          <w:rFonts w:cs="Times New Roman"/>
          <w:szCs w:val="24"/>
        </w:rPr>
        <w:fldChar w:fldCharType="separate"/>
      </w:r>
      <w:r w:rsidR="00ED6657" w:rsidRPr="00465302">
        <w:rPr>
          <w:rFonts w:cs="Times New Roman"/>
          <w:noProof/>
          <w:szCs w:val="24"/>
        </w:rPr>
        <w:t xml:space="preserve">(Zhong </w:t>
      </w:r>
      <w:r w:rsidR="00ED6657" w:rsidRPr="00465302">
        <w:rPr>
          <w:rFonts w:cs="Times New Roman"/>
          <w:i/>
          <w:noProof/>
          <w:szCs w:val="24"/>
        </w:rPr>
        <w:t>et al.</w:t>
      </w:r>
      <w:r w:rsidR="00ED6657" w:rsidRPr="00465302">
        <w:rPr>
          <w:rFonts w:cs="Times New Roman"/>
          <w:noProof/>
          <w:szCs w:val="24"/>
        </w:rPr>
        <w:t>, 2001; Hogan and Schulte-Merker, 2017)</w:t>
      </w:r>
      <w:r w:rsidR="00ED6657" w:rsidRPr="00465302">
        <w:rPr>
          <w:rFonts w:cs="Times New Roman"/>
          <w:szCs w:val="24"/>
        </w:rPr>
        <w:fldChar w:fldCharType="end"/>
      </w:r>
      <w:r w:rsidRPr="00465302">
        <w:rPr>
          <w:rFonts w:cs="Times New Roman"/>
          <w:szCs w:val="24"/>
        </w:rPr>
        <w:t>. This process begins at approximat</w:t>
      </w:r>
      <w:r w:rsidR="005B4CA9">
        <w:rPr>
          <w:rFonts w:cs="Times New Roman"/>
          <w:szCs w:val="24"/>
        </w:rPr>
        <w:t>ely</w:t>
      </w:r>
      <w:r w:rsidRPr="00465302">
        <w:rPr>
          <w:rFonts w:cs="Times New Roman"/>
          <w:szCs w:val="24"/>
        </w:rPr>
        <w:t xml:space="preserve"> 12 hpf when the angioblasts (endothelial precursor cells) are specified in the lateral plate mesoderm and start migrating to the midline</w:t>
      </w:r>
      <w:r w:rsidR="00ED6657" w:rsidRPr="00465302">
        <w:rPr>
          <w:rFonts w:cs="Times New Roman"/>
          <w:szCs w:val="24"/>
        </w:rPr>
        <w:t xml:space="preserve"> </w:t>
      </w:r>
      <w:r w:rsidR="00ED6657" w:rsidRPr="00465302">
        <w:rPr>
          <w:rFonts w:cs="Times New Roman"/>
          <w:szCs w:val="24"/>
        </w:rPr>
        <w:fldChar w:fldCharType="begin" w:fldLock="1"/>
      </w:r>
      <w:r w:rsidR="00ED6657" w:rsidRPr="00465302">
        <w:rPr>
          <w:rFonts w:cs="Times New Roman"/>
          <w:szCs w:val="24"/>
        </w:rPr>
        <w:instrText>ADDIN CSL_CITATION {"citationItems":[{"id":"ITEM-1","itemData":{"DOI":"10.1006/DBIO.1996.8495","ISSN":"0012-1606","abstract":"We have cloned the zebrafish homolog of the receptor tyrosine kinaseflk-1to provide us with a tool to study normal vascular pattern formation in the developing zebrafish embryo and to compare it to mutants in which vascular pattern is perturbed. We find that during normal development the first angioblasts arise laterally in the mesoderm and then migrate medially to form the primordia of the large axial vessels, the dorsal aorta (axial artery) and the axial vein. Lumen formation occurs shortly before onset of circulation at 24 hr postfertilization. We examined the specification of vascular progenitors in the mutantcloche,which fails to form both vessels and blood.clochelacks allflk-expressing cells and therefore appears to lack angioblasts. The axial vessels of the trunk form in close proximity to notochord and endoderm, which may provide cues for their formation. The dorsal aorta is normally just ventral to the notochord; the axial vein is just below the dorsal aorta and above the endoderm.floating head (flh)andno tail (ntl)mutants both have defects in the formation of notochord. Both are cell-autonomous lesions,flhabolishing notochord andntlpreventing its differentiation. In both mutants the dorsal aorta fails to form, while formation of the axial vein is less affected. Mosaic analysis of mutant embryos shows that transplanted wild-type cells can become notochord in mutantflhembryos. In these mosaic embryosflhcells expressingflkassemble at the midline, beneath the wild-type notochord, and form an aortic primordium. This suggests that signals from the notochord may guide angioblasts in the fashioning of the dorsal aorta. The notochord seems to be less important for the formation of the vein.","author":[{"dropping-particle":"","family":"Fouquet","given":"Bernadette","non-dropping-particle":"","parse-names":false,"suffix":""},{"dropping-particle":"","family":"Weinstein","given":"Brant M.","non-dropping-particle":"","parse-names":false,"suffix":""},{"dropping-particle":"","family":"Serluca","given":"Fabrizio C.","non-dropping-particle":"","parse-names":false,"suffix":""},{"dropping-particle":"","family":"Fishman","given":"Mark C.","non-dropping-particle":"","parse-names":false,"suffix":""}],"container-title":"Developmental Biology","id":"ITEM-1","issue":"1","issued":{"date-parts":[["1997","3","1"]]},"page":"37-48","publisher":"Academic Press","title":"Vessel Patterning in the Embryo of the Zebrafish: Guidance by Notochord","type":"article-journal","volume":"183"},"uris":["http://www.mendeley.com/documents/?uuid=c4b01688-291b-3a71-b8a8-c43e0158b43e"]},{"id":"ITEM-2","itemData":{"abstract":"We have analyzed lineages of cells labeled by intracellular injection of tracer dye during early zebrafish development to learn when cells become allocated to particular fates during development, and how the fate map is organized. The earliest lineage restriction was described previously, and segregates the yolk cell from the blastoderm in the midblastula. After one or two more cell divisions, the lineages of epithelial enveloping layer (EVL) cells become restricted to generate exclusively periderm. Following an additional division in the late blastula, deep layer (DEL) cells generate clones that are restricted to single deep embryonic tissues. The appearance of both the EVL and DEL restrictions could be causally linked to blastoderm morphogenesis during epiboly. A fate map emerges as the DEL cell lineages become restricted in the late blastula. It is similar in organization to that of an amphibian embryo. DEL cells located near the animal pole of the early gastrula give rise to ectodermal fates (including the definitive epidermis). Cells located near the blastoderm margin give rise to mesodermal and endodermal fates. Dorsal cells in the gastrula form dorsal and anterior structures in the embryo, and ventral cells in the gastrula form dorsal, ventral and posterior structures. The exact locations of progenitors of single cell types and of local regions of the embryo cannot be mapped at the stages we examined, because of variable cell rearrangements during gastrulation.","author":[{"dropping-particle":"","family":"Kimmel","given":"C B","non-dropping-particle":"","parse-names":false,"suffix":""},{"dropping-particle":"","family":"Warga","given":"R M","non-dropping-particle":"","parse-names":false,"suffix":""},{"dropping-particle":"","family":"Schilling","given":"T F","non-dropping-particle":"","parse-names":false,"suffix":""}],"container-title":"Development","id":"ITEM-2","issue":"4","issued":{"date-parts":[["1990","4","1"]]},"page":"581 LP  - 594","title":"Origin and organization of the zebrafish fate map","type":"article-journal","volume":"108"},"uris":["http://www.mendeley.com/documents/?uuid=998744bd-a623-405d-9a78-eac09cb396dc"]},{"id":"ITEM-3","itemData":{"DOI":"10.1038/35102599","author":[{"dropping-particle":"","family":"Zhong","given":"Tao","non-dropping-particle":"","parse-names":false,"suffix":""},{"dropping-particle":"","family":"Childs","given":"Sarah","non-dropping-particle":"","parse-names":false,"suffix":""},{"dropping-particle":"","family":"Leu","given":"James","non-dropping-particle":"","parse-names":false,"suffix":""},{"dropping-particle":"","family":"Fishman","given":"Mark","non-dropping-particle":"","parse-names":false,"suffix":""}],"container-title":"Nature","id":"ITEM-3","issued":{"date-parts":[["2001","12","1"]]},"page":"216-220","title":"Gridlock Signalling Pathway Fashions the first embryonic artery","type":"article-journal","volume":"414"},"uris":["http://www.mendeley.com/documents/?uuid=2f10fbf4-bbb0-422e-8c49-a134d6898fa8"]}],"mendeley":{"formattedCitation":"(Kimmel, Warga and Schilling, 1990; Fouquet &lt;i&gt;et al.&lt;/i&gt;, 1997; Zhong &lt;i&gt;et al.&lt;/i&gt;, 2001)","plainTextFormattedCitation":"(Kimmel, Warga and Schilling, 1990; Fouquet et al., 1997; Zhong et al., 2001)","previouslyFormattedCitation":"(Kimmel, Warga and Schilling, 1990; Fouquet &lt;i&gt;et al.&lt;/i&gt;, 1997; Zhong &lt;i&gt;et al.&lt;/i&gt;, 2001)"},"properties":{"noteIndex":0},"schema":"https://github.com/citation-style-language/schema/raw/master/csl-citation.json"}</w:instrText>
      </w:r>
      <w:r w:rsidR="00ED6657" w:rsidRPr="00465302">
        <w:rPr>
          <w:rFonts w:cs="Times New Roman"/>
          <w:szCs w:val="24"/>
        </w:rPr>
        <w:fldChar w:fldCharType="separate"/>
      </w:r>
      <w:r w:rsidR="00ED6657" w:rsidRPr="00465302">
        <w:rPr>
          <w:rFonts w:cs="Times New Roman"/>
          <w:noProof/>
          <w:szCs w:val="24"/>
        </w:rPr>
        <w:t xml:space="preserve">(Kimmel, Warga and Schilling, 1990; Fouquet </w:t>
      </w:r>
      <w:r w:rsidR="00ED6657" w:rsidRPr="00465302">
        <w:rPr>
          <w:rFonts w:cs="Times New Roman"/>
          <w:i/>
          <w:noProof/>
          <w:szCs w:val="24"/>
        </w:rPr>
        <w:t>et al.</w:t>
      </w:r>
      <w:r w:rsidR="00ED6657" w:rsidRPr="00465302">
        <w:rPr>
          <w:rFonts w:cs="Times New Roman"/>
          <w:noProof/>
          <w:szCs w:val="24"/>
        </w:rPr>
        <w:t xml:space="preserve">, 1997; Zhong </w:t>
      </w:r>
      <w:r w:rsidR="00ED6657" w:rsidRPr="00465302">
        <w:rPr>
          <w:rFonts w:cs="Times New Roman"/>
          <w:i/>
          <w:noProof/>
          <w:szCs w:val="24"/>
        </w:rPr>
        <w:t>et al.</w:t>
      </w:r>
      <w:r w:rsidR="00ED6657" w:rsidRPr="00465302">
        <w:rPr>
          <w:rFonts w:cs="Times New Roman"/>
          <w:noProof/>
          <w:szCs w:val="24"/>
        </w:rPr>
        <w:t>, 2001)</w:t>
      </w:r>
      <w:r w:rsidR="00ED6657" w:rsidRPr="00465302">
        <w:rPr>
          <w:rFonts w:cs="Times New Roman"/>
          <w:szCs w:val="24"/>
        </w:rPr>
        <w:fldChar w:fldCharType="end"/>
      </w:r>
      <w:r w:rsidRPr="00465302">
        <w:rPr>
          <w:rFonts w:cs="Times New Roman"/>
          <w:szCs w:val="24"/>
        </w:rPr>
        <w:t>. By 14-15 hpf, these migrating angioblasts start to reach the midline and express endothelial cell markers. By 22 hpf, they give rise to two major blood vessels; the dorsal aorta (DA) and posterior cardinal vein (PCV) along the ventral midline (</w:t>
      </w:r>
      <w:r w:rsidRPr="00465302">
        <w:rPr>
          <w:rStyle w:val="Strong"/>
          <w:rFonts w:cs="Times New Roman"/>
        </w:rPr>
        <w:t>Figure 3.1</w:t>
      </w:r>
      <w:r w:rsidRPr="00465302">
        <w:rPr>
          <w:rFonts w:cs="Times New Roman"/>
          <w:szCs w:val="24"/>
        </w:rPr>
        <w:t>)</w:t>
      </w:r>
      <w:r w:rsidR="00ED6657" w:rsidRPr="00465302">
        <w:rPr>
          <w:rFonts w:cs="Times New Roman"/>
          <w:szCs w:val="24"/>
        </w:rPr>
        <w:t xml:space="preserve"> </w:t>
      </w:r>
      <w:r w:rsidR="00ED6657" w:rsidRPr="00465302">
        <w:rPr>
          <w:rFonts w:cs="Times New Roman"/>
          <w:szCs w:val="24"/>
        </w:rPr>
        <w:fldChar w:fldCharType="begin" w:fldLock="1"/>
      </w:r>
      <w:r w:rsidR="00ED6657" w:rsidRPr="00465302">
        <w:rPr>
          <w:rFonts w:cs="Times New Roman"/>
          <w:szCs w:val="24"/>
        </w:rPr>
        <w:instrText>ADDIN CSL_CITATION {"citationItems":[{"id":"ITEM-1","itemData":{"DOI":"10.1016/B978-0-12-386930-2.00005-7","ISBN":"9780123869302","ISSN":"18771173","abstract":"The zebrafish has recently emerged as an important animal model to study the formation of the vertebrate vascular network. The small size, optical translucency, and genetic tractability of the zebrafish embryo, in combination with an abundance of fluorescent transgenic lines which permit direct visualization of in vivo vessel formation, have greatly advanced our understanding of vascular biology. Widespread adoption of this powerful system has led to many important discoveries in relation to the mechanisms that underlie blood vessel formation. This review highlights the contribution of the zebrafish system to the current understanding of blood vessel formation and the use of zebrafish to model human vascular disease. © 2014 Elsevier Inc.","author":[{"dropping-particle":"","family":"Wilkinson","given":"Robert N.","non-dropping-particle":"","parse-names":false,"suffix":""},{"dropping-particle":"","family":"Eeden","given":"Fredericus J.M.","non-dropping-particle":"Van","parse-names":false,"suffix":""}],"container-title":"Progress in Molecular Biology and Translational Science","edition":"1","id":"ITEM-1","issued":{"date-parts":[["2014"]]},"number-of-pages":"93-122","publisher":"Elsevier Inc.","title":"The zebrafish as a model of vascular development and disease","type":"book","volume":"124"},"uris":["http://www.mendeley.com/documents/?uuid=dc156427-39c7-4b00-8ac1-c07d5b7ccdd3"]}],"mendeley":{"formattedCitation":"(Wilkinson and Van Eeden, 2014)","plainTextFormattedCitation":"(Wilkinson and Van Eeden, 2014)","previouslyFormattedCitation":"(Wilkinson and Van Eeden, 2014)"},"properties":{"noteIndex":0},"schema":"https://github.com/citation-style-language/schema/raw/master/csl-citation.json"}</w:instrText>
      </w:r>
      <w:r w:rsidR="00ED6657" w:rsidRPr="00465302">
        <w:rPr>
          <w:rFonts w:cs="Times New Roman"/>
          <w:szCs w:val="24"/>
        </w:rPr>
        <w:fldChar w:fldCharType="separate"/>
      </w:r>
      <w:r w:rsidR="00ED6657" w:rsidRPr="00465302">
        <w:rPr>
          <w:rFonts w:cs="Times New Roman"/>
          <w:noProof/>
          <w:szCs w:val="24"/>
        </w:rPr>
        <w:t xml:space="preserve">(Wilkinson and Van Eeden, </w:t>
      </w:r>
      <w:r w:rsidR="00ED6657" w:rsidRPr="00465302">
        <w:rPr>
          <w:rFonts w:cs="Times New Roman"/>
          <w:noProof/>
          <w:szCs w:val="24"/>
        </w:rPr>
        <w:lastRenderedPageBreak/>
        <w:t>2014)</w:t>
      </w:r>
      <w:r w:rsidR="00ED6657" w:rsidRPr="00465302">
        <w:rPr>
          <w:rFonts w:cs="Times New Roman"/>
          <w:szCs w:val="24"/>
        </w:rPr>
        <w:fldChar w:fldCharType="end"/>
      </w:r>
      <w:r w:rsidRPr="00465302">
        <w:rPr>
          <w:rFonts w:cs="Times New Roman"/>
          <w:szCs w:val="24"/>
        </w:rPr>
        <w:t>. By twenty-six hpf tubulogenesis begins allowing blood flow</w:t>
      </w:r>
      <w:r w:rsidR="00ED6657" w:rsidRPr="00465302">
        <w:rPr>
          <w:rFonts w:cs="Times New Roman"/>
          <w:szCs w:val="24"/>
        </w:rPr>
        <w:t xml:space="preserve"> </w:t>
      </w:r>
      <w:r w:rsidR="00ED6657" w:rsidRPr="00465302">
        <w:rPr>
          <w:rFonts w:cs="Times New Roman"/>
          <w:szCs w:val="24"/>
        </w:rPr>
        <w:fldChar w:fldCharType="begin" w:fldLock="1"/>
      </w:r>
      <w:r w:rsidR="00ED6657" w:rsidRPr="00465302">
        <w:rPr>
          <w:rFonts w:cs="Times New Roman"/>
          <w:szCs w:val="24"/>
        </w:rPr>
        <w:instrText>ADDIN CSL_CITATION {"citationItems":[{"id":"ITEM-1","itemData":{"DOI":"10.1016/j.devcel.2017.08.015","ISSN":"18781551","abstract":"Our vasculature plays diverse and critical roles in homeostasis and disease. In recent decades, the use of zebrafish has driven our understanding of vascular development into new areas, identifying new genes and mechanisms controlling vessel formation and allowing unprecedented observation of the cellular and molecular events that shape the developing vasculature. Here, we highlight key mechanisms controlling formation of the zebrafish vasculature and investigate how knowledge from this highly tractable model system has informed our understanding of vascular disease in humans. Hogan and Schulte-Merker present a review discussing formation of the zebrafish vasculature. They highlight both the genes and mechanisms controlling vessel formation and connect this to the use of this model system for the study of vascular disease.","author":[{"dropping-particle":"","family":"Hogan","given":"Benjamin M.","non-dropping-particle":"","parse-names":false,"suffix":""},{"dropping-particle":"","family":"Schulte-Merker","given":"Stefan","non-dropping-particle":"","parse-names":false,"suffix":""}],"container-title":"Developmental Cell","id":"ITEM-1","issue":"6","issued":{"date-parts":[["2017"]]},"page":"567-583","publisher":"Elsevier","title":"How to Plumb a Pisces: Understanding Vascular Development and Disease Using Zebrafish Embryos","type":"article-journal","volume":"42"},"uris":["http://www.mendeley.com/documents/?uuid=66785479-57fc-4f07-94fa-1c8da264f66a"]}],"mendeley":{"formattedCitation":"(Hogan and Schulte-Merker, 2017)","plainTextFormattedCitation":"(Hogan and Schulte-Merker, 2017)","previouslyFormattedCitation":"(Hogan and Schulte-Merker, 2017)"},"properties":{"noteIndex":0},"schema":"https://github.com/citation-style-language/schema/raw/master/csl-citation.json"}</w:instrText>
      </w:r>
      <w:r w:rsidR="00ED6657" w:rsidRPr="00465302">
        <w:rPr>
          <w:rFonts w:cs="Times New Roman"/>
          <w:szCs w:val="24"/>
        </w:rPr>
        <w:fldChar w:fldCharType="separate"/>
      </w:r>
      <w:r w:rsidR="00ED6657" w:rsidRPr="00465302">
        <w:rPr>
          <w:rFonts w:cs="Times New Roman"/>
          <w:noProof/>
          <w:szCs w:val="24"/>
        </w:rPr>
        <w:t>(Hogan and Schulte-Merker, 2017)</w:t>
      </w:r>
      <w:r w:rsidR="00ED6657" w:rsidRPr="00465302">
        <w:rPr>
          <w:rFonts w:cs="Times New Roman"/>
          <w:szCs w:val="24"/>
        </w:rPr>
        <w:fldChar w:fldCharType="end"/>
      </w:r>
      <w:r w:rsidRPr="00465302">
        <w:rPr>
          <w:rFonts w:cs="Times New Roman"/>
          <w:szCs w:val="24"/>
        </w:rPr>
        <w:t>. Sprouting angiogenesis commences from the DA to give rise to intersegmental vessels (ISV) in the trunk</w:t>
      </w:r>
      <w:r w:rsidR="00ED6657" w:rsidRPr="00465302">
        <w:rPr>
          <w:rFonts w:cs="Times New Roman"/>
          <w:szCs w:val="24"/>
        </w:rPr>
        <w:t xml:space="preserve"> </w:t>
      </w:r>
      <w:r w:rsidR="00ED6657" w:rsidRPr="00465302">
        <w:rPr>
          <w:rFonts w:cs="Times New Roman"/>
          <w:szCs w:val="24"/>
        </w:rPr>
        <w:fldChar w:fldCharType="begin" w:fldLock="1"/>
      </w:r>
      <w:r w:rsidR="00ED6657" w:rsidRPr="00465302">
        <w:rPr>
          <w:rFonts w:cs="Times New Roman"/>
          <w:szCs w:val="24"/>
        </w:rPr>
        <w:instrText>ADDIN CSL_CITATION {"citationItems":[{"id":"ITEM-1","itemData":{"DOI":"10.1016/B978-0-12-416026-2.00018-2","ISBN":"9780124160262","ISSN":"0091-679X","abstract":"The study of a biological event within a live model organism has become routine through the use of fluorescent labeling of specific proteins in conjunction with laser confocal imaging. These methods allow 3D visualization of temporal events that can elucidate biological function but cannot resolve the tissue organization, extracellular and subcellular details of the tissues. Here, we present a method for correlating electron microscopy image data with the light microscopy data from the same sample volume to reveal the 3D structural information: “correlative light and volume electron microscopy.” The methods for live video confocal microscopy, fixation and embedding of the tissue for electron microscopy, the focused ion beam scanning electron microscopy method for sequentially slicing and imaging the volume of interest, and the treatment of the resulting 3D dataset are presented. The method is illustrated with data collected during the angiogenesis of blood vessels in a transgenic zebrafish embryo.","author":[{"dropping-particle":"","family":"Bushby","given":"Andrew J.","non-dropping-particle":"","parse-names":false,"suffix":""},{"dropping-particle":"","family":"Mariggi","given":"Giovanni","non-dropping-particle":"","parse-names":false,"suffix":""},{"dropping-particle":"","family":"Armer","given":"Hannah E.J.","non-dropping-particle":"","parse-names":false,"suffix":""},{"dropping-particle":"","family":"Collinson","given":"Lucy M.","non-dropping-particle":"","parse-names":false,"suffix":""}],"container-title":"Methods in Cell Biology","id":"ITEM-1","issued":{"date-parts":[["2012","1","1"]]},"page":"357-382","publisher":"Academic Press","title":"Correlative Light and Volume Electron Microscopy: Using Focused Ion Beam Scanning Electron Microscopy to Image Transient Events in Model Organisms","type":"article-journal","volume":"111"},"uris":["http://www.mendeley.com/documents/?uuid=45b6d90c-c77e-33dc-853e-106f944e76b7"]},{"id":"ITEM-2","itemData":{"DOI":"10.1016/j.devcel.2017.08.015","ISSN":"18781551","abstract":"Our vasculature plays diverse and critical roles in homeostasis and disease. In recent decades, the use of zebrafish has driven our understanding of vascular development into new areas, identifying new genes and mechanisms controlling vessel formation and allowing unprecedented observation of the cellular and molecular events that shape the developing vasculature. Here, we highlight key mechanisms controlling formation of the zebrafish vasculature and investigate how knowledge from this highly tractable model system has informed our understanding of vascular disease in humans. Hogan and Schulte-Merker present a review discussing formation of the zebrafish vasculature. They highlight both the genes and mechanisms controlling vessel formation and connect this to the use of this model system for the study of vascular disease.","author":[{"dropping-particle":"","family":"Hogan","given":"Benjamin M.","non-dropping-particle":"","parse-names":false,"suffix":""},{"dropping-particle":"","family":"Schulte-Merker","given":"Stefan","non-dropping-particle":"","parse-names":false,"suffix":""}],"container-title":"Developmental Cell","id":"ITEM-2","issue":"6","issued":{"date-parts":[["2017"]]},"page":"567-583","publisher":"Elsevier","title":"How to Plumb a Pisces: Understanding Vascular Development and Disease Using Zebrafish Embryos","type":"article-journal","volume":"42"},"uris":["http://www.mendeley.com/documents/?uuid=66785479-57fc-4f07-94fa-1c8da264f66a"]}],"mendeley":{"formattedCitation":"(Bushby &lt;i&gt;et al.&lt;/i&gt;, 2012; Hogan and Schulte-Merker, 2017)","plainTextFormattedCitation":"(Bushby et al., 2012; Hogan and Schulte-Merker, 2017)","previouslyFormattedCitation":"(Bushby &lt;i&gt;et al.&lt;/i&gt;, 2012; Hogan and Schulte-Merker, 2017)"},"properties":{"noteIndex":0},"schema":"https://github.com/citation-style-language/schema/raw/master/csl-citation.json"}</w:instrText>
      </w:r>
      <w:r w:rsidR="00ED6657" w:rsidRPr="00465302">
        <w:rPr>
          <w:rFonts w:cs="Times New Roman"/>
          <w:szCs w:val="24"/>
        </w:rPr>
        <w:fldChar w:fldCharType="separate"/>
      </w:r>
      <w:r w:rsidR="00ED6657" w:rsidRPr="00465302">
        <w:rPr>
          <w:rFonts w:cs="Times New Roman"/>
          <w:noProof/>
          <w:szCs w:val="24"/>
        </w:rPr>
        <w:t xml:space="preserve">(Bushby </w:t>
      </w:r>
      <w:r w:rsidR="00ED6657" w:rsidRPr="00465302">
        <w:rPr>
          <w:rFonts w:cs="Times New Roman"/>
          <w:i/>
          <w:noProof/>
          <w:szCs w:val="24"/>
        </w:rPr>
        <w:t>et al.</w:t>
      </w:r>
      <w:r w:rsidR="00ED6657" w:rsidRPr="00465302">
        <w:rPr>
          <w:rFonts w:cs="Times New Roman"/>
          <w:noProof/>
          <w:szCs w:val="24"/>
        </w:rPr>
        <w:t>, 2012; Hogan and Schulte-Merker, 2017)</w:t>
      </w:r>
      <w:r w:rsidR="00ED6657" w:rsidRPr="00465302">
        <w:rPr>
          <w:rFonts w:cs="Times New Roman"/>
          <w:szCs w:val="24"/>
        </w:rPr>
        <w:fldChar w:fldCharType="end"/>
      </w:r>
      <w:r w:rsidRPr="00465302">
        <w:rPr>
          <w:rFonts w:cs="Times New Roman"/>
          <w:szCs w:val="24"/>
        </w:rPr>
        <w:t>. ISV’s elongate and migrate dorsally between the vertical somite boundaries and are recognizable by 28 hpf</w:t>
      </w:r>
      <w:r w:rsidR="00ED6657" w:rsidRPr="00465302">
        <w:rPr>
          <w:rFonts w:cs="Times New Roman"/>
          <w:szCs w:val="24"/>
        </w:rPr>
        <w:t xml:space="preserve"> </w:t>
      </w:r>
      <w:r w:rsidR="00ED6657" w:rsidRPr="00465302">
        <w:rPr>
          <w:rFonts w:cs="Times New Roman"/>
          <w:szCs w:val="24"/>
        </w:rPr>
        <w:fldChar w:fldCharType="begin" w:fldLock="1"/>
      </w:r>
      <w:r w:rsidR="00ED6657" w:rsidRPr="00465302">
        <w:rPr>
          <w:rFonts w:cs="Times New Roman"/>
          <w:szCs w:val="24"/>
        </w:rPr>
        <w:instrText>ADDIN CSL_CITATION {"citationItems":[{"id":"ITEM-1","itemData":{"DOI":"10.1016/j.devcel.2017.08.015","ISSN":"18781551","abstract":"Our vasculature plays diverse and critical roles in homeostasis and disease. In recent decades, the use of zebrafish has driven our understanding of vascular development into new areas, identifying new genes and mechanisms controlling vessel formation and allowing unprecedented observation of the cellular and molecular events that shape the developing vasculature. Here, we highlight key mechanisms controlling formation of the zebrafish vasculature and investigate how knowledge from this highly tractable model system has informed our understanding of vascular disease in humans. Hogan and Schulte-Merker present a review discussing formation of the zebrafish vasculature. They highlight both the genes and mechanisms controlling vessel formation and connect this to the use of this model system for the study of vascular disease.","author":[{"dropping-particle":"","family":"Hogan","given":"Benjamin M.","non-dropping-particle":"","parse-names":false,"suffix":""},{"dropping-particle":"","family":"Schulte-Merker","given":"Stefan","non-dropping-particle":"","parse-names":false,"suffix":""}],"container-title":"Developmental Cell","id":"ITEM-1","issue":"6","issued":{"date-parts":[["2017"]]},"page":"567-583","publisher":"Elsevier","title":"How to Plumb a Pisces: Understanding Vascular Development and Disease Using Zebrafish Embryos","type":"article-journal","volume":"42"},"uris":["http://www.mendeley.com/documents/?uuid=66785479-57fc-4f07-94fa-1c8da264f66a"]},{"id":"ITEM-2","itemData":{"DOI":"10.1016/B978-0-12-386930-2.00005-7","ISBN":"9780123869302","ISSN":"18771173","abstract":"The zebrafish has recently emerged as an important animal model to study the formation of the vertebrate vascular network. The small size, optical translucency, and genetic tractability of the zebrafish embryo, in combination with an abundance of fluorescent transgenic lines which permit direct visualization of in vivo vessel formation, have greatly advanced our understanding of vascular biology. Widespread adoption of this powerful system has led to many important discoveries in relation to the mechanisms that underlie blood vessel formation. This review highlights the contribution of the zebrafish system to the current understanding of blood vessel formation and the use of zebrafish to model human vascular disease. © 2014 Elsevier Inc.","author":[{"dropping-particle":"","family":"Wilkinson","given":"Robert N.","non-dropping-particle":"","parse-names":false,"suffix":""},{"dropping-particle":"","family":"Eeden","given":"Fredericus J.M.","non-dropping-particle":"Van","parse-names":false,"suffix":""}],"container-title":"Progress in Molecular Biology and Translational Science","edition":"1","id":"ITEM-2","issued":{"date-parts":[["2014"]]},"number-of-pages":"93-122","publisher":"Elsevier Inc.","title":"The zebrafish as a model of vascular development and disease","type":"book","volume":"124"},"uris":["http://www.mendeley.com/documents/?uuid=dc156427-39c7-4b00-8ac1-c07d5b7ccdd3"]}],"mendeley":{"formattedCitation":"(Wilkinson and Van Eeden, 2014; Hogan and Schulte-Merker, 2017)","plainTextFormattedCitation":"(Wilkinson and Van Eeden, 2014; Hogan and Schulte-Merker, 2017)","previouslyFormattedCitation":"(Wilkinson and Van Eeden, 2014; Hogan and Schulte-Merker, 2017)"},"properties":{"noteIndex":0},"schema":"https://github.com/citation-style-language/schema/raw/master/csl-citation.json"}</w:instrText>
      </w:r>
      <w:r w:rsidR="00ED6657" w:rsidRPr="00465302">
        <w:rPr>
          <w:rFonts w:cs="Times New Roman"/>
          <w:szCs w:val="24"/>
        </w:rPr>
        <w:fldChar w:fldCharType="separate"/>
      </w:r>
      <w:r w:rsidR="00ED6657" w:rsidRPr="00465302">
        <w:rPr>
          <w:rFonts w:cs="Times New Roman"/>
          <w:noProof/>
          <w:szCs w:val="24"/>
        </w:rPr>
        <w:t>(Wilkinson and Van Eeden, 2014; Hogan and Schulte-Merker, 2017)</w:t>
      </w:r>
      <w:r w:rsidR="00ED6657" w:rsidRPr="00465302">
        <w:rPr>
          <w:rFonts w:cs="Times New Roman"/>
          <w:szCs w:val="24"/>
        </w:rPr>
        <w:fldChar w:fldCharType="end"/>
      </w:r>
      <w:r w:rsidRPr="00465302">
        <w:rPr>
          <w:rFonts w:cs="Times New Roman"/>
          <w:szCs w:val="24"/>
        </w:rPr>
        <w:t>. The ISVs connect laterally to form the dorsal longitudinal anastomosing vessels (DLAVs) just dorsally of the roof of the neural tube (</w:t>
      </w:r>
      <w:r w:rsidRPr="00465302">
        <w:rPr>
          <w:rStyle w:val="Strong"/>
        </w:rPr>
        <w:t>Figure 3.1</w:t>
      </w:r>
      <w:r w:rsidRPr="00465302">
        <w:rPr>
          <w:rFonts w:cs="Times New Roman"/>
          <w:szCs w:val="24"/>
        </w:rPr>
        <w:t>)</w:t>
      </w:r>
      <w:r w:rsidR="00ED6657" w:rsidRPr="00465302">
        <w:rPr>
          <w:rFonts w:cs="Times New Roman"/>
          <w:szCs w:val="24"/>
        </w:rPr>
        <w:t xml:space="preserve"> </w:t>
      </w:r>
      <w:r w:rsidR="00ED6657" w:rsidRPr="00465302">
        <w:rPr>
          <w:rFonts w:cs="Times New Roman"/>
          <w:szCs w:val="24"/>
        </w:rPr>
        <w:fldChar w:fldCharType="begin" w:fldLock="1"/>
      </w:r>
      <w:r w:rsidR="009F3217" w:rsidRPr="00465302">
        <w:rPr>
          <w:rFonts w:cs="Times New Roman"/>
          <w:szCs w:val="24"/>
        </w:rPr>
        <w:instrText>ADDIN CSL_CITATION {"citationItems":[{"id":"ITEM-1","itemData":{"DOI":"10.1242/jcs.108555","ISSN":"1477-9137","abstract":"Blood vessels deliver oxygen, nutrients, hormones and immunity factors throughout the body. To perform these vital functions, vascular cords branch, lumenize and interconnect. Yet, little is known about the cellular, molecular and physiological mechanisms that control how circulatory networks form and interconnect. Specifically, how circulatory networks merge by interconnecting 'in parallel' along their boundaries remains unexplored. To examine this process we studied the formation and functional maturation of the plexus that forms between the dorsal longitudinal anastomotic vessels (DLAVs) in the zebrafish. We find that the migration and proliferation of endothelial cells within the DLAVs and their segmental (Se) vessel precursors drives DLAV plexus formation. Remarkably, the presence of Se vessels containing only endothelial cells of the arterial lineage is sufficient for DLAV plexus morphogenesis, suggesting that endothelial cells from the venous lineage make a dispensable or null contribution to this process. The discovery of a circuit that integrates the inputs of circulatory flow and vascular endothelial growth factor (VEGF) signaling to modulate aortic arch angiogenesis, together with the expression of components of this circuit in the trunk vasculature, prompted us to investigate the role of these inputs and their relationship during DLAV plexus formation. We find that circulatory flow and VEGF signaling make additive contributions to DLAV plexus morphogenesis, rather than acting as essential inputs with equivalent contributions as they do during aortic arch angiogenesis. Our observations underscore the existence of context-dependent differences in the integration of physiological stimuli and signaling cascades during vascular development.","author":[{"dropping-particle":"","family":"Zygmunt","given":"Tomasz","non-dropping-particle":"","parse-names":false,"suffix":""},{"dropping-particle":"","family":"Trzaska","given":"Sean","non-dropping-particle":"","parse-names":false,"suffix":""},{"dropping-particle":"","family":"Edelstein","given":"Laura","non-dropping-particle":"","parse-names":false,"suffix":""},{"dropping-particle":"","family":"Walls","given":"Johnathon","non-dropping-particle":"","parse-names":false,"suffix":""},{"dropping-particle":"","family":"Rajamani","given":"Saathyaki","non-dropping-particle":"","parse-names":false,"suffix":""},{"dropping-particle":"","family":"Gale","given":"Nicholas","non-dropping-particle":"","parse-names":false,"suffix":""},{"dropping-particle":"","family":"Daroles","given":"Laura","non-dropping-particle":"","parse-names":false,"suffix":""},{"dropping-particle":"","family":"Ramírez","given":"Craig","non-dropping-particle":"","parse-names":false,"suffix":""},{"dropping-particle":"","family":"Ulrich","given":"Florian","non-dropping-particle":"","parse-names":false,"suffix":""},{"dropping-particle":"","family":"Torres-Vázquez","given":"Jesús","non-dropping-particle":"","parse-names":false,"suffix":""}],"container-title":"Journal of cell science","edition":"2012/08/16","id":"ITEM-1","issue":"Pt 21","issued":{"date-parts":[["2012","11","1"]]},"language":"eng","page":"5159-5167","publisher":"The Company of Biologists","title":"'In parallel' interconnectivity of the dorsal longitudinal anastomotic vessels requires both VEGF signaling and circulatory flow","type":"article-journal","volume":"125"},"uris":["http://www.mendeley.com/documents/?uuid=0daf4b33-dcfe-4af0-8504-18bc28edf650"]}],"mendeley":{"formattedCitation":"(Zygmunt &lt;i&gt;et al.&lt;/i&gt;, 2012)","plainTextFormattedCitation":"(Zygmunt et al., 2012)","previouslyFormattedCitation":"(Zygmunt &lt;i&gt;et al.&lt;/i&gt;, 2012)"},"properties":{"noteIndex":0},"schema":"https://github.com/citation-style-language/schema/raw/master/csl-citation.json"}</w:instrText>
      </w:r>
      <w:r w:rsidR="00ED6657" w:rsidRPr="00465302">
        <w:rPr>
          <w:rFonts w:cs="Times New Roman"/>
          <w:szCs w:val="24"/>
        </w:rPr>
        <w:fldChar w:fldCharType="separate"/>
      </w:r>
      <w:r w:rsidR="00ED6657" w:rsidRPr="00465302">
        <w:rPr>
          <w:rFonts w:cs="Times New Roman"/>
          <w:noProof/>
          <w:szCs w:val="24"/>
        </w:rPr>
        <w:t xml:space="preserve">(Zygmunt </w:t>
      </w:r>
      <w:r w:rsidR="00ED6657" w:rsidRPr="00465302">
        <w:rPr>
          <w:rFonts w:cs="Times New Roman"/>
          <w:i/>
          <w:noProof/>
          <w:szCs w:val="24"/>
        </w:rPr>
        <w:t>et al.</w:t>
      </w:r>
      <w:r w:rsidR="00ED6657" w:rsidRPr="00465302">
        <w:rPr>
          <w:rFonts w:cs="Times New Roman"/>
          <w:noProof/>
          <w:szCs w:val="24"/>
        </w:rPr>
        <w:t>, 2012)</w:t>
      </w:r>
      <w:r w:rsidR="00ED6657" w:rsidRPr="00465302">
        <w:rPr>
          <w:rFonts w:cs="Times New Roman"/>
          <w:szCs w:val="24"/>
        </w:rPr>
        <w:fldChar w:fldCharType="end"/>
      </w:r>
      <w:r w:rsidRPr="00465302">
        <w:rPr>
          <w:rFonts w:cs="Times New Roman"/>
          <w:szCs w:val="24"/>
        </w:rPr>
        <w:t>. This process is completed by twenty-eight to thirty hpf</w:t>
      </w:r>
      <w:r w:rsidR="009F3217" w:rsidRPr="00465302">
        <w:rPr>
          <w:rFonts w:cs="Times New Roman"/>
          <w:szCs w:val="24"/>
        </w:rPr>
        <w:t xml:space="preserve"> </w:t>
      </w:r>
      <w:r w:rsidR="009F3217" w:rsidRPr="00465302">
        <w:rPr>
          <w:rFonts w:cs="Times New Roman"/>
          <w:szCs w:val="24"/>
        </w:rPr>
        <w:fldChar w:fldCharType="begin" w:fldLock="1"/>
      </w:r>
      <w:r w:rsidR="009F3217" w:rsidRPr="00465302">
        <w:rPr>
          <w:rFonts w:cs="Times New Roman"/>
          <w:szCs w:val="24"/>
        </w:rPr>
        <w:instrText>ADDIN CSL_CITATION {"citationItems":[{"id":"ITEM-1","itemData":{"DOI":"10.1016/j.devcel.2017.08.015","ISSN":"18781551","abstract":"Our vasculature plays diverse and critical roles in homeostasis and disease. In recent decades, the use of zebrafish has driven our understanding of vascular development into new areas, identifying new genes and mechanisms controlling vessel formation and allowing unprecedented observation of the cellular and molecular events that shape the developing vasculature. Here, we highlight key mechanisms controlling formation of the zebrafish vasculature and investigate how knowledge from this highly tractable model system has informed our understanding of vascular disease in humans. Hogan and Schulte-Merker present a review discussing formation of the zebrafish vasculature. They highlight both the genes and mechanisms controlling vessel formation and connect this to the use of this model system for the study of vascular disease.","author":[{"dropping-particle":"","family":"Hogan","given":"Benjamin M.","non-dropping-particle":"","parse-names":false,"suffix":""},{"dropping-particle":"","family":"Schulte-Merker","given":"Stefan","non-dropping-particle":"","parse-names":false,"suffix":""}],"container-title":"Developmental Cell","id":"ITEM-1","issue":"6","issued":{"date-parts":[["2017"]]},"page":"567-583","publisher":"Elsevier","title":"How to Plumb a Pisces: Understanding Vascular Development and Disease Using Zebrafish Embryos","type":"article-journal","volume":"42"},"uris":["http://www.mendeley.com/documents/?uuid=66785479-57fc-4f07-94fa-1c8da264f66a"]}],"mendeley":{"formattedCitation":"(Hogan and Schulte-Merker, 2017)","plainTextFormattedCitation":"(Hogan and Schulte-Merker, 2017)","previouslyFormattedCitation":"(Hogan and Schulte-Merker, 2017)"},"properties":{"noteIndex":0},"schema":"https://github.com/citation-style-language/schema/raw/master/csl-citation.json"}</w:instrText>
      </w:r>
      <w:r w:rsidR="009F3217" w:rsidRPr="00465302">
        <w:rPr>
          <w:rFonts w:cs="Times New Roman"/>
          <w:szCs w:val="24"/>
        </w:rPr>
        <w:fldChar w:fldCharType="separate"/>
      </w:r>
      <w:r w:rsidR="009F3217" w:rsidRPr="00465302">
        <w:rPr>
          <w:rFonts w:cs="Times New Roman"/>
          <w:noProof/>
          <w:szCs w:val="24"/>
        </w:rPr>
        <w:t>(Hogan and Schulte-Merker, 2017)</w:t>
      </w:r>
      <w:r w:rsidR="009F3217" w:rsidRPr="00465302">
        <w:rPr>
          <w:rFonts w:cs="Times New Roman"/>
          <w:szCs w:val="24"/>
        </w:rPr>
        <w:fldChar w:fldCharType="end"/>
      </w:r>
      <w:r w:rsidR="009F3217" w:rsidRPr="00465302">
        <w:rPr>
          <w:rFonts w:cs="Times New Roman"/>
          <w:szCs w:val="24"/>
        </w:rPr>
        <w:t xml:space="preserve">. </w:t>
      </w:r>
      <w:r w:rsidRPr="00465302">
        <w:rPr>
          <w:rFonts w:cs="Times New Roman"/>
          <w:szCs w:val="24"/>
        </w:rPr>
        <w:t>By two dpf, most trunk vessels become luminized and blood flow is established</w:t>
      </w:r>
      <w:r w:rsidR="009F3217" w:rsidRPr="00465302">
        <w:rPr>
          <w:rFonts w:cs="Times New Roman"/>
          <w:szCs w:val="24"/>
        </w:rPr>
        <w:t xml:space="preserve"> </w:t>
      </w:r>
      <w:r w:rsidR="009F3217" w:rsidRPr="00465302">
        <w:rPr>
          <w:rFonts w:cs="Times New Roman"/>
          <w:szCs w:val="24"/>
        </w:rPr>
        <w:fldChar w:fldCharType="begin" w:fldLock="1"/>
      </w:r>
      <w:r w:rsidR="009F3217" w:rsidRPr="00465302">
        <w:rPr>
          <w:rFonts w:cs="Times New Roman"/>
          <w:szCs w:val="24"/>
        </w:rPr>
        <w:instrText>ADDIN CSL_CITATION {"citationItems":[{"id":"ITEM-1","itemData":{"DOI":"10.1006/dbio.2000.9995","ISSN":"00121606","abstract":"We have used confocal microangiography to examine and describe the vascular anatomy of the developing zebrafish, Danio rerio. This method and the profound optical clarity of zebrafish embryos make it possible to view the entire developing vasculature with unprecedented resolution. A staged series of three-dimensional images of the vascular system were collected beginning shortly after the onset of circulation at 1 day postfertilization through early- to midlarval stages at approximately 7 days postfertilization. Blood vessels in every region of the animal were imaged at each stage, and detailed \"wiring patterns\" were derived describing the interconnections between every major vessel. We present an overview of these data here in this paper and in an accompanying Web site \"The interactive atlas of zebrafish vascular anatomy\" online at (http://eclipse.nichd.nih.gov/nichd/lmg/redirect.html). We find a highly dynamic but also highly stereotypic pattern of vascular connections, with different sets of primitive embryonic vessels severing connections and rewiring in new configurations according to a reproducible plan. We also find that despite variation in the details of the vascular anatomy, the basic vascular plan of the developing zebrafish shows strong similarity to that of other vertebrates. This atlas will provide an invaluable foundation for future genetic and experimental studies of vascular development in the zebrafish.","author":[{"dropping-particle":"","family":"Isogai","given":"Sumio","non-dropping-particle":"","parse-names":false,"suffix":""},{"dropping-particle":"","family":"Horiguchi","given":"Masaharu","non-dropping-particle":"","parse-names":false,"suffix":""},{"dropping-particle":"","family":"Weinstein","given":"Brant M.","non-dropping-particle":"","parse-names":false,"suffix":""}],"container-title":"Developmental Biology","id":"ITEM-1","issue":"2","issued":{"date-parts":[["2001"]]},"page":"278-301","title":"The vascular anatomy of the developing zebrafish: An atlas of embryonic and early larval development","type":"article-journal","volume":"230"},"uris":["http://www.mendeley.com/documents/?uuid=5d256fbf-cfeb-4df8-99b6-197e88363afa"]}],"mendeley":{"formattedCitation":"(Isogai, Horiguchi and Weinstein, 2001)","plainTextFormattedCitation":"(Isogai, Horiguchi and Weinstein, 2001)","previouslyFormattedCitation":"(Isogai, Horiguchi and Weinstein, 2001)"},"properties":{"noteIndex":0},"schema":"https://github.com/citation-style-language/schema/raw/master/csl-citation.json"}</w:instrText>
      </w:r>
      <w:r w:rsidR="009F3217" w:rsidRPr="00465302">
        <w:rPr>
          <w:rFonts w:cs="Times New Roman"/>
          <w:szCs w:val="24"/>
        </w:rPr>
        <w:fldChar w:fldCharType="separate"/>
      </w:r>
      <w:r w:rsidR="009F3217" w:rsidRPr="00465302">
        <w:rPr>
          <w:rFonts w:cs="Times New Roman"/>
          <w:noProof/>
          <w:szCs w:val="24"/>
        </w:rPr>
        <w:t>(Isogai, Horiguchi and Weinstein, 2001)</w:t>
      </w:r>
      <w:r w:rsidR="009F3217" w:rsidRPr="00465302">
        <w:rPr>
          <w:rFonts w:cs="Times New Roman"/>
          <w:szCs w:val="24"/>
        </w:rPr>
        <w:fldChar w:fldCharType="end"/>
      </w:r>
      <w:r w:rsidRPr="00465302">
        <w:rPr>
          <w:rFonts w:cs="Times New Roman"/>
          <w:szCs w:val="24"/>
        </w:rPr>
        <w:t>. The processes of vasculogenesis and angiogenesis ha</w:t>
      </w:r>
      <w:r w:rsidR="0054048D" w:rsidRPr="00465302">
        <w:rPr>
          <w:rFonts w:cs="Times New Roman"/>
          <w:szCs w:val="24"/>
        </w:rPr>
        <w:t>ve</w:t>
      </w:r>
      <w:r w:rsidRPr="00465302">
        <w:rPr>
          <w:rFonts w:cs="Times New Roman"/>
          <w:szCs w:val="24"/>
        </w:rPr>
        <w:t xml:space="preserve"> been visualized in zebrafish through the use of transgenic fish expressing fluorescence in vascular endothelial or blood cells.</w:t>
      </w:r>
    </w:p>
    <w:bookmarkEnd w:id="48"/>
    <w:p w14:paraId="6EA996A7" w14:textId="77777777" w:rsidR="006B7F04" w:rsidRPr="00465302" w:rsidRDefault="006B7F04" w:rsidP="00242745">
      <w:pPr>
        <w:spacing w:before="0" w:after="0" w:line="276" w:lineRule="auto"/>
        <w:jc w:val="both"/>
        <w:rPr>
          <w:rFonts w:cs="Times New Roman"/>
          <w:b/>
          <w:szCs w:val="24"/>
        </w:rPr>
      </w:pPr>
      <w:r w:rsidRPr="00465302">
        <w:rPr>
          <w:rFonts w:cs="Times New Roman"/>
          <w:noProof/>
          <w:szCs w:val="24"/>
        </w:rPr>
        <w:drawing>
          <wp:inline distT="0" distB="0" distL="0" distR="0" wp14:anchorId="1E87C82C" wp14:editId="0ECE111F">
            <wp:extent cx="5852160" cy="1683300"/>
            <wp:effectExtent l="0" t="0" r="0" b="0"/>
            <wp:docPr id="261" name="Picture 261" descr="F:\Zebrafish\Thesis\Figures\Figure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Zebrafish\Thesis\Figures\Figure 4.1.png"/>
                    <pic:cNvPicPr>
                      <a:picLocks noChangeAspect="1" noChangeArrowheads="1"/>
                    </pic:cNvPicPr>
                  </pic:nvPicPr>
                  <pic:blipFill rotWithShape="1">
                    <a:blip r:embed="rId23">
                      <a:extLst>
                        <a:ext uri="{28A0092B-C50C-407E-A947-70E740481C1C}">
                          <a14:useLocalDpi xmlns:a14="http://schemas.microsoft.com/office/drawing/2010/main" val="0"/>
                        </a:ext>
                      </a:extLst>
                    </a:blip>
                    <a:srcRect l="6378" t="21053" r="6365" b="45501"/>
                    <a:stretch/>
                  </pic:blipFill>
                  <pic:spPr bwMode="auto">
                    <a:xfrm>
                      <a:off x="0" y="0"/>
                      <a:ext cx="5852160" cy="1683300"/>
                    </a:xfrm>
                    <a:prstGeom prst="rect">
                      <a:avLst/>
                    </a:prstGeom>
                    <a:noFill/>
                    <a:ln>
                      <a:noFill/>
                    </a:ln>
                    <a:extLst>
                      <a:ext uri="{53640926-AAD7-44D8-BBD7-CCE9431645EC}">
                        <a14:shadowObscured xmlns:a14="http://schemas.microsoft.com/office/drawing/2010/main"/>
                      </a:ext>
                    </a:extLst>
                  </pic:spPr>
                </pic:pic>
              </a:graphicData>
            </a:graphic>
          </wp:inline>
        </w:drawing>
      </w:r>
    </w:p>
    <w:p w14:paraId="7B0589E3" w14:textId="2046FFA2" w:rsidR="006B7F04" w:rsidRPr="00465302" w:rsidRDefault="006B7F04" w:rsidP="00EE6A62">
      <w:pPr>
        <w:spacing w:before="0" w:line="240" w:lineRule="auto"/>
        <w:jc w:val="both"/>
        <w:rPr>
          <w:rFonts w:cs="Times New Roman"/>
          <w:szCs w:val="24"/>
        </w:rPr>
      </w:pPr>
      <w:r w:rsidRPr="00465302">
        <w:rPr>
          <w:rFonts w:cs="Times New Roman"/>
          <w:b/>
          <w:szCs w:val="24"/>
        </w:rPr>
        <w:t xml:space="preserve">Figure </w:t>
      </w:r>
      <w:bookmarkStart w:id="49" w:name="_Hlk39500146"/>
      <w:r w:rsidRPr="00465302">
        <w:rPr>
          <w:rFonts w:cs="Times New Roman"/>
          <w:b/>
          <w:szCs w:val="24"/>
        </w:rPr>
        <w:t>3.1</w:t>
      </w:r>
      <w:r w:rsidRPr="00465302">
        <w:rPr>
          <w:rFonts w:cs="Times New Roman"/>
          <w:szCs w:val="24"/>
        </w:rPr>
        <w:t xml:space="preserve"> </w:t>
      </w:r>
      <w:r w:rsidRPr="00465302">
        <w:rPr>
          <w:rFonts w:cs="Times New Roman"/>
          <w:b/>
          <w:bCs/>
          <w:szCs w:val="24"/>
        </w:rPr>
        <w:t xml:space="preserve">Vascular system of zebrafish at </w:t>
      </w:r>
      <w:r w:rsidR="003C7A73">
        <w:rPr>
          <w:rFonts w:cs="Times New Roman"/>
          <w:b/>
          <w:bCs/>
          <w:szCs w:val="24"/>
        </w:rPr>
        <w:t>four</w:t>
      </w:r>
      <w:r w:rsidRPr="00465302">
        <w:rPr>
          <w:rFonts w:cs="Times New Roman"/>
          <w:b/>
          <w:bCs/>
          <w:szCs w:val="24"/>
        </w:rPr>
        <w:t xml:space="preserve"> dpf</w:t>
      </w:r>
      <w:bookmarkEnd w:id="49"/>
      <w:r w:rsidRPr="00465302">
        <w:rPr>
          <w:rFonts w:cs="Times New Roman"/>
          <w:b/>
          <w:bCs/>
          <w:szCs w:val="24"/>
        </w:rPr>
        <w:t>.</w:t>
      </w:r>
      <w:r w:rsidRPr="00465302">
        <w:rPr>
          <w:rFonts w:cs="Times New Roman"/>
          <w:bCs/>
          <w:szCs w:val="24"/>
        </w:rPr>
        <w:t xml:space="preserve"> </w:t>
      </w:r>
      <w:r w:rsidRPr="00465302">
        <w:rPr>
          <w:rFonts w:cs="Times New Roman"/>
          <w:i/>
          <w:szCs w:val="24"/>
        </w:rPr>
        <w:t>Tg</w:t>
      </w:r>
      <w:r w:rsidR="009A0B96">
        <w:rPr>
          <w:rFonts w:cs="Times New Roman"/>
          <w:i/>
          <w:szCs w:val="24"/>
        </w:rPr>
        <w:t> </w:t>
      </w:r>
      <w:r w:rsidRPr="00465302">
        <w:rPr>
          <w:rFonts w:cs="Times New Roman"/>
          <w:i/>
          <w:szCs w:val="24"/>
        </w:rPr>
        <w:t>(kdrl:EGFP)</w:t>
      </w:r>
      <w:r w:rsidRPr="00465302">
        <w:rPr>
          <w:rFonts w:cs="Times New Roman"/>
          <w:szCs w:val="24"/>
        </w:rPr>
        <w:t xml:space="preserve"> larva expressing GFP in the vascular endothelial cells, was imaged laterally. The two main vessels are DA, dorsal aorta and PCV, posterior caudal vein. ISV, intersegmental vessels run between somite boundaries and fuse at the dorsal most region of the body to form DLAV, dorsal longitudinal anastomotic vessels.</w:t>
      </w:r>
    </w:p>
    <w:p w14:paraId="0A31C800" w14:textId="67A84CA2" w:rsidR="00E13268" w:rsidRPr="00465302" w:rsidRDefault="00925003" w:rsidP="00317481">
      <w:pPr>
        <w:pStyle w:val="Heading3"/>
      </w:pPr>
      <w:bookmarkStart w:id="50" w:name="_Toc39502053"/>
      <w:bookmarkStart w:id="51" w:name="_Hlk35100613"/>
      <w:r w:rsidRPr="00465302">
        <w:t xml:space="preserve">3.1.2 </w:t>
      </w:r>
      <w:r w:rsidR="00E13268" w:rsidRPr="00465302">
        <w:t>Human Umbilical Vascular Endothelial Cells (HUVEC)</w:t>
      </w:r>
      <w:bookmarkEnd w:id="50"/>
    </w:p>
    <w:p w14:paraId="203D68A7" w14:textId="60CA1FE2" w:rsidR="00E13268" w:rsidRPr="00465302" w:rsidRDefault="00E13268" w:rsidP="00242745">
      <w:pPr>
        <w:spacing w:before="0" w:line="480" w:lineRule="auto"/>
        <w:jc w:val="both"/>
        <w:rPr>
          <w:rFonts w:cs="Times New Roman"/>
          <w:szCs w:val="24"/>
        </w:rPr>
      </w:pPr>
      <w:r w:rsidRPr="00465302">
        <w:rPr>
          <w:rFonts w:cs="Times New Roman"/>
          <w:szCs w:val="24"/>
        </w:rPr>
        <w:t>The basement membrane (BM) is a specialized extracellular matrix-like material beneath cells</w:t>
      </w:r>
      <w:r w:rsidR="009F3217" w:rsidRPr="00465302">
        <w:rPr>
          <w:rFonts w:cs="Times New Roman"/>
          <w:szCs w:val="24"/>
        </w:rPr>
        <w:t xml:space="preserve"> </w:t>
      </w:r>
      <w:r w:rsidR="009F3217" w:rsidRPr="00465302">
        <w:rPr>
          <w:rFonts w:cs="Times New Roman"/>
          <w:szCs w:val="24"/>
        </w:rPr>
        <w:fldChar w:fldCharType="begin" w:fldLock="1"/>
      </w:r>
      <w:r w:rsidR="009F3217" w:rsidRPr="00465302">
        <w:rPr>
          <w:rFonts w:cs="Times New Roman"/>
          <w:szCs w:val="24"/>
        </w:rPr>
        <w:instrText>ADDIN CSL_CITATION {"citationItems":[{"id":"ITEM-1","itemData":{"DOI":"10.1038/nrc1094","ISSN":"1474175X","abstract":"In recent years, the basement membrane (BM) - a specialized form of extracellular matrix (ECM) - has been recognized as an important regulator of cell behaviour, rather than just a structural feature of tissues. The BM mediates tissue compartmentalization and sends signals to epithelial cells about the external microenvironment. The BM is also an important structural and functional component of blood vessels, constituting an extracellular microenvironment sensor for endothelial cells and pericytes. Vascular BM components have recently been found to be involved in the regulation of tumour angiogenesis, making them attractive candidate targets for potential cancer therapies.","author":[{"dropping-particle":"","family":"Kalluri","given":"Raghu","non-dropping-particle":"","parse-names":false,"suffix":""}],"container-title":"Nature Reviews Cancer","id":"ITEM-1","issue":"6","issued":{"date-parts":[["2003"]]},"page":"422-433","title":"Basement membranes: Structure, assembly and role in tumour angiogenesis","type":"article-journal","volume":"3"},"uris":["http://www.mendeley.com/documents/?uuid=216ad29a-4504-4153-a7b1-406de65470ff"]}],"mendeley":{"formattedCitation":"(Kalluri, 2003)","plainTextFormattedCitation":"(Kalluri, 2003)","previouslyFormattedCitation":"(Kalluri, 2003)"},"properties":{"noteIndex":0},"schema":"https://github.com/citation-style-language/schema/raw/master/csl-citation.json"}</w:instrText>
      </w:r>
      <w:r w:rsidR="009F3217" w:rsidRPr="00465302">
        <w:rPr>
          <w:rFonts w:cs="Times New Roman"/>
          <w:szCs w:val="24"/>
        </w:rPr>
        <w:fldChar w:fldCharType="separate"/>
      </w:r>
      <w:r w:rsidR="009F3217" w:rsidRPr="00465302">
        <w:rPr>
          <w:rFonts w:cs="Times New Roman"/>
          <w:noProof/>
          <w:szCs w:val="24"/>
        </w:rPr>
        <w:t>(Kalluri, 2003)</w:t>
      </w:r>
      <w:r w:rsidR="009F3217" w:rsidRPr="00465302">
        <w:rPr>
          <w:rFonts w:cs="Times New Roman"/>
          <w:szCs w:val="24"/>
        </w:rPr>
        <w:fldChar w:fldCharType="end"/>
      </w:r>
      <w:r w:rsidRPr="00465302">
        <w:rPr>
          <w:rFonts w:cs="Times New Roman"/>
          <w:szCs w:val="24"/>
        </w:rPr>
        <w:t xml:space="preserve">. It is known to be produced by </w:t>
      </w:r>
      <w:r w:rsidR="00AA3E97" w:rsidRPr="00465302">
        <w:rPr>
          <w:rFonts w:cs="Times New Roman"/>
          <w:szCs w:val="24"/>
        </w:rPr>
        <w:t>most</w:t>
      </w:r>
      <w:r w:rsidRPr="00465302">
        <w:rPr>
          <w:rFonts w:cs="Times New Roman"/>
          <w:szCs w:val="24"/>
        </w:rPr>
        <w:t xml:space="preserve"> cell types, but the constituents of BM produced by each cell type are different and this is what gives tissues their specificity and unique structure</w:t>
      </w:r>
      <w:r w:rsidR="009F3217" w:rsidRPr="00465302">
        <w:rPr>
          <w:rFonts w:cs="Times New Roman"/>
          <w:szCs w:val="24"/>
        </w:rPr>
        <w:t xml:space="preserve"> </w:t>
      </w:r>
      <w:r w:rsidR="009F3217" w:rsidRPr="00465302">
        <w:rPr>
          <w:rFonts w:cs="Times New Roman"/>
          <w:szCs w:val="24"/>
        </w:rPr>
        <w:lastRenderedPageBreak/>
        <w:fldChar w:fldCharType="begin" w:fldLock="1"/>
      </w:r>
      <w:r w:rsidR="009F3217" w:rsidRPr="00465302">
        <w:rPr>
          <w:rFonts w:cs="Times New Roman"/>
          <w:szCs w:val="24"/>
        </w:rPr>
        <w:instrText>ADDIN CSL_CITATION {"citationItems":[{"id":"ITEM-1","itemData":{"DOI":"10.1038/nrc1094","ISSN":"1474175X","abstract":"In recent years, the basement membrane (BM) - a specialized form of extracellular matrix (ECM) - has been recognized as an important regulator of cell behaviour, rather than just a structural feature of tissues. The BM mediates tissue compartmentalization and sends signals to epithelial cells about the external microenvironment. The BM is also an important structural and functional component of blood vessels, constituting an extracellular microenvironment sensor for endothelial cells and pericytes. Vascular BM components have recently been found to be involved in the regulation of tumour angiogenesis, making them attractive candidate targets for potential cancer therapies.","author":[{"dropping-particle":"","family":"Kalluri","given":"Raghu","non-dropping-particle":"","parse-names":false,"suffix":""}],"container-title":"Nature Reviews Cancer","id":"ITEM-1","issue":"6","issued":{"date-parts":[["2003"]]},"page":"422-433","title":"Basement membranes: Structure, assembly and role in tumour angiogenesis","type":"article-journal","volume":"3"},"uris":["http://www.mendeley.com/documents/?uuid=216ad29a-4504-4153-a7b1-406de65470ff"]},{"id":"ITEM-2","itemData":{"DOI":"10.1038/nprot.2010.6","ISSN":"17542189","abstract":"A protocol is presented here for a rapid, quantitative and reliable in vitro angiogenesis assay that can be adapted for high throughput use. Endothelial cells are plated on a gelled basement matrix, their natural substrate, and form capillary-like structures with a lumen. The assay can be used to identify inhibitors or stimulators of angiogenesis, as well as genes and signaling pathways involved in angiogenesis. It has also been used to identify endothelial progenitor cells. This assay involves endothelial cell adhesion, migration, protease activity and tubule formation. This tube formation assay is preferred, as other in vitro assays for angiogenesis, such as cell adhesion, migration and invasion, measure limited steps in the angiogenesis process. The tube formation assay on basement membrane can be completed in a day because transformed endothelial cells form tubes within 3 h, whereas non-transformed endothelial cells form tubes within 6 h. © 2010 Nature Publlshing Group.","author":[{"dropping-particle":"","family":"Arnaoutova","given":"Irina","non-dropping-particle":"","parse-names":false,"suffix":""},{"dropping-particle":"","family":"Kleinman","given":"Hynda K.","non-dropping-particle":"","parse-names":false,"suffix":""}],"container-title":"Nature Protocols","id":"ITEM-2","issue":"4","issued":{"date-parts":[["2010"]]},"page":"628-635","publisher":"Nature Publishing Group","title":"In vitro angiogenesis: Endothelial cell tube formation on gelled basement membrane extract","type":"article-journal","volume":"5"},"uris":["http://www.mendeley.com/documents/?uuid=862596cf-c241-4685-aeae-9544349ada6f"]}],"mendeley":{"formattedCitation":"(Kalluri, 2003; Arnaoutova and Kleinman, 2010)","plainTextFormattedCitation":"(Kalluri, 2003; Arnaoutova and Kleinman, 2010)","previouslyFormattedCitation":"(Kalluri, 2003; Arnaoutova and Kleinman, 2010)"},"properties":{"noteIndex":0},"schema":"https://github.com/citation-style-language/schema/raw/master/csl-citation.json"}</w:instrText>
      </w:r>
      <w:r w:rsidR="009F3217" w:rsidRPr="00465302">
        <w:rPr>
          <w:rFonts w:cs="Times New Roman"/>
          <w:szCs w:val="24"/>
        </w:rPr>
        <w:fldChar w:fldCharType="separate"/>
      </w:r>
      <w:r w:rsidR="009F3217" w:rsidRPr="00465302">
        <w:rPr>
          <w:rFonts w:cs="Times New Roman"/>
          <w:noProof/>
          <w:szCs w:val="24"/>
        </w:rPr>
        <w:t>(Kalluri, 2003; Arnaoutova and Kleinman, 2010)</w:t>
      </w:r>
      <w:r w:rsidR="009F3217" w:rsidRPr="00465302">
        <w:rPr>
          <w:rFonts w:cs="Times New Roman"/>
          <w:szCs w:val="24"/>
        </w:rPr>
        <w:fldChar w:fldCharType="end"/>
      </w:r>
      <w:r w:rsidRPr="00465302">
        <w:rPr>
          <w:rFonts w:cs="Times New Roman"/>
          <w:szCs w:val="24"/>
        </w:rPr>
        <w:t xml:space="preserve">. For endothelial cells, the BM specifically causes the formation of capillary-like tubes. </w:t>
      </w:r>
      <w:r w:rsidRPr="00465302">
        <w:rPr>
          <w:rFonts w:cs="Times New Roman"/>
          <w:i/>
          <w:iCs/>
          <w:szCs w:val="24"/>
        </w:rPr>
        <w:t>In vivo</w:t>
      </w:r>
      <w:r w:rsidRPr="00465302">
        <w:rPr>
          <w:rFonts w:cs="Times New Roman"/>
          <w:szCs w:val="24"/>
        </w:rPr>
        <w:t>, the vascular BM is responsible for the tube-like barrel structure of blood vessels where it is lined by endothelial cells on the inside and smooth muscle cells on the outside</w:t>
      </w:r>
      <w:r w:rsidR="009F3217" w:rsidRPr="00465302">
        <w:rPr>
          <w:rFonts w:cs="Times New Roman"/>
          <w:szCs w:val="24"/>
        </w:rPr>
        <w:t xml:space="preserve"> </w:t>
      </w:r>
      <w:r w:rsidR="009F3217" w:rsidRPr="00465302">
        <w:rPr>
          <w:rFonts w:cs="Times New Roman"/>
          <w:szCs w:val="24"/>
        </w:rPr>
        <w:fldChar w:fldCharType="begin" w:fldLock="1"/>
      </w:r>
      <w:r w:rsidR="009F3217" w:rsidRPr="00465302">
        <w:rPr>
          <w:rFonts w:cs="Times New Roman"/>
          <w:szCs w:val="24"/>
        </w:rPr>
        <w:instrText>ADDIN CSL_CITATION {"citationItems":[{"id":"ITEM-1","itemData":{"DOI":"10.1083/jcb.97.1.153","ISSN":"00219525","abstract":"Capillary endothelial cells of rat epididymal fat pad were isolated and cultured in media conditioned by bovine aortic endothelial cells and substrata consisting of interstitial or basement membrane collagens. When these cells were grown on interstitial collagens they underwent proliferation, formed a continuous cell layer and, if cultured for long periods of time, formed occasional tubelike structures. In contrast, when these cells were grown on basement membrane collagens, they did not proliferate but did aggregate and form tubelike structures at early culture times. In addition, cells grown on basement membrane substrata expressed more basement membrane constituents as compared with cells grown on interstitial matrices when assayed by immunoperoxidase methods and quantitated by enzyme-linked immunosorbent inhibition assays. Furthermore, when cells were grown on either side of washed, acellular amnionic membranes their phenotypes were markedly different. On the basement membrane surface they adhered, spread, and formed tubelike structures but did not migrate through the basement membrane. In contrast, when seeded on the stromal surface, these cells were observed to proliferate and migrate into the stromal aspect of the amnion and ultimately formed tubelike structures at high cell densities at longer culture periods (21 d). Thus, connective tissue components play important roles in regulating the phenotypic expression of capillary endothelial cells in vitro, and similar roles of the collagenous components of the extracellular matrix may exist in vivo following injury and during angiogenesis. Furthermore, the culture systems outlined here may be of use in the further study of differentiated, organized capillary endothelial cells in culture.","author":[{"dropping-particle":"","family":"Madri","given":"J. A.","non-dropping-particle":"","parse-names":false,"suffix":""},{"dropping-particle":"","family":"Williams","given":"S. K.","non-dropping-particle":"","parse-names":false,"suffix":""}],"container-title":"Journal of Cell Biology","id":"ITEM-1","issue":"1","issued":{"date-parts":[["1983"]]},"page":"153-165","title":"Capillary endothelial cell cultures: Phenotypic modulation by matrix components","type":"article-journal","volume":"97"},"uris":["http://www.mendeley.com/documents/?uuid=06d7a568-0b2c-4f10-adba-f27b7efb633a"]},{"id":"ITEM-2","itemData":{"DOI":"10.1083/jcb.107.4.1589","ISSN":"00219525","PMID":"3049626","abstract":"We have defined a signal responsible for the morphological differentiation of human umbilical vein and human dermal microvascular endothelial cells in vitro. We find that human umbilical vein endothelial cells deprived of growth factors undergo morphological differentiation with tube formation after 6-12 wk, and that human dermal microvascular endothelial cells differentiate after 1 wk of growth factor deprivation. Here, we report that morphological differentiation of both types of endothelial cells is markedly accelerated by culture on a reconstituted gel composed of basement membrane proteins. Under these conditions, tube formation begins in 1-2 h and is complete by 24 h. The tubes are maintained for greater than 2 wk. Little or no proliferation occurs under these conditions, although the cells, when trypsinized and replated on fibronectin-coated tissue culture dishes, resume division. Ultrastructurally, the tubes possess a lumen surrounded by endothelial cells attached to one another by junctional complexes. The cells possess Weibel-Palade bodies and factor VIII-related antigens, and take up acetylated low density lipoproteins. Tubule formation does not occur on tissue culture plastic coated with laminin or collagen IV, either alone or in combination, or on an agarose or a collagen I gel. However, endothelial cells cultured on a collagen I gel supplemented with laminin form tubules, while supplementation with collagen IV induces a lesser degree of tubule formation. Preincubation of endothelial cells with antibodies to laminin prevented tubule formation while antibodies to collagen IV were less inhibitory. Preincubation of endothelial cells with synthetic peptides derived from the laminin B1 chain that bind to the laminin cell surface receptor or incorporation of these peptides into the gel matrix blocked tubule formation, whereas control peptides did not. These observations indicate that endothelial cells can rapidly differentiate on a basement membrane-like matrix and that laminin is the principal factor in inducing this change.","author":[{"dropping-particle":"","family":"Kubota","given":"Y.","non-dropping-particle":"","parse-names":false,"suffix":""},{"dropping-particle":"","family":"Kleinman","given":"H. K.","non-dropping-particle":"","parse-names":false,"suffix":""},{"dropping-particle":"","family":"Martin","given":"G. R.","non-dropping-particle":"","parse-names":false,"suffix":""},{"dropping-particle":"","family":"Lawley","given":"T. J.","non-dropping-particle":"","parse-names":false,"suffix":""}],"container-title":"The Journal of cell biology","id":"ITEM-2","issue":"4","issued":{"date-parts":[["1988"]]},"page":"1589-1598","title":"Role of laminin and basement membrane in the morphological differentiation of human endothelial cells into capillary-like structures.","type":"article-journal","volume":"107"},"uris":["http://www.mendeley.com/documents/?uuid=cde95699-4330-42cd-95a5-b174e46ab25c"]},{"id":"ITEM-3","itemData":{"DOI":"10.1038/nrc1094","ISSN":"1474175X","abstract":"In recent years, the basement membrane (BM) - a specialized form of extracellular matrix (ECM) - has been recognized as an important regulator of cell behaviour, rather than just a structural feature of tissues. The BM mediates tissue compartmentalization and sends signals to epithelial cells about the external microenvironment. The BM is also an important structural and functional component of blood vessels, constituting an extracellular microenvironment sensor for endothelial cells and pericytes. Vascular BM components have recently been found to be involved in the regulation of tumour angiogenesis, making them attractive candidate targets for potential cancer therapies.","author":[{"dropping-particle":"","family":"Kalluri","given":"Raghu","non-dropping-particle":"","parse-names":false,"suffix":""}],"container-title":"Nature Reviews Cancer","id":"ITEM-3","issue":"6","issued":{"date-parts":[["2003"]]},"page":"422-433","title":"Basement membranes: Structure, assembly and role in tumour angiogenesis","type":"article-journal","volume":"3"},"uris":["http://www.mendeley.com/documents/?uuid=216ad29a-4504-4153-a7b1-406de65470ff"]},{"id":"ITEM-4","itemData":{"DOI":"10.1038/nprot.2010.6","ISSN":"17542189","abstract":"A protocol is presented here for a rapid, quantitative and reliable in vitro angiogenesis assay that can be adapted for high throughput use. Endothelial cells are plated on a gelled basement matrix, their natural substrate, and form capillary-like structures with a lumen. The assay can be used to identify inhibitors or stimulators of angiogenesis, as well as genes and signaling pathways involved in angiogenesis. It has also been used to identify endothelial progenitor cells. This assay involves endothelial cell adhesion, migration, protease activity and tubule formation. This tube formation assay is preferred, as other in vitro assays for angiogenesis, such as cell adhesion, migration and invasion, measure limited steps in the angiogenesis process. The tube formation assay on basement membrane can be completed in a day because transformed endothelial cells form tubes within 3 h, whereas non-transformed endothelial cells form tubes within 6 h. © 2010 Nature Publlshing Group.","author":[{"dropping-particle":"","family":"Arnaoutova","given":"Irina","non-dropping-particle":"","parse-names":false,"suffix":""},{"dropping-particle":"","family":"Kleinman","given":"Hynda K.","non-dropping-particle":"","parse-names":false,"suffix":""}],"container-title":"Nature Protocols","id":"ITEM-4","issue":"4","issued":{"date-parts":[["2010"]]},"page":"628-635","publisher":"Nature Publishing Group","title":"In vitro angiogenesis: Endothelial cell tube formation on gelled basement membrane extract","type":"article-journal","volume":"5"},"uris":["http://www.mendeley.com/documents/?uuid=862596cf-c241-4685-aeae-9544349ada6f"]}],"mendeley":{"formattedCitation":"(Madri and Williams, 1983; Kubota &lt;i&gt;et al.&lt;/i&gt;, 1988; Kalluri, 2003; Arnaoutova and Kleinman, 2010)","plainTextFormattedCitation":"(Madri and Williams, 1983; Kubota et al., 1988; Kalluri, 2003; Arnaoutova and Kleinman, 2010)","previouslyFormattedCitation":"(Madri and Williams, 1983; Kubota &lt;i&gt;et al.&lt;/i&gt;, 1988; Kalluri, 2003; Arnaoutova and Kleinman, 2010)"},"properties":{"noteIndex":0},"schema":"https://github.com/citation-style-language/schema/raw/master/csl-citation.json"}</w:instrText>
      </w:r>
      <w:r w:rsidR="009F3217" w:rsidRPr="00465302">
        <w:rPr>
          <w:rFonts w:cs="Times New Roman"/>
          <w:szCs w:val="24"/>
        </w:rPr>
        <w:fldChar w:fldCharType="separate"/>
      </w:r>
      <w:r w:rsidR="009F3217" w:rsidRPr="00465302">
        <w:rPr>
          <w:rFonts w:cs="Times New Roman"/>
          <w:noProof/>
          <w:szCs w:val="24"/>
        </w:rPr>
        <w:t xml:space="preserve">(Madri and Williams, 1983; Kubota </w:t>
      </w:r>
      <w:r w:rsidR="009F3217" w:rsidRPr="00465302">
        <w:rPr>
          <w:rFonts w:cs="Times New Roman"/>
          <w:i/>
          <w:noProof/>
          <w:szCs w:val="24"/>
        </w:rPr>
        <w:t>et al.</w:t>
      </w:r>
      <w:r w:rsidR="009F3217" w:rsidRPr="00465302">
        <w:rPr>
          <w:rFonts w:cs="Times New Roman"/>
          <w:noProof/>
          <w:szCs w:val="24"/>
        </w:rPr>
        <w:t>, 1988; Kalluri, 2003; Arnaoutova and Kleinman, 2010)</w:t>
      </w:r>
      <w:r w:rsidR="009F3217" w:rsidRPr="00465302">
        <w:rPr>
          <w:rFonts w:cs="Times New Roman"/>
          <w:szCs w:val="24"/>
        </w:rPr>
        <w:fldChar w:fldCharType="end"/>
      </w:r>
      <w:r w:rsidRPr="00465302">
        <w:rPr>
          <w:rFonts w:cs="Times New Roman"/>
          <w:szCs w:val="24"/>
        </w:rPr>
        <w:t>. The major components that distinguish the vascular BM from other BMs are laminins 8 and 10, collagen IV, and nidogens/entactins 1 and 2</w:t>
      </w:r>
      <w:r w:rsidR="009F3217" w:rsidRPr="00465302">
        <w:rPr>
          <w:rFonts w:cs="Times New Roman"/>
          <w:szCs w:val="24"/>
        </w:rPr>
        <w:t xml:space="preserve"> </w:t>
      </w:r>
      <w:r w:rsidR="009F3217" w:rsidRPr="00465302">
        <w:rPr>
          <w:rFonts w:cs="Times New Roman"/>
          <w:szCs w:val="24"/>
        </w:rPr>
        <w:fldChar w:fldCharType="begin" w:fldLock="1"/>
      </w:r>
      <w:r w:rsidR="009F3217" w:rsidRPr="00465302">
        <w:rPr>
          <w:rFonts w:cs="Times New Roman"/>
          <w:szCs w:val="24"/>
        </w:rPr>
        <w:instrText>ADDIN CSL_CITATION {"citationItems":[{"id":"ITEM-1","itemData":{"DOI":"10.1038/nprot.2010.6","ISSN":"17542189","abstract":"A protocol is presented here for a rapid, quantitative and reliable in vitro angiogenesis assay that can be adapted for high throughput use. Endothelial cells are plated on a gelled basement matrix, their natural substrate, and form capillary-like structures with a lumen. The assay can be used to identify inhibitors or stimulators of angiogenesis, as well as genes and signaling pathways involved in angiogenesis. It has also been used to identify endothelial progenitor cells. This assay involves endothelial cell adhesion, migration, protease activity and tubule formation. This tube formation assay is preferred, as other in vitro assays for angiogenesis, such as cell adhesion, migration and invasion, measure limited steps in the angiogenesis process. The tube formation assay on basement membrane can be completed in a day because transformed endothelial cells form tubes within 3 h, whereas non-transformed endothelial cells form tubes within 6 h. © 2010 Nature Publlshing Group.","author":[{"dropping-particle":"","family":"Arnaoutova","given":"Irina","non-dropping-particle":"","parse-names":false,"suffix":""},{"dropping-particle":"","family":"Kleinman","given":"Hynda K.","non-dropping-particle":"","parse-names":false,"suffix":""}],"container-title":"Nature Protocols","id":"ITEM-1","issue":"4","issued":{"date-parts":[["2010"]]},"page":"628-635","publisher":"Nature Publishing Group","title":"In vitro angiogenesis: Endothelial cell tube formation on gelled basement membrane extract","type":"article-journal","volume":"5"},"uris":["http://www.mendeley.com/documents/?uuid=862596cf-c241-4685-aeae-9544349ada6f"]}],"mendeley":{"formattedCitation":"(Arnaoutova and Kleinman, 2010)","plainTextFormattedCitation":"(Arnaoutova and Kleinman, 2010)","previouslyFormattedCitation":"(Arnaoutova and Kleinman, 2010)"},"properties":{"noteIndex":0},"schema":"https://github.com/citation-style-language/schema/raw/master/csl-citation.json"}</w:instrText>
      </w:r>
      <w:r w:rsidR="009F3217" w:rsidRPr="00465302">
        <w:rPr>
          <w:rFonts w:cs="Times New Roman"/>
          <w:szCs w:val="24"/>
        </w:rPr>
        <w:fldChar w:fldCharType="separate"/>
      </w:r>
      <w:r w:rsidR="009F3217" w:rsidRPr="00465302">
        <w:rPr>
          <w:rFonts w:cs="Times New Roman"/>
          <w:noProof/>
          <w:szCs w:val="24"/>
        </w:rPr>
        <w:t>(Arnaoutova and Kleinman, 2010)</w:t>
      </w:r>
      <w:r w:rsidR="009F3217" w:rsidRPr="00465302">
        <w:rPr>
          <w:rFonts w:cs="Times New Roman"/>
          <w:szCs w:val="24"/>
        </w:rPr>
        <w:fldChar w:fldCharType="end"/>
      </w:r>
      <w:r w:rsidRPr="00465302">
        <w:rPr>
          <w:rFonts w:cs="Times New Roman"/>
          <w:szCs w:val="24"/>
        </w:rPr>
        <w:t xml:space="preserve">. </w:t>
      </w:r>
    </w:p>
    <w:p w14:paraId="6EE48AC2" w14:textId="4158B2B6" w:rsidR="00E13268" w:rsidRPr="00465302" w:rsidRDefault="00E13268" w:rsidP="00E13268">
      <w:pPr>
        <w:spacing w:line="480" w:lineRule="auto"/>
        <w:jc w:val="both"/>
        <w:rPr>
          <w:rFonts w:cs="Times New Roman"/>
          <w:szCs w:val="24"/>
        </w:rPr>
      </w:pPr>
      <w:r w:rsidRPr="00465302">
        <w:rPr>
          <w:rFonts w:cs="Times New Roman"/>
          <w:szCs w:val="24"/>
        </w:rPr>
        <w:t xml:space="preserve">Understanding of how endothelial cells and BM interact </w:t>
      </w:r>
      <w:r w:rsidRPr="00465302">
        <w:rPr>
          <w:rFonts w:cs="Times New Roman"/>
          <w:i/>
          <w:iCs/>
          <w:szCs w:val="24"/>
        </w:rPr>
        <w:t>in vivo</w:t>
      </w:r>
      <w:r w:rsidRPr="00465302">
        <w:rPr>
          <w:rFonts w:cs="Times New Roman"/>
          <w:szCs w:val="24"/>
        </w:rPr>
        <w:t xml:space="preserve"> and the factors that contribute to vessel formation has advanced the successful development of angiogenesis assays </w:t>
      </w:r>
      <w:r w:rsidRPr="00465302">
        <w:rPr>
          <w:rFonts w:cs="Times New Roman"/>
          <w:i/>
          <w:iCs/>
          <w:szCs w:val="24"/>
        </w:rPr>
        <w:t>in vitro</w:t>
      </w:r>
      <w:r w:rsidRPr="00465302">
        <w:rPr>
          <w:rFonts w:cs="Times New Roman"/>
          <w:szCs w:val="24"/>
        </w:rPr>
        <w:t xml:space="preserve"> using endothelial cells derived from various sources, all capable of forming capillary tubes</w:t>
      </w:r>
      <w:r w:rsidR="009F3217" w:rsidRPr="00465302">
        <w:rPr>
          <w:rFonts w:cs="Times New Roman"/>
          <w:szCs w:val="24"/>
        </w:rPr>
        <w:t xml:space="preserve"> </w:t>
      </w:r>
      <w:r w:rsidR="009F3217" w:rsidRPr="00465302">
        <w:rPr>
          <w:rFonts w:cs="Times New Roman"/>
          <w:szCs w:val="24"/>
        </w:rPr>
        <w:fldChar w:fldCharType="begin" w:fldLock="1"/>
      </w:r>
      <w:r w:rsidR="009F3217" w:rsidRPr="00465302">
        <w:rPr>
          <w:rFonts w:cs="Times New Roman"/>
          <w:szCs w:val="24"/>
        </w:rPr>
        <w:instrText>ADDIN CSL_CITATION {"citationItems":[{"id":"ITEM-1","itemData":{"DOI":"10.1038/288551a0","ISSN":"1476-4687","abstract":"Cloned capillary endothelial cells, cultured in tumour-conditioned medium, form capillary tubes. By light and electron microscopy these tubes resemble capillaries in vivo. This first demonstration of angiogenesis in vitro: (1) shows that all the information necessary to develop an entire capillary network in vitro is expressed by one cell type; (2) suggests a mechanism for lumen formation; and (3) offers a possibility of distinguishing between direct and indirect angiogenesis factors.","author":[{"dropping-particle":"","family":"Folkman","given":"Judah","non-dropping-particle":"","parse-names":false,"suffix":""},{"dropping-particle":"","family":"Haudenschild","given":"Christian","non-dropping-particle":"","parse-names":false,"suffix":""}],"container-title":"Nature","id":"ITEM-1","issue":"5791","issued":{"date-parts":[["1980"]]},"page":"551-556","title":"Angiogenesis in vitro","type":"article-journal","volume":"288"},"uris":["http://www.mendeley.com/documents/?uuid=29f3e79b-d04c-404c-8d51-08d563f83fa2"]},{"id":"ITEM-2","itemData":{"DOI":"10.1083/jcb.97.1.153","ISSN":"00219525","abstract":"Capillary endothelial cells of rat epididymal fat pad were isolated and cultured in media conditioned by bovine aortic endothelial cells and substrata consisting of interstitial or basement membrane collagens. When these cells were grown on interstitial collagens they underwent proliferation, formed a continuous cell layer and, if cultured for long periods of time, formed occasional tubelike structures. In contrast, when these cells were grown on basement membrane collagens, they did not proliferate but did aggregate and form tubelike structures at early culture times. In addition, cells grown on basement membrane substrata expressed more basement membrane constituents as compared with cells grown on interstitial matrices when assayed by immunoperoxidase methods and quantitated by enzyme-linked immunosorbent inhibition assays. Furthermore, when cells were grown on either side of washed, acellular amnionic membranes their phenotypes were markedly different. On the basement membrane surface they adhered, spread, and formed tubelike structures but did not migrate through the basement membrane. In contrast, when seeded on the stromal surface, these cells were observed to proliferate and migrate into the stromal aspect of the amnion and ultimately formed tubelike structures at high cell densities at longer culture periods (21 d). Thus, connective tissue components play important roles in regulating the phenotypic expression of capillary endothelial cells in vitro, and similar roles of the collagenous components of the extracellular matrix may exist in vivo following injury and during angiogenesis. Furthermore, the culture systems outlined here may be of use in the further study of differentiated, organized capillary endothelial cells in culture.","author":[{"dropping-particle":"","family":"Madri","given":"J. A.","non-dropping-particle":"","parse-names":false,"suffix":""},{"dropping-particle":"","family":"Williams","given":"S. K.","non-dropping-particle":"","parse-names":false,"suffix":""}],"container-title":"Journal of Cell Biology","id":"ITEM-2","issue":"1","issued":{"date-parts":[["1983"]]},"page":"153-165","title":"Capillary endothelial cell cultures: Phenotypic modulation by matrix components","type":"article-journal","volume":"97"},"uris":["http://www.mendeley.com/documents/?uuid=06d7a568-0b2c-4f10-adba-f27b7efb633a"]},{"id":"ITEM-3","itemData":{"DOI":"10.1083/jcb.94.3.511","ISSN":"15408140","abstract":"Culture conditions that favor rapid multiplication of human umbilical vein endothelial cells (HUV-EC) also support long-term serial propagation of the cells. This is routinely achieved when HUV-EC are grown in Medium t99 (M-199) supplemented with fetal bovine serum (FBS) and endothelial cell growth factor (ECGF), on a human fibronectin (HFN) matrix. The HUV-EC can shift from a proliferative to an organized state when the in vitro conditions are changed from those favoring low density proliferation to those supporting high density survival. When ECGF and HFN are omitted, cultures fail to achieve confluence beyond the first or second passage: the preconfluent cultures organize into tubular structures after 4-6 wk. Some tubes become grossly visible and float in the culture medium, remaining tethered to the plastic dish at either end of the tube. On an ultrastructural level, the tubes consist of cells, held together by junctional complexes, arranged so as to form a lumen. The smallest lumens are formed by one cell folding over to form a junction with itself. The cells contain WeibeI-Palade bodies and factor VIII-related antigen. The lumens contain granular, fibrillar and amorphous debris. Predigesting the HFN matrix with trypsin (10 min, 37°C) or plasmin significantly accelerates tube formation. Thrombin and plasminogen activator had no apparent effect. Disruption of the largest tubes with trypsin/EDTA permits the cells to revert to a proliferative state if plated on HFN, in M-199, FBS, and ECGF. These observations indicate that culture conditions that do not favor proliferation permit attainment of a state of nonterminal differentiation (organization) by the endothelial cell. Furthermore, proteolytic modification of the HFN matrix may play an important role in endothelial organization. © 1982, Rockefeller University Press., All rights reserved.","author":[{"dropping-particle":"","family":"Maciag","given":"T.","non-dropping-particle":"","parse-names":false,"suffix":""},{"dropping-particle":"","family":"Kadish","given":"J.","non-dropping-particle":"","parse-names":false,"suffix":""},{"dropping-particle":"","family":"Wllkins","given":"L.","non-dropping-particle":"","parse-names":false,"suffix":""},{"dropping-particle":"","family":"Stemerman","given":"M. B.","non-dropping-particle":"","parse-names":false,"suffix":""},{"dropping-particle":"","family":"Weinstein","given":"R.","non-dropping-particle":"","parse-names":false,"suffix":""}],"container-title":"Journal of Cell Biology","id":"ITEM-3","issue":"3","issued":{"date-parts":[["1982"]]},"page":"511-520","title":"Organizational behavior of human umbilical vein endothelial cells","type":"article-journal","volume":"94"},"uris":["http://www.mendeley.com/documents/?uuid=953d85ec-926c-4361-a41f-ee46c4b81e1a"]},{"id":"ITEM-4","itemData":{"DOI":"10.1038/nprot.2010.6","ISSN":"17542189","abstract":"A protocol is presented here for a rapid, quantitative and reliable in vitro angiogenesis assay that can be adapted for high throughput use. Endothelial cells are plated on a gelled basement matrix, their natural substrate, and form capillary-like structures with a lumen. The assay can be used to identify inhibitors or stimulators of angiogenesis, as well as genes and signaling pathways involved in angiogenesis. It has also been used to identify endothelial progenitor cells. This assay involves endothelial cell adhesion, migration, protease activity and tubule formation. This tube formation assay is preferred, as other in vitro assays for angiogenesis, such as cell adhesion, migration and invasion, measure limited steps in the angiogenesis process. The tube formation assay on basement membrane can be completed in a day because transformed endothelial cells form tubes within 3 h, whereas non-transformed endothelial cells form tubes within 6 h. © 2010 Nature Publlshing Group.","author":[{"dropping-particle":"","family":"Arnaoutova","given":"Irina","non-dropping-particle":"","parse-names":false,"suffix":""},{"dropping-particle":"","family":"Kleinman","given":"Hynda K.","non-dropping-particle":"","parse-names":false,"suffix":""}],"container-title":"Nature Protocols","id":"ITEM-4","issue":"4","issued":{"date-parts":[["2010"]]},"page":"628-635","publisher":"Nature Publishing Group","title":"In vitro angiogenesis: Endothelial cell tube formation on gelled basement membrane extract","type":"article-journal","volume":"5"},"uris":["http://www.mendeley.com/documents/?uuid=862596cf-c241-4685-aeae-9544349ada6f"]}],"mendeley":{"formattedCitation":"(Folkman and Haudenschild, 1980; Maciag &lt;i&gt;et al.&lt;/i&gt;, 1982; Madri and Williams, 1983; Arnaoutova and Kleinman, 2010)","plainTextFormattedCitation":"(Folkman and Haudenschild, 1980; Maciag et al., 1982; Madri and Williams, 1983; Arnaoutova and Kleinman, 2010)","previouslyFormattedCitation":"(Folkman and Haudenschild, 1980; Maciag &lt;i&gt;et al.&lt;/i&gt;, 1982; Madri and Williams, 1983; Arnaoutova and Kleinman, 2010)"},"properties":{"noteIndex":0},"schema":"https://github.com/citation-style-language/schema/raw/master/csl-citation.json"}</w:instrText>
      </w:r>
      <w:r w:rsidR="009F3217" w:rsidRPr="00465302">
        <w:rPr>
          <w:rFonts w:cs="Times New Roman"/>
          <w:szCs w:val="24"/>
        </w:rPr>
        <w:fldChar w:fldCharType="separate"/>
      </w:r>
      <w:r w:rsidR="009F3217" w:rsidRPr="00465302">
        <w:rPr>
          <w:rFonts w:cs="Times New Roman"/>
          <w:noProof/>
          <w:szCs w:val="24"/>
        </w:rPr>
        <w:t xml:space="preserve">(Folkman and Haudenschild, 1980; Maciag </w:t>
      </w:r>
      <w:r w:rsidR="009F3217" w:rsidRPr="00465302">
        <w:rPr>
          <w:rFonts w:cs="Times New Roman"/>
          <w:i/>
          <w:noProof/>
          <w:szCs w:val="24"/>
        </w:rPr>
        <w:t>et al.</w:t>
      </w:r>
      <w:r w:rsidR="009F3217" w:rsidRPr="00465302">
        <w:rPr>
          <w:rFonts w:cs="Times New Roman"/>
          <w:noProof/>
          <w:szCs w:val="24"/>
        </w:rPr>
        <w:t>, 1982; Madri and Williams, 1983; Arnaoutova and Kleinman, 2010)</w:t>
      </w:r>
      <w:r w:rsidR="009F3217" w:rsidRPr="00465302">
        <w:rPr>
          <w:rFonts w:cs="Times New Roman"/>
          <w:szCs w:val="24"/>
        </w:rPr>
        <w:fldChar w:fldCharType="end"/>
      </w:r>
      <w:r w:rsidRPr="00465302">
        <w:rPr>
          <w:rFonts w:cs="Times New Roman"/>
          <w:szCs w:val="24"/>
        </w:rPr>
        <w:t xml:space="preserve">. One source is the endothelial cells derived from human umbilical vein (HUVECs), which are </w:t>
      </w:r>
      <w:r w:rsidR="006B06D2" w:rsidRPr="00465302">
        <w:rPr>
          <w:rFonts w:cs="Times New Roman"/>
          <w:szCs w:val="24"/>
        </w:rPr>
        <w:t>commonly</w:t>
      </w:r>
      <w:r w:rsidRPr="00465302">
        <w:rPr>
          <w:rFonts w:cs="Times New Roman"/>
          <w:szCs w:val="24"/>
        </w:rPr>
        <w:t xml:space="preserve"> used for these </w:t>
      </w:r>
      <w:r w:rsidRPr="00465302">
        <w:rPr>
          <w:rFonts w:cs="Times New Roman"/>
          <w:i/>
          <w:iCs/>
          <w:szCs w:val="24"/>
        </w:rPr>
        <w:t>in vitro</w:t>
      </w:r>
      <w:r w:rsidRPr="00465302">
        <w:rPr>
          <w:rFonts w:cs="Times New Roman"/>
          <w:szCs w:val="24"/>
        </w:rPr>
        <w:t xml:space="preserve"> assays</w:t>
      </w:r>
      <w:r w:rsidR="009F3217" w:rsidRPr="00465302">
        <w:rPr>
          <w:rFonts w:cs="Times New Roman"/>
          <w:szCs w:val="24"/>
        </w:rPr>
        <w:t xml:space="preserve"> </w:t>
      </w:r>
      <w:r w:rsidR="009F3217" w:rsidRPr="00465302">
        <w:rPr>
          <w:rFonts w:cs="Times New Roman"/>
          <w:szCs w:val="24"/>
        </w:rPr>
        <w:fldChar w:fldCharType="begin" w:fldLock="1"/>
      </w:r>
      <w:r w:rsidR="009F3217" w:rsidRPr="00465302">
        <w:rPr>
          <w:rFonts w:cs="Times New Roman"/>
          <w:szCs w:val="24"/>
        </w:rPr>
        <w:instrText>ADDIN CSL_CITATION {"citationItems":[{"id":"ITEM-1","itemData":{"DOI":"10.1083/jcb.94.3.511","ISSN":"15408140","abstract":"Culture conditions that favor rapid multiplication of human umbilical vein endothelial cells (HUV-EC) also support long-term serial propagation of the cells. This is routinely achieved when HUV-EC are grown in Medium t99 (M-199) supplemented with fetal bovine serum (FBS) and endothelial cell growth factor (ECGF), on a human fibronectin (HFN) matrix. The HUV-EC can shift from a proliferative to an organized state when the in vitro conditions are changed from those favoring low density proliferation to those supporting high density survival. When ECGF and HFN are omitted, cultures fail to achieve confluence beyond the first or second passage: the preconfluent cultures organize into tubular structures after 4-6 wk. Some tubes become grossly visible and float in the culture medium, remaining tethered to the plastic dish at either end of the tube. On an ultrastructural level, the tubes consist of cells, held together by junctional complexes, arranged so as to form a lumen. The smallest lumens are formed by one cell folding over to form a junction with itself. The cells contain WeibeI-Palade bodies and factor VIII-related antigen. The lumens contain granular, fibrillar and amorphous debris. Predigesting the HFN matrix with trypsin (10 min, 37°C) or plasmin significantly accelerates tube formation. Thrombin and plasminogen activator had no apparent effect. Disruption of the largest tubes with trypsin/EDTA permits the cells to revert to a proliferative state if plated on HFN, in M-199, FBS, and ECGF. These observations indicate that culture conditions that do not favor proliferation permit attainment of a state of nonterminal differentiation (organization) by the endothelial cell. Furthermore, proteolytic modification of the HFN matrix may play an important role in endothelial organization. © 1982, Rockefeller University Press., All rights reserved.","author":[{"dropping-particle":"","family":"Maciag","given":"T.","non-dropping-particle":"","parse-names":false,"suffix":""},{"dropping-particle":"","family":"Kadish","given":"J.","non-dropping-particle":"","parse-names":false,"suffix":""},{"dropping-particle":"","family":"Wllkins","given":"L.","non-dropping-particle":"","parse-names":false,"suffix":""},{"dropping-particle":"","family":"Stemerman","given":"M. B.","non-dropping-particle":"","parse-names":false,"suffix":""},{"dropping-particle":"","family":"Weinstein","given":"R.","non-dropping-particle":"","parse-names":false,"suffix":""}],"container-title":"Journal of Cell Biology","id":"ITEM-1","issue":"3","issued":{"date-parts":[["1982"]]},"page":"511-520","title":"Organizational behavior of human umbilical vein endothelial cells","type":"article-journal","volume":"94"},"uris":["http://www.mendeley.com/documents/?uuid=953d85ec-926c-4361-a41f-ee46c4b81e1a"]},{"id":"ITEM-2","itemData":{"DOI":"10.1038/nprot.2010.6","ISSN":"17542189","abstract":"A protocol is presented here for a rapid, quantitative and reliable in vitro angiogenesis assay that can be adapted for high throughput use. Endothelial cells are plated on a gelled basement matrix, their natural substrate, and form capillary-like structures with a lumen. The assay can be used to identify inhibitors or stimulators of angiogenesis, as well as genes and signaling pathways involved in angiogenesis. It has also been used to identify endothelial progenitor cells. This assay involves endothelial cell adhesion, migration, protease activity and tubule formation. This tube formation assay is preferred, as other in vitro assays for angiogenesis, such as cell adhesion, migration and invasion, measure limited steps in the angiogenesis process. The tube formation assay on basement membrane can be completed in a day because transformed endothelial cells form tubes within 3 h, whereas non-transformed endothelial cells form tubes within 6 h. © 2010 Nature Publlshing Group.","author":[{"dropping-particle":"","family":"Arnaoutova","given":"Irina","non-dropping-particle":"","parse-names":false,"suffix":""},{"dropping-particle":"","family":"Kleinman","given":"Hynda K.","non-dropping-particle":"","parse-names":false,"suffix":""}],"container-title":"Nature Protocols","id":"ITEM-2","issue":"4","issued":{"date-parts":[["2010"]]},"page":"628-635","publisher":"Nature Publishing Group","title":"In vitro angiogenesis: Endothelial cell tube formation on gelled basement membrane extract","type":"article-journal","volume":"5"},"uris":["http://www.mendeley.com/documents/?uuid=862596cf-c241-4685-aeae-9544349ada6f"]}],"mendeley":{"formattedCitation":"(Maciag &lt;i&gt;et al.&lt;/i&gt;, 1982; Arnaoutova and Kleinman, 2010)","plainTextFormattedCitation":"(Maciag et al., 1982; Arnaoutova and Kleinman, 2010)","previouslyFormattedCitation":"(Maciag &lt;i&gt;et al.&lt;/i&gt;, 1982; Arnaoutova and Kleinman, 2010)"},"properties":{"noteIndex":0},"schema":"https://github.com/citation-style-language/schema/raw/master/csl-citation.json"}</w:instrText>
      </w:r>
      <w:r w:rsidR="009F3217" w:rsidRPr="00465302">
        <w:rPr>
          <w:rFonts w:cs="Times New Roman"/>
          <w:szCs w:val="24"/>
        </w:rPr>
        <w:fldChar w:fldCharType="separate"/>
      </w:r>
      <w:r w:rsidR="009F3217" w:rsidRPr="00465302">
        <w:rPr>
          <w:rFonts w:cs="Times New Roman"/>
          <w:noProof/>
          <w:szCs w:val="24"/>
        </w:rPr>
        <w:t xml:space="preserve">(Maciag </w:t>
      </w:r>
      <w:r w:rsidR="009F3217" w:rsidRPr="00465302">
        <w:rPr>
          <w:rFonts w:cs="Times New Roman"/>
          <w:i/>
          <w:noProof/>
          <w:szCs w:val="24"/>
        </w:rPr>
        <w:t>et al.</w:t>
      </w:r>
      <w:r w:rsidR="009F3217" w:rsidRPr="00465302">
        <w:rPr>
          <w:rFonts w:cs="Times New Roman"/>
          <w:noProof/>
          <w:szCs w:val="24"/>
        </w:rPr>
        <w:t>, 1982; Arnaoutova and Kleinman, 2010)</w:t>
      </w:r>
      <w:r w:rsidR="009F3217" w:rsidRPr="00465302">
        <w:rPr>
          <w:rFonts w:cs="Times New Roman"/>
          <w:szCs w:val="24"/>
        </w:rPr>
        <w:fldChar w:fldCharType="end"/>
      </w:r>
      <w:r w:rsidRPr="00465302">
        <w:rPr>
          <w:rFonts w:cs="Times New Roman"/>
          <w:szCs w:val="24"/>
        </w:rPr>
        <w:t>. HUVECs are typically incubated with BM obtained from a murine tumor cell line that is commercially available as Matrigel</w:t>
      </w:r>
      <w:r w:rsidR="009F3217" w:rsidRPr="00465302">
        <w:rPr>
          <w:rFonts w:cs="Times New Roman"/>
          <w:szCs w:val="24"/>
        </w:rPr>
        <w:t xml:space="preserve"> </w:t>
      </w:r>
      <w:r w:rsidR="009F3217" w:rsidRPr="00465302">
        <w:rPr>
          <w:rFonts w:cs="Times New Roman"/>
          <w:szCs w:val="24"/>
        </w:rPr>
        <w:fldChar w:fldCharType="begin" w:fldLock="1"/>
      </w:r>
      <w:r w:rsidR="009F3217" w:rsidRPr="00465302">
        <w:rPr>
          <w:rFonts w:cs="Times New Roman"/>
          <w:szCs w:val="24"/>
        </w:rPr>
        <w:instrText>ADDIN CSL_CITATION {"citationItems":[{"id":"ITEM-1","itemData":{"DOI":"10.1038/nprot.2010.6","ISSN":"17542189","abstract":"A protocol is presented here for a rapid, quantitative and reliable in vitro angiogenesis assay that can be adapted for high throughput use. Endothelial cells are plated on a gelled basement matrix, their natural substrate, and form capillary-like structures with a lumen. The assay can be used to identify inhibitors or stimulators of angiogenesis, as well as genes and signaling pathways involved in angiogenesis. It has also been used to identify endothelial progenitor cells. This assay involves endothelial cell adhesion, migration, protease activity and tubule formation. This tube formation assay is preferred, as other in vitro assays for angiogenesis, such as cell adhesion, migration and invasion, measure limited steps in the angiogenesis process. The tube formation assay on basement membrane can be completed in a day because transformed endothelial cells form tubes within 3 h, whereas non-transformed endothelial cells form tubes within 6 h. © 2010 Nature Publlshing Group.","author":[{"dropping-particle":"","family":"Arnaoutova","given":"Irina","non-dropping-particle":"","parse-names":false,"suffix":""},{"dropping-particle":"","family":"Kleinman","given":"Hynda K.","non-dropping-particle":"","parse-names":false,"suffix":""}],"container-title":"Nature Protocols","id":"ITEM-1","issue":"4","issued":{"date-parts":[["2010"]]},"page":"628-635","publisher":"Nature Publishing Group","title":"In vitro angiogenesis: Endothelial cell tube formation on gelled basement membrane extract","type":"article-journal","volume":"5"},"uris":["http://www.mendeley.com/documents/?uuid=862596cf-c241-4685-aeae-9544349ada6f"]}],"mendeley":{"formattedCitation":"(Arnaoutova and Kleinman, 2010)","plainTextFormattedCitation":"(Arnaoutova and Kleinman, 2010)","previouslyFormattedCitation":"(Arnaoutova and Kleinman, 2010)"},"properties":{"noteIndex":0},"schema":"https://github.com/citation-style-language/schema/raw/master/csl-citation.json"}</w:instrText>
      </w:r>
      <w:r w:rsidR="009F3217" w:rsidRPr="00465302">
        <w:rPr>
          <w:rFonts w:cs="Times New Roman"/>
          <w:szCs w:val="24"/>
        </w:rPr>
        <w:fldChar w:fldCharType="separate"/>
      </w:r>
      <w:r w:rsidR="009F3217" w:rsidRPr="00465302">
        <w:rPr>
          <w:rFonts w:cs="Times New Roman"/>
          <w:noProof/>
          <w:szCs w:val="24"/>
        </w:rPr>
        <w:t>(Arnaoutova and Kleinman, 2010)</w:t>
      </w:r>
      <w:r w:rsidR="009F3217" w:rsidRPr="00465302">
        <w:rPr>
          <w:rFonts w:cs="Times New Roman"/>
          <w:szCs w:val="24"/>
        </w:rPr>
        <w:fldChar w:fldCharType="end"/>
      </w:r>
      <w:r w:rsidRPr="00465302">
        <w:rPr>
          <w:rFonts w:cs="Times New Roman"/>
          <w:szCs w:val="24"/>
        </w:rPr>
        <w:t xml:space="preserve">. Under these conditions, the HUVECs attach to the matrix, migrate towards each other, align and form tubes within six to twenty </w:t>
      </w:r>
      <w:r w:rsidR="00FA3251">
        <w:rPr>
          <w:rFonts w:cs="Times New Roman"/>
          <w:szCs w:val="24"/>
        </w:rPr>
        <w:t>h</w:t>
      </w:r>
      <w:r w:rsidR="006D4C50">
        <w:rPr>
          <w:rFonts w:cs="Times New Roman"/>
          <w:szCs w:val="24"/>
        </w:rPr>
        <w:t>rs</w:t>
      </w:r>
      <w:r w:rsidR="009F3217" w:rsidRPr="00465302">
        <w:rPr>
          <w:rFonts w:cs="Times New Roman"/>
          <w:szCs w:val="24"/>
        </w:rPr>
        <w:t xml:space="preserve"> </w:t>
      </w:r>
      <w:r w:rsidR="009F3217" w:rsidRPr="00465302">
        <w:rPr>
          <w:rFonts w:cs="Times New Roman"/>
          <w:szCs w:val="24"/>
        </w:rPr>
        <w:fldChar w:fldCharType="begin" w:fldLock="1"/>
      </w:r>
      <w:r w:rsidR="009F3217" w:rsidRPr="00465302">
        <w:rPr>
          <w:rFonts w:cs="Times New Roman"/>
          <w:szCs w:val="24"/>
        </w:rPr>
        <w:instrText>ADDIN CSL_CITATION {"citationItems":[{"id":"ITEM-1","itemData":{"DOI":"10.1038/nprot.2010.6","ISSN":"17542189","abstract":"A protocol is presented here for a rapid, quantitative and reliable in vitro angiogenesis assay that can be adapted for high throughput use. Endothelial cells are plated on a gelled basement matrix, their natural substrate, and form capillary-like structures with a lumen. The assay can be used to identify inhibitors or stimulators of angiogenesis, as well as genes and signaling pathways involved in angiogenesis. It has also been used to identify endothelial progenitor cells. This assay involves endothelial cell adhesion, migration, protease activity and tubule formation. This tube formation assay is preferred, as other in vitro assays for angiogenesis, such as cell adhesion, migration and invasion, measure limited steps in the angiogenesis process. The tube formation assay on basement membrane can be completed in a day because transformed endothelial cells form tubes within 3 h, whereas non-transformed endothelial cells form tubes within 6 h. © 2010 Nature Publlshing Group.","author":[{"dropping-particle":"","family":"Arnaoutova","given":"Irina","non-dropping-particle":"","parse-names":false,"suffix":""},{"dropping-particle":"","family":"Kleinman","given":"Hynda K.","non-dropping-particle":"","parse-names":false,"suffix":""}],"container-title":"Nature Protocols","id":"ITEM-1","issue":"4","issued":{"date-parts":[["2010"]]},"page":"628-635","publisher":"Nature Publishing Group","title":"In vitro angiogenesis: Endothelial cell tube formation on gelled basement membrane extract","type":"article-journal","volume":"5"},"uris":["http://www.mendeley.com/documents/?uuid=862596cf-c241-4685-aeae-9544349ada6f"]}],"mendeley":{"formattedCitation":"(Arnaoutova and Kleinman, 2010)","plainTextFormattedCitation":"(Arnaoutova and Kleinman, 2010)","previouslyFormattedCitation":"(Arnaoutova and Kleinman, 2010)"},"properties":{"noteIndex":0},"schema":"https://github.com/citation-style-language/schema/raw/master/csl-citation.json"}</w:instrText>
      </w:r>
      <w:r w:rsidR="009F3217" w:rsidRPr="00465302">
        <w:rPr>
          <w:rFonts w:cs="Times New Roman"/>
          <w:szCs w:val="24"/>
        </w:rPr>
        <w:fldChar w:fldCharType="separate"/>
      </w:r>
      <w:r w:rsidR="009F3217" w:rsidRPr="00465302">
        <w:rPr>
          <w:rFonts w:cs="Times New Roman"/>
          <w:noProof/>
          <w:szCs w:val="24"/>
        </w:rPr>
        <w:t>(Arnaoutova and Kleinman, 2010)</w:t>
      </w:r>
      <w:r w:rsidR="009F3217" w:rsidRPr="00465302">
        <w:rPr>
          <w:rFonts w:cs="Times New Roman"/>
          <w:szCs w:val="24"/>
        </w:rPr>
        <w:fldChar w:fldCharType="end"/>
      </w:r>
      <w:r w:rsidRPr="00465302">
        <w:rPr>
          <w:rFonts w:cs="Times New Roman"/>
          <w:szCs w:val="24"/>
        </w:rPr>
        <w:t xml:space="preserve">. The tubes formed can be assessed through several software programs. This assay is fast, simple, quantitative and robust and can easily be used for </w:t>
      </w:r>
      <w:r w:rsidRPr="00465302">
        <w:rPr>
          <w:rFonts w:cs="Times New Roman"/>
          <w:i/>
          <w:iCs/>
          <w:szCs w:val="24"/>
        </w:rPr>
        <w:t>in vitro</w:t>
      </w:r>
      <w:r w:rsidRPr="00465302">
        <w:rPr>
          <w:rFonts w:cs="Times New Roman"/>
          <w:szCs w:val="24"/>
        </w:rPr>
        <w:t xml:space="preserve"> mammalian high throughput screening of chemical libraries to identify disruptors of angiogenesis. </w:t>
      </w:r>
    </w:p>
    <w:p w14:paraId="50AC283D" w14:textId="750F5C47" w:rsidR="00E13268" w:rsidRPr="00465302" w:rsidRDefault="00E13268" w:rsidP="00E13268">
      <w:pPr>
        <w:spacing w:line="480" w:lineRule="auto"/>
        <w:jc w:val="both"/>
        <w:rPr>
          <w:rFonts w:cs="Times New Roman"/>
          <w:szCs w:val="24"/>
        </w:rPr>
      </w:pPr>
      <w:r w:rsidRPr="00465302">
        <w:rPr>
          <w:rFonts w:cs="Times New Roman"/>
          <w:szCs w:val="24"/>
        </w:rPr>
        <w:t xml:space="preserve">Both the </w:t>
      </w:r>
      <w:r w:rsidRPr="00465302">
        <w:rPr>
          <w:rFonts w:cs="Times New Roman"/>
          <w:i/>
          <w:iCs/>
          <w:szCs w:val="24"/>
        </w:rPr>
        <w:t>in vivo</w:t>
      </w:r>
      <w:r w:rsidRPr="00465302">
        <w:rPr>
          <w:rFonts w:cs="Times New Roman"/>
          <w:szCs w:val="24"/>
        </w:rPr>
        <w:t xml:space="preserve"> zebrafish vascular assay and the </w:t>
      </w:r>
      <w:r w:rsidRPr="00465302">
        <w:rPr>
          <w:rFonts w:cs="Times New Roman"/>
          <w:i/>
          <w:iCs/>
          <w:szCs w:val="24"/>
        </w:rPr>
        <w:t>in vitro</w:t>
      </w:r>
      <w:r w:rsidRPr="00465302">
        <w:rPr>
          <w:rFonts w:cs="Times New Roman"/>
          <w:szCs w:val="24"/>
        </w:rPr>
        <w:t xml:space="preserve"> HUVEC angiogenesis assay complement each other for toxicity screening in the sense that the zebrafish captures the effects of chemicals at </w:t>
      </w:r>
      <w:r w:rsidRPr="00465302">
        <w:rPr>
          <w:rFonts w:cs="Times New Roman"/>
          <w:szCs w:val="24"/>
        </w:rPr>
        <w:lastRenderedPageBreak/>
        <w:t>the whole organism level whereas the HUVECs capture the effects on mammalian systems. Both these systems are amenable to rapid screening methods and in combination can provide a quick, more complete picture of the mechanisms underlying the actions of vascular disruptor compounds in humans.</w:t>
      </w:r>
    </w:p>
    <w:p w14:paraId="1B64686A" w14:textId="234B9F7E" w:rsidR="00925003" w:rsidRPr="00465302" w:rsidRDefault="00E13268" w:rsidP="00317481">
      <w:pPr>
        <w:pStyle w:val="Heading3"/>
      </w:pPr>
      <w:bookmarkStart w:id="52" w:name="_Toc39502054"/>
      <w:r w:rsidRPr="00465302">
        <w:t xml:space="preserve">3.1.3 </w:t>
      </w:r>
      <w:r w:rsidR="00925003" w:rsidRPr="00465302">
        <w:t xml:space="preserve">Screen for </w:t>
      </w:r>
      <w:r w:rsidRPr="00465302">
        <w:t>V</w:t>
      </w:r>
      <w:r w:rsidR="00925003" w:rsidRPr="00465302">
        <w:t xml:space="preserve">ascular </w:t>
      </w:r>
      <w:r w:rsidRPr="00465302">
        <w:t>D</w:t>
      </w:r>
      <w:r w:rsidR="00E6081A" w:rsidRPr="00465302">
        <w:t xml:space="preserve">isruptor </w:t>
      </w:r>
      <w:r w:rsidRPr="00465302">
        <w:t>C</w:t>
      </w:r>
      <w:r w:rsidR="00E6081A" w:rsidRPr="00465302">
        <w:t>ompounds</w:t>
      </w:r>
      <w:bookmarkEnd w:id="52"/>
    </w:p>
    <w:p w14:paraId="1057160A" w14:textId="32F62B7B" w:rsidR="00E13268" w:rsidRPr="00465302" w:rsidRDefault="00E13268" w:rsidP="00242745">
      <w:pPr>
        <w:spacing w:before="0" w:line="480" w:lineRule="auto"/>
        <w:jc w:val="both"/>
        <w:rPr>
          <w:rFonts w:eastAsia="Times New Roman" w:cs="Times New Roman"/>
          <w:color w:val="000000"/>
          <w:szCs w:val="24"/>
        </w:rPr>
      </w:pPr>
      <w:r w:rsidRPr="00465302">
        <w:rPr>
          <w:rFonts w:eastAsia="Times New Roman" w:cs="Times New Roman"/>
          <w:color w:val="000000"/>
          <w:szCs w:val="24"/>
        </w:rPr>
        <w:t>We previously reported the identification of VDCs in zebrafish embryos and the murine yolk-sac-derived endothelial cell line C166</w:t>
      </w:r>
      <w:r w:rsidR="009F3217" w:rsidRPr="00465302">
        <w:rPr>
          <w:rFonts w:eastAsia="Times New Roman" w:cs="Times New Roman"/>
          <w:color w:val="000000"/>
          <w:szCs w:val="24"/>
        </w:rPr>
        <w:t xml:space="preserve"> </w:t>
      </w:r>
      <w:r w:rsidR="009F3217" w:rsidRPr="00465302">
        <w:rPr>
          <w:rFonts w:eastAsia="Times New Roman" w:cs="Times New Roman"/>
          <w:color w:val="000000"/>
          <w:szCs w:val="24"/>
        </w:rPr>
        <w:fldChar w:fldCharType="begin" w:fldLock="1"/>
      </w:r>
      <w:r w:rsidR="009F3217" w:rsidRPr="00465302">
        <w:rPr>
          <w:rFonts w:eastAsia="Times New Roman" w:cs="Times New Roman"/>
          <w:color w:val="000000"/>
          <w:szCs w:val="24"/>
        </w:rPr>
        <w:instrText>ADDIN CSL_CITATION {"citationItems":[{"id":"ITEM-1","itemData":{"DOI":"10.1016/j.reprotox.2016.11.005","ISSN":"0890-6238","author":[{"dropping-particle":"","family":"McCollum","given":"Catherine W","non-dropping-particle":"","parse-names":false,"suffix":""},{"dropping-particle":"","family":"Conde-Vancells","given":"Javier","non-dropping-particle":"","parse-names":false,"suffix":""},{"dropping-particle":"","family":"Hans","given":"Charu","non-dropping-particle":"","parse-names":false,"suffix":""},{"dropping-particle":"","family":"Vazquez-Chantada","given":"Mercedes","non-dropping-particle":"","parse-names":false,"suffix":""},{"dropping-particle":"","family":"Kleinstreuer","given":"Nicole","non-dropping-particle":"","parse-names":false,"suffix":""},{"dropping-particle":"","family":"Tal","given":"Tamara","non-dropping-particle":"","parse-names":false,"suffix":""},{"dropping-particle":"","family":"Knudsen","given":"Thomas","non-dropping-particle":"","parse-names":false,"suffix":""},{"dropping-particle":"","family":"Shah","given":"Shishir S","non-dropping-particle":"","parse-names":false,"suffix":""},{"dropping-particle":"","family":"Merchant","given":"Fatima A","non-dropping-particle":"","parse-names":false,"suffix":""},{"dropping-particle":"","family":"Finnell","given":"Richard H","non-dropping-particle":"","parse-names":false,"suffix":""},{"dropping-particle":"","family":"Gustafsson","given":"Jan-Åke","non-dropping-particle":"","parse-names":false,"suffix":""},{"dropping-particle":"","family":"Cabrera","given":"Robert","non-dropping-particle":"","parse-names":false,"suffix":""},{"dropping-particle":"","family":"Bondesson","given":"Maria","non-dropping-particle":"","parse-names":false,"suffix":""}],"container-title":"Reproductive toxicology (Elmsford, N.Y.)","id":"ITEM-1","issued":{"date-parts":[["2017","6"]]},"page":"60—69","title":"Identification of vascular disruptor compounds by analysis in zebrafish embryos and mouse embryonic endothelial cells","type":"article-journal","volume":"70"},"uris":["http://www.mendeley.com/documents/?uuid=11b1d565-0574-4e91-bd55-30399b5993f2"]}],"mendeley":{"formattedCitation":"(McCollum &lt;i&gt;et al.&lt;/i&gt;, 2017)","plainTextFormattedCitation":"(McCollum et al., 2017)","previouslyFormattedCitation":"(McCollum &lt;i&gt;et al.&lt;/i&gt;, 2017)"},"properties":{"noteIndex":0},"schema":"https://github.com/citation-style-language/schema/raw/master/csl-citation.json"}</w:instrText>
      </w:r>
      <w:r w:rsidR="009F3217" w:rsidRPr="00465302">
        <w:rPr>
          <w:rFonts w:eastAsia="Times New Roman" w:cs="Times New Roman"/>
          <w:color w:val="000000"/>
          <w:szCs w:val="24"/>
        </w:rPr>
        <w:fldChar w:fldCharType="separate"/>
      </w:r>
      <w:r w:rsidR="009F3217" w:rsidRPr="00465302">
        <w:rPr>
          <w:rFonts w:eastAsia="Times New Roman" w:cs="Times New Roman"/>
          <w:noProof/>
          <w:color w:val="000000"/>
          <w:szCs w:val="24"/>
        </w:rPr>
        <w:t xml:space="preserve">(McCollum </w:t>
      </w:r>
      <w:r w:rsidR="009F3217" w:rsidRPr="00465302">
        <w:rPr>
          <w:rFonts w:eastAsia="Times New Roman" w:cs="Times New Roman"/>
          <w:i/>
          <w:noProof/>
          <w:color w:val="000000"/>
          <w:szCs w:val="24"/>
        </w:rPr>
        <w:t>et al.</w:t>
      </w:r>
      <w:r w:rsidR="009F3217" w:rsidRPr="00465302">
        <w:rPr>
          <w:rFonts w:eastAsia="Times New Roman" w:cs="Times New Roman"/>
          <w:noProof/>
          <w:color w:val="000000"/>
          <w:szCs w:val="24"/>
        </w:rPr>
        <w:t>, 2017)</w:t>
      </w:r>
      <w:r w:rsidR="009F3217" w:rsidRPr="00465302">
        <w:rPr>
          <w:rFonts w:eastAsia="Times New Roman" w:cs="Times New Roman"/>
          <w:color w:val="000000"/>
          <w:szCs w:val="24"/>
        </w:rPr>
        <w:fldChar w:fldCharType="end"/>
      </w:r>
      <w:r w:rsidRPr="00465302">
        <w:rPr>
          <w:rFonts w:eastAsia="Times New Roman" w:cs="Times New Roman"/>
          <w:color w:val="000000"/>
          <w:szCs w:val="24"/>
        </w:rPr>
        <w:t>. We screened 1</w:t>
      </w:r>
      <w:r w:rsidR="00C06554" w:rsidRPr="00465302">
        <w:rPr>
          <w:rFonts w:eastAsia="Times New Roman" w:cs="Times New Roman"/>
          <w:color w:val="000000"/>
          <w:szCs w:val="24"/>
        </w:rPr>
        <w:t>75</w:t>
      </w:r>
      <w:r w:rsidRPr="00465302">
        <w:rPr>
          <w:rFonts w:eastAsia="Times New Roman" w:cs="Times New Roman"/>
          <w:color w:val="000000"/>
          <w:szCs w:val="24"/>
        </w:rPr>
        <w:t xml:space="preserve"> compounds from the ToxCast phase I chemical library using transgenic fish with GFP expression in the vasculature, which allows for the visualization of vascular structures. We identified several phenotypically different apical endpoints for vascular disruption, including disruption of intersegmental vessel (ISV) structure, failure to condense the caudal vein plexus (CVP), cardiac edema, and blood clots. The identified fish VDCs were rescreened in C166 cells, which can be induced to form endothelial cell tubular networks, similarly to HUVECs. In total 34 compounds were identified to perturb vascular development in zebrafish, and out of these, 22 compounds inhibited tube formation in C166 cells</w:t>
      </w:r>
      <w:r w:rsidR="009F3217" w:rsidRPr="00465302">
        <w:rPr>
          <w:rFonts w:eastAsia="Times New Roman" w:cs="Times New Roman"/>
          <w:color w:val="000000"/>
          <w:szCs w:val="24"/>
        </w:rPr>
        <w:t xml:space="preserve"> </w:t>
      </w:r>
      <w:r w:rsidR="009F3217" w:rsidRPr="00465302">
        <w:rPr>
          <w:rFonts w:eastAsia="Times New Roman" w:cs="Times New Roman"/>
          <w:color w:val="000000"/>
          <w:szCs w:val="24"/>
        </w:rPr>
        <w:fldChar w:fldCharType="begin" w:fldLock="1"/>
      </w:r>
      <w:r w:rsidR="009F3217" w:rsidRPr="00465302">
        <w:rPr>
          <w:rFonts w:eastAsia="Times New Roman" w:cs="Times New Roman"/>
          <w:color w:val="000000"/>
          <w:szCs w:val="24"/>
        </w:rPr>
        <w:instrText>ADDIN CSL_CITATION {"citationItems":[{"id":"ITEM-1","itemData":{"DOI":"10.1016/j.reprotox.2016.11.005","ISSN":"0890-6238","author":[{"dropping-particle":"","family":"McCollum","given":"Catherine W","non-dropping-particle":"","parse-names":false,"suffix":""},{"dropping-particle":"","family":"Conde-Vancells","given":"Javier","non-dropping-particle":"","parse-names":false,"suffix":""},{"dropping-particle":"","family":"Hans","given":"Charu","non-dropping-particle":"","parse-names":false,"suffix":""},{"dropping-particle":"","family":"Vazquez-Chantada","given":"Mercedes","non-dropping-particle":"","parse-names":false,"suffix":""},{"dropping-particle":"","family":"Kleinstreuer","given":"Nicole","non-dropping-particle":"","parse-names":false,"suffix":""},{"dropping-particle":"","family":"Tal","given":"Tamara","non-dropping-particle":"","parse-names":false,"suffix":""},{"dropping-particle":"","family":"Knudsen","given":"Thomas","non-dropping-particle":"","parse-names":false,"suffix":""},{"dropping-particle":"","family":"Shah","given":"Shishir S","non-dropping-particle":"","parse-names":false,"suffix":""},{"dropping-particle":"","family":"Merchant","given":"Fatima A","non-dropping-particle":"","parse-names":false,"suffix":""},{"dropping-particle":"","family":"Finnell","given":"Richard H","non-dropping-particle":"","parse-names":false,"suffix":""},{"dropping-particle":"","family":"Gustafsson","given":"Jan-Åke","non-dropping-particle":"","parse-names":false,"suffix":""},{"dropping-particle":"","family":"Cabrera","given":"Robert","non-dropping-particle":"","parse-names":false,"suffix":""},{"dropping-particle":"","family":"Bondesson","given":"Maria","non-dropping-particle":"","parse-names":false,"suffix":""}],"container-title":"Reproductive toxicology (Elmsford, N.Y.)","id":"ITEM-1","issued":{"date-parts":[["2017","6"]]},"page":"60—69","title":"Identification of vascular disruptor compounds by analysis in zebrafish embryos and mouse embryonic endothelial cells","type":"article-journal","volume":"70"},"uris":["http://www.mendeley.com/documents/?uuid=11b1d565-0574-4e91-bd55-30399b5993f2"]}],"mendeley":{"formattedCitation":"(McCollum &lt;i&gt;et al.&lt;/i&gt;, 2017)","plainTextFormattedCitation":"(McCollum et al., 2017)","previouslyFormattedCitation":"(McCollum &lt;i&gt;et al.&lt;/i&gt;, 2017)"},"properties":{"noteIndex":0},"schema":"https://github.com/citation-style-language/schema/raw/master/csl-citation.json"}</w:instrText>
      </w:r>
      <w:r w:rsidR="009F3217" w:rsidRPr="00465302">
        <w:rPr>
          <w:rFonts w:eastAsia="Times New Roman" w:cs="Times New Roman"/>
          <w:color w:val="000000"/>
          <w:szCs w:val="24"/>
        </w:rPr>
        <w:fldChar w:fldCharType="separate"/>
      </w:r>
      <w:r w:rsidR="009F3217" w:rsidRPr="00465302">
        <w:rPr>
          <w:rFonts w:eastAsia="Times New Roman" w:cs="Times New Roman"/>
          <w:noProof/>
          <w:color w:val="000000"/>
          <w:szCs w:val="24"/>
        </w:rPr>
        <w:t xml:space="preserve">(McCollum </w:t>
      </w:r>
      <w:r w:rsidR="009F3217" w:rsidRPr="00465302">
        <w:rPr>
          <w:rFonts w:eastAsia="Times New Roman" w:cs="Times New Roman"/>
          <w:i/>
          <w:noProof/>
          <w:color w:val="000000"/>
          <w:szCs w:val="24"/>
        </w:rPr>
        <w:t>et al.</w:t>
      </w:r>
      <w:r w:rsidR="009F3217" w:rsidRPr="00465302">
        <w:rPr>
          <w:rFonts w:eastAsia="Times New Roman" w:cs="Times New Roman"/>
          <w:noProof/>
          <w:color w:val="000000"/>
          <w:szCs w:val="24"/>
        </w:rPr>
        <w:t>, 2017)</w:t>
      </w:r>
      <w:r w:rsidR="009F3217" w:rsidRPr="00465302">
        <w:rPr>
          <w:rFonts w:eastAsia="Times New Roman" w:cs="Times New Roman"/>
          <w:color w:val="000000"/>
          <w:szCs w:val="24"/>
        </w:rPr>
        <w:fldChar w:fldCharType="end"/>
      </w:r>
      <w:r w:rsidRPr="00465302">
        <w:rPr>
          <w:rFonts w:eastAsia="Times New Roman" w:cs="Times New Roman"/>
          <w:color w:val="000000"/>
          <w:szCs w:val="24"/>
        </w:rPr>
        <w:t>. </w:t>
      </w:r>
    </w:p>
    <w:p w14:paraId="77F5451C" w14:textId="5080F221" w:rsidR="00E13268" w:rsidRPr="00465302" w:rsidRDefault="00E13268" w:rsidP="00E13268">
      <w:pPr>
        <w:spacing w:line="480" w:lineRule="auto"/>
        <w:jc w:val="both"/>
        <w:rPr>
          <w:rFonts w:eastAsia="Times New Roman" w:cs="Times New Roman"/>
          <w:szCs w:val="24"/>
        </w:rPr>
      </w:pPr>
      <w:r w:rsidRPr="00465302">
        <w:rPr>
          <w:rFonts w:eastAsia="Times New Roman" w:cs="Times New Roman"/>
          <w:color w:val="000000"/>
          <w:szCs w:val="24"/>
        </w:rPr>
        <w:t>Based on data mining</w:t>
      </w:r>
      <w:r w:rsidR="00A8060B" w:rsidRPr="00465302">
        <w:rPr>
          <w:rFonts w:eastAsia="Times New Roman" w:cs="Times New Roman"/>
          <w:color w:val="000000"/>
          <w:szCs w:val="24"/>
        </w:rPr>
        <w:t xml:space="preserve"> of EPA’s Comptox Chemicals Dashboard (</w:t>
      </w:r>
      <w:hyperlink r:id="rId24" w:history="1">
        <w:r w:rsidR="00A8060B" w:rsidRPr="00465302">
          <w:rPr>
            <w:rFonts w:eastAsia="Times New Roman" w:cs="Times New Roman"/>
            <w:color w:val="4472C4" w:themeColor="accent5"/>
            <w:szCs w:val="24"/>
            <w:u w:val="single"/>
          </w:rPr>
          <w:t>https://comptox.epa.gov</w:t>
        </w:r>
      </w:hyperlink>
      <w:r w:rsidR="00A8060B" w:rsidRPr="00465302">
        <w:rPr>
          <w:rFonts w:eastAsia="Times New Roman" w:cs="Times New Roman"/>
          <w:color w:val="4472C4" w:themeColor="accent5"/>
          <w:szCs w:val="24"/>
          <w:u w:val="single"/>
        </w:rPr>
        <w:t>/dashboard</w:t>
      </w:r>
      <w:r w:rsidR="00A8060B" w:rsidRPr="00465302">
        <w:rPr>
          <w:rFonts w:eastAsia="Times New Roman" w:cs="Times New Roman"/>
          <w:color w:val="000000"/>
          <w:szCs w:val="24"/>
        </w:rPr>
        <w:t>)</w:t>
      </w:r>
      <w:r w:rsidRPr="00465302">
        <w:rPr>
          <w:rFonts w:eastAsia="Times New Roman" w:cs="Times New Roman"/>
          <w:color w:val="000000"/>
          <w:szCs w:val="24"/>
        </w:rPr>
        <w:t xml:space="preserve">, HTS </w:t>
      </w:r>
      <w:r w:rsidRPr="00465302">
        <w:rPr>
          <w:rFonts w:eastAsia="Times New Roman" w:cs="Times New Roman"/>
          <w:i/>
          <w:iCs/>
          <w:color w:val="000000"/>
          <w:szCs w:val="24"/>
        </w:rPr>
        <w:t xml:space="preserve">in vitro </w:t>
      </w:r>
      <w:r w:rsidRPr="00465302">
        <w:rPr>
          <w:rFonts w:eastAsia="Times New Roman" w:cs="Times New Roman"/>
          <w:color w:val="000000"/>
          <w:szCs w:val="24"/>
        </w:rPr>
        <w:t>assays for specific pathways with evidence to be involved in angiogenic or vasculogenic processes were selected as a VDC profile</w:t>
      </w:r>
      <w:r w:rsidR="009F3217" w:rsidRPr="00465302">
        <w:rPr>
          <w:rFonts w:eastAsia="Times New Roman" w:cs="Times New Roman"/>
          <w:color w:val="000000"/>
          <w:szCs w:val="24"/>
        </w:rPr>
        <w:t xml:space="preserve"> </w:t>
      </w:r>
      <w:r w:rsidR="009F3217" w:rsidRPr="00465302">
        <w:rPr>
          <w:rFonts w:eastAsia="Times New Roman" w:cs="Times New Roman"/>
          <w:color w:val="000000"/>
          <w:szCs w:val="24"/>
        </w:rPr>
        <w:fldChar w:fldCharType="begin" w:fldLock="1"/>
      </w:r>
      <w:r w:rsidR="009F3217" w:rsidRPr="00465302">
        <w:rPr>
          <w:rFonts w:eastAsia="Times New Roman" w:cs="Times New Roman"/>
          <w:color w:val="000000"/>
          <w:szCs w:val="24"/>
        </w:rPr>
        <w:instrText>ADDIN CSL_CITATION {"citationItems":[{"id":"ITEM-1","itemData":{"DOI":"10.1289/ehp.1103412","ISSN":"00916765","abstract":"Background: Understanding health risks to embryonic development from exposure to environmental chemicals is a significant challenge given the diverse chemical landscape and paucity of data for most of these compounds. High-throughput screening (HTS) in the U.S. Environmental Protection Agency (EPA) ToxCast™ project provides vast data on an expanding chemical library currently consisting of &gt; 1,000 unique compounds across &gt; 500 in vitro assays in phase I (complete) and Phase II (under way). This public data set can be used to evaluate concentration-dependent effects on many diverse biological targets and build predictive models of prototypical toxicity pathways that can aid decision making for assessments of human developmental health and disease. Objective: We mined the ToxCast phase I data set to identify signatures for potential chemical disruption of blood vessel formation and remodeling. Methods: ToxCast phase I screened 309 chemicals using 467 HTS assays across nine assay technology platforms. The assays measured direct interactions between chemicals and molecular targets (receptors, enzymes), as well as downstream effects on reporter gene activity or cellular consequences. We ranked the chemicals according to individual vascular bioactivity score and visualized the ranking using ToxPi (Toxicological Priority Index) profiles. Results: Targets in inflammatory chemokine signaling, the vascular endothelial growth factor pathway, and the plasminogen-activating system were strongly perturbed by some chemicals, and we found positive correlations with developmental effects from the U.S. EPA ToxRefDB (Toxicological Reference Database) in vivo database containing prenatal rat and rabbit guideline studies. We observed distinctly different correlative patterns for chemicals with effects in rabbits versus rats, despite derivation of in vitro signatures based on human cells and cell-free biochemical targets, implying conservation but potentially differential contributions of developmental pathways among species. Follow-up analysis with antiangiogenic thalidomide analogs and additional in vitro vascular targets showed in vitro activity consistent with the most active environmental chemicals tested here. Conclusions: We predicted that blood vessel development is a target for environmental chemicals acting as putative vascular disruptor compounds (pVDCs) and identified potential species differences in sensitive vascular developmental pathways.","author":[{"dropping-particle":"","family":"Kleinstreuer","given":"Nicole C.","non-dropping-particle":"","parse-names":false,"suffix":""},{"dropping-particle":"","family":"Judson","given":"Richard S.","non-dropping-particle":"","parse-names":false,"suffix":""},{"dropping-particle":"","family":"Reif","given":"David M.","non-dropping-particle":"","parse-names":false,"suffix":""},{"dropping-particle":"","family":"Sipes","given":"Nisha S.","non-dropping-particle":"","parse-names":false,"suffix":""},{"dropping-particle":"V.","family":"Singh","given":"Amar","non-dropping-particle":"","parse-names":false,"suffix":""},{"dropping-particle":"","family":"Chandler","given":"Kelly J.","non-dropping-particle":"","parse-names":false,"suffix":""},{"dropping-particle":"","family":"DeWoskin","given":"Rob","non-dropping-particle":"","parse-names":false,"suffix":""},{"dropping-particle":"","family":"Dix","given":"David J.","non-dropping-particle":"","parse-names":false,"suffix":""},{"dropping-particle":"","family":"Kavlock","given":"Robert J.","non-dropping-particle":"","parse-names":false,"suffix":""},{"dropping-particle":"","family":"Knudsen","given":"Thomas B.","non-dropping-particle":"","parse-names":false,"suffix":""}],"container-title":"Environmental Health Perspectives","id":"ITEM-1","issue":"11","issued":{"date-parts":[["2011"]]},"page":"1596-1603","title":"Environmental impact on vascular development predicted by high-throughput screening","type":"article-journal","volume":"119"},"uris":["http://www.mendeley.com/documents/?uuid=b76d2ce6-cd5f-4007-98cb-da7c0517754a"]}],"mendeley":{"formattedCitation":"(Kleinstreuer &lt;i&gt;et al.&lt;/i&gt;, 2011)","plainTextFormattedCitation":"(Kleinstreuer et al., 2011)","previouslyFormattedCitation":"(Kleinstreuer &lt;i&gt;et al.&lt;/i&gt;, 2011)"},"properties":{"noteIndex":0},"schema":"https://github.com/citation-style-language/schema/raw/master/csl-citation.json"}</w:instrText>
      </w:r>
      <w:r w:rsidR="009F3217" w:rsidRPr="00465302">
        <w:rPr>
          <w:rFonts w:eastAsia="Times New Roman" w:cs="Times New Roman"/>
          <w:color w:val="000000"/>
          <w:szCs w:val="24"/>
        </w:rPr>
        <w:fldChar w:fldCharType="separate"/>
      </w:r>
      <w:r w:rsidR="009F3217" w:rsidRPr="00465302">
        <w:rPr>
          <w:rFonts w:eastAsia="Times New Roman" w:cs="Times New Roman"/>
          <w:noProof/>
          <w:color w:val="000000"/>
          <w:szCs w:val="24"/>
        </w:rPr>
        <w:t xml:space="preserve">(Kleinstreuer </w:t>
      </w:r>
      <w:r w:rsidR="009F3217" w:rsidRPr="00465302">
        <w:rPr>
          <w:rFonts w:eastAsia="Times New Roman" w:cs="Times New Roman"/>
          <w:i/>
          <w:noProof/>
          <w:color w:val="000000"/>
          <w:szCs w:val="24"/>
        </w:rPr>
        <w:t>et al.</w:t>
      </w:r>
      <w:r w:rsidR="009F3217" w:rsidRPr="00465302">
        <w:rPr>
          <w:rFonts w:eastAsia="Times New Roman" w:cs="Times New Roman"/>
          <w:noProof/>
          <w:color w:val="000000"/>
          <w:szCs w:val="24"/>
        </w:rPr>
        <w:t>, 2011)</w:t>
      </w:r>
      <w:r w:rsidR="009F3217" w:rsidRPr="00465302">
        <w:rPr>
          <w:rFonts w:eastAsia="Times New Roman" w:cs="Times New Roman"/>
          <w:color w:val="000000"/>
          <w:szCs w:val="24"/>
        </w:rPr>
        <w:fldChar w:fldCharType="end"/>
      </w:r>
      <w:r w:rsidRPr="00465302">
        <w:rPr>
          <w:rFonts w:eastAsia="Times New Roman" w:cs="Times New Roman"/>
          <w:color w:val="000000"/>
          <w:szCs w:val="24"/>
        </w:rPr>
        <w:t xml:space="preserve">. Correlation studies of VDCs in zebrafish based on this profile suggests that interference with chemokine signaling, extracellular matrix components, and the vascular endothelial growth factors, particularly VEGFR2, in the ToxCast </w:t>
      </w:r>
      <w:r w:rsidRPr="00465302">
        <w:rPr>
          <w:rFonts w:eastAsia="Times New Roman" w:cs="Times New Roman"/>
          <w:i/>
          <w:iCs/>
          <w:color w:val="000000"/>
          <w:szCs w:val="24"/>
        </w:rPr>
        <w:t>in vitro</w:t>
      </w:r>
      <w:r w:rsidRPr="00465302">
        <w:rPr>
          <w:rFonts w:eastAsia="Times New Roman" w:cs="Times New Roman"/>
          <w:color w:val="000000"/>
          <w:szCs w:val="24"/>
        </w:rPr>
        <w:t xml:space="preserve"> assays, is indicative of vascular disruption in zebrafish</w:t>
      </w:r>
      <w:r w:rsidR="009F3217" w:rsidRPr="00465302">
        <w:rPr>
          <w:rFonts w:eastAsia="Times New Roman" w:cs="Times New Roman"/>
          <w:color w:val="000000"/>
          <w:szCs w:val="24"/>
        </w:rPr>
        <w:t xml:space="preserve"> </w:t>
      </w:r>
      <w:r w:rsidR="009F3217" w:rsidRPr="00465302">
        <w:rPr>
          <w:rFonts w:eastAsia="Times New Roman" w:cs="Times New Roman"/>
          <w:color w:val="000000"/>
          <w:szCs w:val="24"/>
        </w:rPr>
        <w:fldChar w:fldCharType="begin" w:fldLock="1"/>
      </w:r>
      <w:r w:rsidR="009F3217" w:rsidRPr="00465302">
        <w:rPr>
          <w:rFonts w:eastAsia="Times New Roman" w:cs="Times New Roman"/>
          <w:color w:val="000000"/>
          <w:szCs w:val="24"/>
        </w:rPr>
        <w:instrText>ADDIN CSL_CITATION {"citationItems":[{"id":"ITEM-1","itemData":{"DOI":"10.1016/j.reprotox.2016.11.005","ISSN":"0890-6238","author":[{"dropping-particle":"","family":"McCollum","given":"Catherine W","non-dropping-particle":"","parse-names":false,"suffix":""},{"dropping-particle":"","family":"Conde-Vancells","given":"Javier","non-dropping-particle":"","parse-names":false,"suffix":""},{"dropping-particle":"","family":"Hans","given":"Charu","non-dropping-particle":"","parse-names":false,"suffix":""},{"dropping-particle":"","family":"Vazquez-Chantada","given":"Mercedes","non-dropping-particle":"","parse-names":false,"suffix":""},{"dropping-particle":"","family":"Kleinstreuer","given":"Nicole","non-dropping-particle":"","parse-names":false,"suffix":""},{"dropping-particle":"","family":"Tal","given":"Tamara","non-dropping-particle":"","parse-names":false,"suffix":""},{"dropping-particle":"","family":"Knudsen","given":"Thomas","non-dropping-particle":"","parse-names":false,"suffix":""},{"dropping-particle":"","family":"Shah","given":"Shishir S","non-dropping-particle":"","parse-names":false,"suffix":""},{"dropping-particle":"","family":"Merchant","given":"Fatima A","non-dropping-particle":"","parse-names":false,"suffix":""},{"dropping-particle":"","family":"Finnell","given":"Richard H","non-dropping-particle":"","parse-names":false,"suffix":""},{"dropping-particle":"","family":"Gustafsson","given":"Jan-Åke","non-dropping-particle":"","parse-names":false,"suffix":""},{"dropping-particle":"","family":"Cabrera","given":"Robert","non-dropping-particle":"","parse-names":false,"suffix":""},{"dropping-particle":"","family":"Bondesson","given":"Maria","non-dropping-particle":"","parse-names":false,"suffix":""}],"container-title":"Reproductive toxicology (Elmsford, N.Y.)","id":"ITEM-1","issued":{"date-parts":[["2017","6"]]},"page":"60—69","title":"Identification of vascular disruptor compounds by analysis in zebrafish embryos and mouse embryonic endothelial cells","type":"article-journal","volume":"70"},"uris":["http://www.mendeley.com/documents/?uuid=11b1d565-0574-4e91-bd55-30399b5993f2"]}],"mendeley":{"formattedCitation":"(McCollum &lt;i&gt;et al.&lt;/i&gt;, 2017)","plainTextFormattedCitation":"(McCollum et al., 2017)","previouslyFormattedCitation":"(McCollum &lt;i&gt;et al.&lt;/i&gt;, 2017)"},"properties":{"noteIndex":0},"schema":"https://github.com/citation-style-language/schema/raw/master/csl-citation.json"}</w:instrText>
      </w:r>
      <w:r w:rsidR="009F3217" w:rsidRPr="00465302">
        <w:rPr>
          <w:rFonts w:eastAsia="Times New Roman" w:cs="Times New Roman"/>
          <w:color w:val="000000"/>
          <w:szCs w:val="24"/>
        </w:rPr>
        <w:fldChar w:fldCharType="separate"/>
      </w:r>
      <w:r w:rsidR="009F3217" w:rsidRPr="00465302">
        <w:rPr>
          <w:rFonts w:eastAsia="Times New Roman" w:cs="Times New Roman"/>
          <w:noProof/>
          <w:color w:val="000000"/>
          <w:szCs w:val="24"/>
        </w:rPr>
        <w:t xml:space="preserve">(McCollum </w:t>
      </w:r>
      <w:r w:rsidR="009F3217" w:rsidRPr="00465302">
        <w:rPr>
          <w:rFonts w:eastAsia="Times New Roman" w:cs="Times New Roman"/>
          <w:i/>
          <w:noProof/>
          <w:color w:val="000000"/>
          <w:szCs w:val="24"/>
        </w:rPr>
        <w:t>et al.</w:t>
      </w:r>
      <w:r w:rsidR="009F3217" w:rsidRPr="00465302">
        <w:rPr>
          <w:rFonts w:eastAsia="Times New Roman" w:cs="Times New Roman"/>
          <w:noProof/>
          <w:color w:val="000000"/>
          <w:szCs w:val="24"/>
        </w:rPr>
        <w:t>, 2017)</w:t>
      </w:r>
      <w:r w:rsidR="009F3217" w:rsidRPr="00465302">
        <w:rPr>
          <w:rFonts w:eastAsia="Times New Roman" w:cs="Times New Roman"/>
          <w:color w:val="000000"/>
          <w:szCs w:val="24"/>
        </w:rPr>
        <w:fldChar w:fldCharType="end"/>
      </w:r>
      <w:r w:rsidRPr="00465302">
        <w:rPr>
          <w:rFonts w:eastAsia="Times New Roman" w:cs="Times New Roman"/>
          <w:color w:val="000000"/>
          <w:szCs w:val="24"/>
        </w:rPr>
        <w:t xml:space="preserve">. It further suggests that the identification </w:t>
      </w:r>
      <w:r w:rsidRPr="00465302">
        <w:rPr>
          <w:rFonts w:eastAsia="Times New Roman" w:cs="Times New Roman"/>
          <w:color w:val="000000"/>
          <w:szCs w:val="24"/>
        </w:rPr>
        <w:lastRenderedPageBreak/>
        <w:t xml:space="preserve">of chemicals that interfere with these pathways </w:t>
      </w:r>
      <w:r w:rsidRPr="00465302">
        <w:rPr>
          <w:rFonts w:eastAsia="Times New Roman" w:cs="Times New Roman"/>
          <w:i/>
          <w:iCs/>
          <w:color w:val="000000"/>
          <w:szCs w:val="24"/>
        </w:rPr>
        <w:t>in vitro</w:t>
      </w:r>
      <w:r w:rsidRPr="00465302">
        <w:rPr>
          <w:rFonts w:eastAsia="Times New Roman" w:cs="Times New Roman"/>
          <w:color w:val="000000"/>
          <w:szCs w:val="24"/>
        </w:rPr>
        <w:t xml:space="preserve"> could be predictive of vascular disruption capacity </w:t>
      </w:r>
      <w:r w:rsidRPr="00465302">
        <w:rPr>
          <w:rFonts w:eastAsia="Times New Roman" w:cs="Times New Roman"/>
          <w:i/>
          <w:iCs/>
          <w:color w:val="000000"/>
          <w:szCs w:val="24"/>
        </w:rPr>
        <w:t>in vivo</w:t>
      </w:r>
      <w:r w:rsidRPr="00465302">
        <w:rPr>
          <w:rFonts w:eastAsia="Times New Roman" w:cs="Times New Roman"/>
          <w:color w:val="000000"/>
          <w:szCs w:val="24"/>
        </w:rPr>
        <w:t>. A correlation study of a larger set of VDCs in zebrafish</w:t>
      </w:r>
      <w:r w:rsidR="00546ADF" w:rsidRPr="00465302">
        <w:rPr>
          <w:rFonts w:eastAsia="Times New Roman" w:cs="Times New Roman"/>
          <w:color w:val="000000"/>
          <w:szCs w:val="24"/>
        </w:rPr>
        <w:t xml:space="preserve"> and other testing systems</w:t>
      </w:r>
      <w:r w:rsidRPr="00465302">
        <w:rPr>
          <w:rFonts w:eastAsia="Times New Roman" w:cs="Times New Roman"/>
          <w:color w:val="000000"/>
          <w:szCs w:val="24"/>
        </w:rPr>
        <w:t xml:space="preserve">, identified by screening performed in several laboratories, to HTS results of all ToxCast assays, were conducted to find assays that may be informative of vascular toxicity </w:t>
      </w:r>
      <w:r w:rsidRPr="00465302">
        <w:rPr>
          <w:rFonts w:eastAsia="Times New Roman" w:cs="Times New Roman"/>
          <w:i/>
          <w:iCs/>
          <w:color w:val="000000"/>
          <w:szCs w:val="24"/>
        </w:rPr>
        <w:t>in vivo</w:t>
      </w:r>
      <w:r w:rsidRPr="00465302">
        <w:rPr>
          <w:rFonts w:eastAsia="Times New Roman" w:cs="Times New Roman"/>
          <w:color w:val="000000"/>
          <w:szCs w:val="24"/>
        </w:rPr>
        <w:t xml:space="preserve"> but were not contained in the initial VDC signature</w:t>
      </w:r>
      <w:r w:rsidR="009F3217" w:rsidRPr="00465302">
        <w:rPr>
          <w:rFonts w:eastAsia="Times New Roman" w:cs="Times New Roman"/>
          <w:color w:val="000000"/>
          <w:szCs w:val="24"/>
        </w:rPr>
        <w:t xml:space="preserve"> </w:t>
      </w:r>
      <w:r w:rsidR="009F3217" w:rsidRPr="00465302">
        <w:rPr>
          <w:rFonts w:eastAsia="Times New Roman" w:cs="Times New Roman"/>
          <w:color w:val="000000"/>
          <w:szCs w:val="24"/>
        </w:rPr>
        <w:fldChar w:fldCharType="begin" w:fldLock="1"/>
      </w:r>
      <w:r w:rsidR="009F3217" w:rsidRPr="00465302">
        <w:rPr>
          <w:rFonts w:eastAsia="Times New Roman" w:cs="Times New Roman"/>
          <w:color w:val="000000"/>
          <w:szCs w:val="24"/>
        </w:rPr>
        <w:instrText>ADDIN CSL_CITATION {"citationItems":[{"id":"ITEM-1","itemData":{"DOI":"10.1016/j.reprotox.2016.12.004","ISSN":"1873-1708","abstract":"Chemically-induced vascular toxicity during embryonic development may cause a wide range of adverse effects. To identify putative vascular disrupting chemicals (pVDCs), a predictive pVDC signature was constructed from 124 U.S. EPA ToxCast high-throughput screening (HTS) assays and used to rank 1060 chemicals for their potential to disrupt vascular development. Thirty-seven compounds were selected for targeted testing in transgenic Tg(kdrl:EGFP) and Tg(fli1:EGFP) zebrafish embryos to identify chemicals that impair developmental angiogenesis. We hypothesized that zebrafish angiogenesis toxicity data would correlate with human cell-based and cell-free in vitro HTS ToxCast data. Univariate statistical associations used to filter HTS data based on correlations with zebrafish angiogenic inhibition in vivo revealed 132 total significant associations, 33 of which were already captured in the pVDC signature, and 689 non-significant assay associations. Correlated assays were enriched in cytokine and extracellular matrix pathways. Taken together, the findings indicate the utility of zebrafish assays to evaluate an HTS-based predictive toxicity signature and also provide an experimental basis for expansion of the pVDC signature with novel HTS assays.","author":[{"dropping-particle":"","family":"Tal","given":"Tamara","non-dropping-particle":"","parse-names":false,"suffix":""},{"dropping-particle":"","family":"Kilty","given":"Claire","non-dropping-particle":"","parse-names":false,"suffix":""},{"dropping-particle":"","family":"Smith","given":"Andrew","non-dropping-particle":"","parse-names":false,"suffix":""},{"dropping-particle":"","family":"LaLone","given":"Carlie","non-dropping-particle":"","parse-names":false,"suffix":""},{"dropping-particle":"","family":"Kennedy","given":"Brendán","non-dropping-particle":"","parse-names":false,"suffix":""},{"dropping-particle":"","family":"Tennant","given":"Alan","non-dropping-particle":"","parse-names":false,"suffix":""},{"dropping-particle":"","family":"McCollum","given":"Catherine W","non-dropping-particle":"","parse-names":false,"suffix":""},{"dropping-particle":"","family":"Bondesson","given":"Maria","non-dropping-particle":"","parse-names":false,"suffix":""},{"dropping-particle":"","family":"Knudsen","given":"Thomas","non-dropping-particle":"","parse-names":false,"suffix":""},{"dropping-particle":"","family":"Padilla","given":"Stephanie","non-dropping-particle":"","parse-names":false,"suffix":""},{"dropping-particle":"","family":"Kleinstreuer","given":"Nicole","non-dropping-particle":"","parse-names":false,"suffix":""}],"container-title":"Reproductive toxicology (Elmsford, N.Y.)","edition":"2016/12/19","id":"ITEM-1","issued":{"date-parts":[["2017","6"]]},"language":"eng","page":"70-81","title":"Screening for angiogenic inhibitors in zebrafish to evaluate a predictive model for developmental vascular toxicity","type":"article-journal","volume":"70"},"uris":["http://www.mendeley.com/documents/?uuid=0c8657df-d6b5-4ccf-ba70-bced824288c4"]}],"mendeley":{"formattedCitation":"(Tal &lt;i&gt;et al.&lt;/i&gt;, 2017)","plainTextFormattedCitation":"(Tal et al., 2017)","previouslyFormattedCitation":"(Tal &lt;i&gt;et al.&lt;/i&gt;, 2017)"},"properties":{"noteIndex":0},"schema":"https://github.com/citation-style-language/schema/raw/master/csl-citation.json"}</w:instrText>
      </w:r>
      <w:r w:rsidR="009F3217" w:rsidRPr="00465302">
        <w:rPr>
          <w:rFonts w:eastAsia="Times New Roman" w:cs="Times New Roman"/>
          <w:color w:val="000000"/>
          <w:szCs w:val="24"/>
        </w:rPr>
        <w:fldChar w:fldCharType="separate"/>
      </w:r>
      <w:r w:rsidR="009F3217" w:rsidRPr="00465302">
        <w:rPr>
          <w:rFonts w:eastAsia="Times New Roman" w:cs="Times New Roman"/>
          <w:noProof/>
          <w:color w:val="000000"/>
          <w:szCs w:val="24"/>
        </w:rPr>
        <w:t xml:space="preserve">(Tal </w:t>
      </w:r>
      <w:r w:rsidR="009F3217" w:rsidRPr="00465302">
        <w:rPr>
          <w:rFonts w:eastAsia="Times New Roman" w:cs="Times New Roman"/>
          <w:i/>
          <w:noProof/>
          <w:color w:val="000000"/>
          <w:szCs w:val="24"/>
        </w:rPr>
        <w:t>et al.</w:t>
      </w:r>
      <w:r w:rsidR="009F3217" w:rsidRPr="00465302">
        <w:rPr>
          <w:rFonts w:eastAsia="Times New Roman" w:cs="Times New Roman"/>
          <w:noProof/>
          <w:color w:val="000000"/>
          <w:szCs w:val="24"/>
        </w:rPr>
        <w:t>, 2017)</w:t>
      </w:r>
      <w:r w:rsidR="009F3217" w:rsidRPr="00465302">
        <w:rPr>
          <w:rFonts w:eastAsia="Times New Roman" w:cs="Times New Roman"/>
          <w:color w:val="000000"/>
          <w:szCs w:val="24"/>
        </w:rPr>
        <w:fldChar w:fldCharType="end"/>
      </w:r>
      <w:r w:rsidRPr="00465302">
        <w:rPr>
          <w:rFonts w:eastAsia="Times New Roman" w:cs="Times New Roman"/>
          <w:color w:val="000000"/>
          <w:szCs w:val="24"/>
        </w:rPr>
        <w:t>. Highly correlated novel HTS assays were identified and include an x-box binding protein transcriptional assay and two primary endothelial cell death assays</w:t>
      </w:r>
      <w:r w:rsidR="009F3217" w:rsidRPr="00465302">
        <w:rPr>
          <w:rFonts w:eastAsia="Times New Roman" w:cs="Times New Roman"/>
          <w:color w:val="000000"/>
          <w:szCs w:val="24"/>
        </w:rPr>
        <w:t xml:space="preserve"> </w:t>
      </w:r>
      <w:r w:rsidR="009F3217" w:rsidRPr="00465302">
        <w:rPr>
          <w:rFonts w:eastAsia="Times New Roman" w:cs="Times New Roman"/>
          <w:color w:val="000000"/>
          <w:szCs w:val="24"/>
        </w:rPr>
        <w:fldChar w:fldCharType="begin" w:fldLock="1"/>
      </w:r>
      <w:r w:rsidR="009F3217" w:rsidRPr="00465302">
        <w:rPr>
          <w:rFonts w:eastAsia="Times New Roman" w:cs="Times New Roman"/>
          <w:color w:val="000000"/>
          <w:szCs w:val="24"/>
        </w:rPr>
        <w:instrText>ADDIN CSL_CITATION {"citationItems":[{"id":"ITEM-1","itemData":{"DOI":"10.1016/j.reprotox.2016.12.004","ISSN":"1873-1708","abstract":"Chemically-induced vascular toxicity during embryonic development may cause a wide range of adverse effects. To identify putative vascular disrupting chemicals (pVDCs), a predictive pVDC signature was constructed from 124 U.S. EPA ToxCast high-throughput screening (HTS) assays and used to rank 1060 chemicals for their potential to disrupt vascular development. Thirty-seven compounds were selected for targeted testing in transgenic Tg(kdrl:EGFP) and Tg(fli1:EGFP) zebrafish embryos to identify chemicals that impair developmental angiogenesis. We hypothesized that zebrafish angiogenesis toxicity data would correlate with human cell-based and cell-free in vitro HTS ToxCast data. Univariate statistical associations used to filter HTS data based on correlations with zebrafish angiogenic inhibition in vivo revealed 132 total significant associations, 33 of which were already captured in the pVDC signature, and 689 non-significant assay associations. Correlated assays were enriched in cytokine and extracellular matrix pathways. Taken together, the findings indicate the utility of zebrafish assays to evaluate an HTS-based predictive toxicity signature and also provide an experimental basis for expansion of the pVDC signature with novel HTS assays.","author":[{"dropping-particle":"","family":"Tal","given":"Tamara","non-dropping-particle":"","parse-names":false,"suffix":""},{"dropping-particle":"","family":"Kilty","given":"Claire","non-dropping-particle":"","parse-names":false,"suffix":""},{"dropping-particle":"","family":"Smith","given":"Andrew","non-dropping-particle":"","parse-names":false,"suffix":""},{"dropping-particle":"","family":"LaLone","given":"Carlie","non-dropping-particle":"","parse-names":false,"suffix":""},{"dropping-particle":"","family":"Kennedy","given":"Brendán","non-dropping-particle":"","parse-names":false,"suffix":""},{"dropping-particle":"","family":"Tennant","given":"Alan","non-dropping-particle":"","parse-names":false,"suffix":""},{"dropping-particle":"","family":"McCollum","given":"Catherine W","non-dropping-particle":"","parse-names":false,"suffix":""},{"dropping-particle":"","family":"Bondesson","given":"Maria","non-dropping-particle":"","parse-names":false,"suffix":""},{"dropping-particle":"","family":"Knudsen","given":"Thomas","non-dropping-particle":"","parse-names":false,"suffix":""},{"dropping-particle":"","family":"Padilla","given":"Stephanie","non-dropping-particle":"","parse-names":false,"suffix":""},{"dropping-particle":"","family":"Kleinstreuer","given":"Nicole","non-dropping-particle":"","parse-names":false,"suffix":""}],"container-title":"Reproductive toxicology (Elmsford, N.Y.)","edition":"2016/12/19","id":"ITEM-1","issued":{"date-parts":[["2017","6"]]},"language":"eng","page":"70-81","title":"Screening for angiogenic inhibitors in zebrafish to evaluate a predictive model for developmental vascular toxicity","type":"article-journal","volume":"70"},"uris":["http://www.mendeley.com/documents/?uuid=0c8657df-d6b5-4ccf-ba70-bced824288c4"]}],"mendeley":{"formattedCitation":"(Tal &lt;i&gt;et al.&lt;/i&gt;, 2017)","plainTextFormattedCitation":"(Tal et al., 2017)","previouslyFormattedCitation":"(Tal &lt;i&gt;et al.&lt;/i&gt;, 2017)"},"properties":{"noteIndex":0},"schema":"https://github.com/citation-style-language/schema/raw/master/csl-citation.json"}</w:instrText>
      </w:r>
      <w:r w:rsidR="009F3217" w:rsidRPr="00465302">
        <w:rPr>
          <w:rFonts w:eastAsia="Times New Roman" w:cs="Times New Roman"/>
          <w:color w:val="000000"/>
          <w:szCs w:val="24"/>
        </w:rPr>
        <w:fldChar w:fldCharType="separate"/>
      </w:r>
      <w:r w:rsidR="009F3217" w:rsidRPr="00465302">
        <w:rPr>
          <w:rFonts w:eastAsia="Times New Roman" w:cs="Times New Roman"/>
          <w:noProof/>
          <w:color w:val="000000"/>
          <w:szCs w:val="24"/>
        </w:rPr>
        <w:t xml:space="preserve">(Tal </w:t>
      </w:r>
      <w:r w:rsidR="009F3217" w:rsidRPr="00465302">
        <w:rPr>
          <w:rFonts w:eastAsia="Times New Roman" w:cs="Times New Roman"/>
          <w:i/>
          <w:noProof/>
          <w:color w:val="000000"/>
          <w:szCs w:val="24"/>
        </w:rPr>
        <w:t>et al.</w:t>
      </w:r>
      <w:r w:rsidR="009F3217" w:rsidRPr="00465302">
        <w:rPr>
          <w:rFonts w:eastAsia="Times New Roman" w:cs="Times New Roman"/>
          <w:noProof/>
          <w:color w:val="000000"/>
          <w:szCs w:val="24"/>
        </w:rPr>
        <w:t>, 2017)</w:t>
      </w:r>
      <w:r w:rsidR="009F3217" w:rsidRPr="00465302">
        <w:rPr>
          <w:rFonts w:eastAsia="Times New Roman" w:cs="Times New Roman"/>
          <w:color w:val="000000"/>
          <w:szCs w:val="24"/>
        </w:rPr>
        <w:fldChar w:fldCharType="end"/>
      </w:r>
      <w:r w:rsidRPr="00465302">
        <w:rPr>
          <w:rFonts w:eastAsia="Times New Roman" w:cs="Times New Roman"/>
          <w:color w:val="000000"/>
          <w:szCs w:val="24"/>
        </w:rPr>
        <w:t>. However, these studies were based on data of various apical phenotypes of vascular disruption in zebrafish, as well as testing in cells. Because different vascular toxicity phenotypes in zebrafish, such as malformed ISVs and uncondensed CVP, is likely, at least partly, caused by different molecular initiating events, the correlations to pathways may reflect several different and unrelated events. </w:t>
      </w:r>
    </w:p>
    <w:p w14:paraId="17694E51" w14:textId="705CA5C5" w:rsidR="00E13268" w:rsidRPr="00465302" w:rsidRDefault="00E13268" w:rsidP="00E13268">
      <w:pPr>
        <w:spacing w:line="480" w:lineRule="auto"/>
        <w:jc w:val="both"/>
        <w:rPr>
          <w:rFonts w:eastAsia="Times New Roman" w:cs="Times New Roman"/>
          <w:szCs w:val="24"/>
        </w:rPr>
      </w:pPr>
      <w:r w:rsidRPr="00465302">
        <w:rPr>
          <w:rFonts w:eastAsia="Times New Roman" w:cs="Times New Roman"/>
          <w:color w:val="000000"/>
          <w:szCs w:val="24"/>
        </w:rPr>
        <w:t>We here set out to generate and test a more specific VDC profile by focusing on one phenotype only. We selected the disruption of ISVs to represent a phenotypic angiogenesis assay, and among 1</w:t>
      </w:r>
      <w:r w:rsidR="00C06554" w:rsidRPr="00465302">
        <w:rPr>
          <w:rFonts w:eastAsia="Times New Roman" w:cs="Times New Roman"/>
          <w:color w:val="000000"/>
          <w:szCs w:val="24"/>
        </w:rPr>
        <w:t>75</w:t>
      </w:r>
      <w:r w:rsidRPr="00465302">
        <w:rPr>
          <w:rFonts w:eastAsia="Times New Roman" w:cs="Times New Roman"/>
          <w:color w:val="000000"/>
          <w:szCs w:val="24"/>
        </w:rPr>
        <w:t xml:space="preserve"> tested ToxCast chemicals, selected the ones that caused ISV perturbations. We investigated the effect of selected ISV Vascular Disruptor Compounds (ISV-VDCs) on zebrafish angiogenesis </w:t>
      </w:r>
      <w:r w:rsidRPr="00465302">
        <w:rPr>
          <w:rFonts w:eastAsia="Times New Roman" w:cs="Times New Roman"/>
          <w:i/>
          <w:iCs/>
          <w:color w:val="000000"/>
          <w:szCs w:val="24"/>
        </w:rPr>
        <w:t>in vivo</w:t>
      </w:r>
      <w:r w:rsidRPr="00465302">
        <w:rPr>
          <w:rFonts w:eastAsia="Times New Roman" w:cs="Times New Roman"/>
          <w:color w:val="000000"/>
          <w:szCs w:val="24"/>
        </w:rPr>
        <w:t xml:space="preserve"> and human umbilical vascular endothelial cells (HUVEC) tube formation </w:t>
      </w:r>
      <w:r w:rsidRPr="00465302">
        <w:rPr>
          <w:rFonts w:eastAsia="Times New Roman" w:cs="Times New Roman"/>
          <w:i/>
          <w:iCs/>
          <w:color w:val="000000"/>
          <w:szCs w:val="24"/>
        </w:rPr>
        <w:t>in vitro</w:t>
      </w:r>
      <w:r w:rsidRPr="00465302">
        <w:rPr>
          <w:rFonts w:eastAsia="Times New Roman" w:cs="Times New Roman"/>
          <w:color w:val="000000"/>
          <w:szCs w:val="24"/>
        </w:rPr>
        <w:t>. By univariate correlation analysis, we identified assays that correlated to the ISV-VDCs and used these assays to predict and rank potentially novel vascular disruptors.</w:t>
      </w:r>
    </w:p>
    <w:p w14:paraId="1C205E8C" w14:textId="537FB475" w:rsidR="00A5237A" w:rsidRPr="00465302" w:rsidRDefault="00E13268">
      <w:pPr>
        <w:pStyle w:val="Heading2"/>
        <w:rPr>
          <w:rFonts w:eastAsia="Times New Roman"/>
        </w:rPr>
      </w:pPr>
      <w:bookmarkStart w:id="53" w:name="_Toc39502055"/>
      <w:bookmarkEnd w:id="51"/>
      <w:r w:rsidRPr="00465302">
        <w:rPr>
          <w:rFonts w:eastAsia="Times New Roman"/>
        </w:rPr>
        <w:lastRenderedPageBreak/>
        <w:t>3.2 RESULTS</w:t>
      </w:r>
      <w:bookmarkEnd w:id="53"/>
    </w:p>
    <w:p w14:paraId="20D7E6EB" w14:textId="77777777" w:rsidR="00A5237A" w:rsidRPr="00465302" w:rsidRDefault="00A5237A" w:rsidP="00317481">
      <w:pPr>
        <w:pStyle w:val="Heading3"/>
        <w:rPr>
          <w:rFonts w:eastAsia="Times New Roman"/>
        </w:rPr>
      </w:pPr>
      <w:bookmarkStart w:id="54" w:name="_Toc39502056"/>
      <w:r w:rsidRPr="00465302">
        <w:rPr>
          <w:rFonts w:eastAsia="Times New Roman"/>
        </w:rPr>
        <w:t>3.2.1 Identification of Novel Vascular Disruptor Compounds (VDC)</w:t>
      </w:r>
      <w:bookmarkEnd w:id="54"/>
    </w:p>
    <w:p w14:paraId="15C298D8" w14:textId="3B54535B" w:rsidR="00A5237A" w:rsidRPr="00465302" w:rsidRDefault="00A5237A" w:rsidP="00242745">
      <w:pPr>
        <w:spacing w:before="0" w:after="0" w:line="480" w:lineRule="auto"/>
        <w:jc w:val="both"/>
        <w:rPr>
          <w:rFonts w:eastAsia="Times New Roman" w:cs="Times New Roman"/>
          <w:color w:val="000000"/>
          <w:szCs w:val="24"/>
        </w:rPr>
      </w:pPr>
      <w:r w:rsidRPr="00465302">
        <w:rPr>
          <w:rFonts w:eastAsia="Times New Roman" w:cs="Times New Roman"/>
          <w:color w:val="000000"/>
          <w:szCs w:val="24"/>
        </w:rPr>
        <w:t xml:space="preserve">McCollum </w:t>
      </w:r>
      <w:r w:rsidRPr="00DD79FA">
        <w:rPr>
          <w:rFonts w:eastAsia="Times New Roman" w:cs="Times New Roman"/>
          <w:i/>
          <w:iCs/>
          <w:color w:val="000000"/>
          <w:szCs w:val="24"/>
        </w:rPr>
        <w:t>et al.</w:t>
      </w:r>
      <w:r w:rsidRPr="00465302">
        <w:rPr>
          <w:rFonts w:eastAsia="Times New Roman" w:cs="Times New Roman"/>
          <w:color w:val="000000"/>
          <w:szCs w:val="24"/>
        </w:rPr>
        <w:t xml:space="preserve"> from our lab previously screened 175 chemicals of the EPA’s ToxCast Phase I library in the </w:t>
      </w:r>
      <w:r w:rsidRPr="00465302">
        <w:rPr>
          <w:rFonts w:eastAsia="Times New Roman" w:cs="Times New Roman"/>
          <w:i/>
          <w:iCs/>
          <w:color w:val="000000"/>
          <w:szCs w:val="24"/>
        </w:rPr>
        <w:t>Tg</w:t>
      </w:r>
      <w:r w:rsidR="009A0B96">
        <w:rPr>
          <w:rFonts w:eastAsia="Times New Roman" w:cs="Times New Roman"/>
          <w:i/>
          <w:iCs/>
          <w:color w:val="000000"/>
          <w:szCs w:val="24"/>
        </w:rPr>
        <w:t xml:space="preserve"> </w:t>
      </w:r>
      <w:r w:rsidRPr="00465302">
        <w:rPr>
          <w:rFonts w:eastAsia="Times New Roman" w:cs="Times New Roman"/>
          <w:i/>
          <w:iCs/>
          <w:color w:val="000000"/>
          <w:szCs w:val="24"/>
        </w:rPr>
        <w:t>(kdrl:EGFP)mitfa</w:t>
      </w:r>
      <w:r w:rsidRPr="00465302">
        <w:rPr>
          <w:rFonts w:eastAsia="Times New Roman" w:cs="Times New Roman"/>
          <w:i/>
          <w:iCs/>
          <w:color w:val="000000"/>
          <w:szCs w:val="24"/>
          <w:vertAlign w:val="superscript"/>
        </w:rPr>
        <w:t>b692/b6s92</w:t>
      </w:r>
      <w:r w:rsidRPr="00465302">
        <w:rPr>
          <w:rFonts w:eastAsia="Times New Roman" w:cs="Times New Roman"/>
          <w:color w:val="000000"/>
          <w:szCs w:val="24"/>
        </w:rPr>
        <w:t xml:space="preserve"> embryos of zebrafish to identify VDCs</w:t>
      </w:r>
      <w:r w:rsidR="009F3217" w:rsidRPr="00465302">
        <w:rPr>
          <w:rFonts w:eastAsia="Times New Roman" w:cs="Times New Roman"/>
          <w:color w:val="000000"/>
          <w:szCs w:val="24"/>
        </w:rPr>
        <w:t xml:space="preserve"> </w:t>
      </w:r>
      <w:r w:rsidR="009F3217" w:rsidRPr="00465302">
        <w:rPr>
          <w:rFonts w:eastAsia="Times New Roman" w:cs="Times New Roman"/>
          <w:color w:val="000000"/>
          <w:szCs w:val="24"/>
        </w:rPr>
        <w:fldChar w:fldCharType="begin" w:fldLock="1"/>
      </w:r>
      <w:r w:rsidR="009F3217" w:rsidRPr="00465302">
        <w:rPr>
          <w:rFonts w:eastAsia="Times New Roman" w:cs="Times New Roman"/>
          <w:color w:val="000000"/>
          <w:szCs w:val="24"/>
        </w:rPr>
        <w:instrText>ADDIN CSL_CITATION {"citationItems":[{"id":"ITEM-1","itemData":{"DOI":"10.1016/j.reprotox.2016.11.005","ISSN":"0890-6238","author":[{"dropping-particle":"","family":"McCollum","given":"Catherine W","non-dropping-particle":"","parse-names":false,"suffix":""},{"dropping-particle":"","family":"Conde-Vancells","given":"Javier","non-dropping-particle":"","parse-names":false,"suffix":""},{"dropping-particle":"","family":"Hans","given":"Charu","non-dropping-particle":"","parse-names":false,"suffix":""},{"dropping-particle":"","family":"Vazquez-Chantada","given":"Mercedes","non-dropping-particle":"","parse-names":false,"suffix":""},{"dropping-particle":"","family":"Kleinstreuer","given":"Nicole","non-dropping-particle":"","parse-names":false,"suffix":""},{"dropping-particle":"","family":"Tal","given":"Tamara","non-dropping-particle":"","parse-names":false,"suffix":""},{"dropping-particle":"","family":"Knudsen","given":"Thomas","non-dropping-particle":"","parse-names":false,"suffix":""},{"dropping-particle":"","family":"Shah","given":"Shishir S","non-dropping-particle":"","parse-names":false,"suffix":""},{"dropping-particle":"","family":"Merchant","given":"Fatima A","non-dropping-particle":"","parse-names":false,"suffix":""},{"dropping-particle":"","family":"Finnell","given":"Richard H","non-dropping-particle":"","parse-names":false,"suffix":""},{"dropping-particle":"","family":"Gustafsson","given":"Jan-Åke","non-dropping-particle":"","parse-names":false,"suffix":""},{"dropping-particle":"","family":"Cabrera","given":"Robert","non-dropping-particle":"","parse-names":false,"suffix":""},{"dropping-particle":"","family":"Bondesson","given":"Maria","non-dropping-particle":"","parse-names":false,"suffix":""}],"container-title":"Reproductive toxicology (Elmsford, N.Y.)","id":"ITEM-1","issued":{"date-parts":[["2017","6"]]},"page":"60—69","title":"Identification of vascular disruptor compounds by analysis in zebrafish embryos and mouse embryonic endothelial cells","type":"article-journal","volume":"70"},"uris":["http://www.mendeley.com/documents/?uuid=11b1d565-0574-4e91-bd55-30399b5993f2"]}],"mendeley":{"formattedCitation":"(McCollum &lt;i&gt;et al.&lt;/i&gt;, 2017)","plainTextFormattedCitation":"(McCollum et al., 2017)","previouslyFormattedCitation":"(McCollum &lt;i&gt;et al.&lt;/i&gt;, 2017)"},"properties":{"noteIndex":0},"schema":"https://github.com/citation-style-language/schema/raw/master/csl-citation.json"}</w:instrText>
      </w:r>
      <w:r w:rsidR="009F3217" w:rsidRPr="00465302">
        <w:rPr>
          <w:rFonts w:eastAsia="Times New Roman" w:cs="Times New Roman"/>
          <w:color w:val="000000"/>
          <w:szCs w:val="24"/>
        </w:rPr>
        <w:fldChar w:fldCharType="separate"/>
      </w:r>
      <w:r w:rsidR="009F3217" w:rsidRPr="00465302">
        <w:rPr>
          <w:rFonts w:eastAsia="Times New Roman" w:cs="Times New Roman"/>
          <w:noProof/>
          <w:color w:val="000000"/>
          <w:szCs w:val="24"/>
        </w:rPr>
        <w:t xml:space="preserve">(McCollum </w:t>
      </w:r>
      <w:r w:rsidR="009F3217" w:rsidRPr="00465302">
        <w:rPr>
          <w:rFonts w:eastAsia="Times New Roman" w:cs="Times New Roman"/>
          <w:i/>
          <w:noProof/>
          <w:color w:val="000000"/>
          <w:szCs w:val="24"/>
        </w:rPr>
        <w:t>et al.</w:t>
      </w:r>
      <w:r w:rsidR="009F3217" w:rsidRPr="00465302">
        <w:rPr>
          <w:rFonts w:eastAsia="Times New Roman" w:cs="Times New Roman"/>
          <w:noProof/>
          <w:color w:val="000000"/>
          <w:szCs w:val="24"/>
        </w:rPr>
        <w:t>, 2017)</w:t>
      </w:r>
      <w:r w:rsidR="009F3217" w:rsidRPr="00465302">
        <w:rPr>
          <w:rFonts w:eastAsia="Times New Roman" w:cs="Times New Roman"/>
          <w:color w:val="000000"/>
          <w:szCs w:val="24"/>
        </w:rPr>
        <w:fldChar w:fldCharType="end"/>
      </w:r>
      <w:r w:rsidRPr="00465302">
        <w:rPr>
          <w:rFonts w:eastAsia="Times New Roman" w:cs="Times New Roman"/>
          <w:color w:val="000000"/>
          <w:szCs w:val="24"/>
        </w:rPr>
        <w:t>.</w:t>
      </w:r>
      <w:r w:rsidR="00B14545" w:rsidRPr="00465302">
        <w:rPr>
          <w:rFonts w:eastAsia="Times New Roman" w:cs="Times New Roman"/>
          <w:color w:val="000000"/>
          <w:szCs w:val="24"/>
        </w:rPr>
        <w:t xml:space="preserve"> </w:t>
      </w:r>
      <w:r w:rsidRPr="00465302">
        <w:rPr>
          <w:rFonts w:eastAsia="Times New Roman" w:cs="Times New Roman"/>
          <w:color w:val="000000"/>
          <w:szCs w:val="24"/>
        </w:rPr>
        <w:t xml:space="preserve">Out of all the VDCs identified, </w:t>
      </w:r>
      <w:r w:rsidR="000F258A">
        <w:rPr>
          <w:rFonts w:eastAsia="Times New Roman" w:cs="Times New Roman"/>
          <w:color w:val="000000"/>
          <w:szCs w:val="24"/>
        </w:rPr>
        <w:t>ten</w:t>
      </w:r>
      <w:r w:rsidRPr="00465302">
        <w:rPr>
          <w:rFonts w:eastAsia="Times New Roman" w:cs="Times New Roman"/>
          <w:color w:val="000000"/>
          <w:szCs w:val="24"/>
        </w:rPr>
        <w:t xml:space="preserve"> chemicals specifically caused ISV disruption (ISV-VDCs) (</w:t>
      </w:r>
      <w:r w:rsidRPr="00465302">
        <w:rPr>
          <w:rStyle w:val="Strong"/>
        </w:rPr>
        <w:t>Table 3.1</w:t>
      </w:r>
      <w:r w:rsidRPr="00465302">
        <w:rPr>
          <w:rFonts w:eastAsia="Times New Roman" w:cs="Times New Roman"/>
          <w:color w:val="000000"/>
          <w:szCs w:val="24"/>
        </w:rPr>
        <w:t xml:space="preserve">). </w:t>
      </w:r>
    </w:p>
    <w:p w14:paraId="656E5748" w14:textId="77777777" w:rsidR="00A5237A" w:rsidRPr="00465302" w:rsidRDefault="00A5237A" w:rsidP="00A5237A">
      <w:pPr>
        <w:spacing w:after="0" w:line="240" w:lineRule="auto"/>
        <w:jc w:val="both"/>
        <w:rPr>
          <w:rFonts w:eastAsia="Times New Roman" w:cs="Times New Roman"/>
          <w:color w:val="000000"/>
          <w:szCs w:val="24"/>
        </w:rPr>
      </w:pPr>
      <w:r w:rsidRPr="00465302">
        <w:rPr>
          <w:rFonts w:eastAsia="Times New Roman" w:cs="Times New Roman"/>
          <w:noProof/>
          <w:color w:val="000000"/>
          <w:szCs w:val="24"/>
        </w:rPr>
        <w:drawing>
          <wp:inline distT="0" distB="0" distL="0" distR="0" wp14:anchorId="406097F6" wp14:editId="12738391">
            <wp:extent cx="5852160" cy="4957799"/>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52160" cy="4957799"/>
                    </a:xfrm>
                    <a:prstGeom prst="rect">
                      <a:avLst/>
                    </a:prstGeom>
                    <a:noFill/>
                  </pic:spPr>
                </pic:pic>
              </a:graphicData>
            </a:graphic>
          </wp:inline>
        </w:drawing>
      </w:r>
    </w:p>
    <w:p w14:paraId="7887E66B" w14:textId="77777777" w:rsidR="00A5237A" w:rsidRPr="00465302" w:rsidRDefault="00A5237A" w:rsidP="00317481">
      <w:pPr>
        <w:pStyle w:val="Heading3"/>
        <w:rPr>
          <w:rFonts w:eastAsia="Times New Roman"/>
        </w:rPr>
      </w:pPr>
      <w:bookmarkStart w:id="55" w:name="_Toc39502057"/>
      <w:r w:rsidRPr="00465302">
        <w:rPr>
          <w:rFonts w:eastAsia="Times New Roman"/>
        </w:rPr>
        <w:lastRenderedPageBreak/>
        <w:t xml:space="preserve">3.2.2 VDC Exposure Causes Dose-Dependent ISV Perturbation </w:t>
      </w:r>
      <w:r w:rsidRPr="00465302">
        <w:rPr>
          <w:rFonts w:eastAsia="Times New Roman"/>
          <w:i/>
          <w:iCs/>
        </w:rPr>
        <w:t>in vivo</w:t>
      </w:r>
      <w:r w:rsidRPr="00465302">
        <w:rPr>
          <w:rFonts w:eastAsia="Times New Roman"/>
        </w:rPr>
        <w:t xml:space="preserve"> and </w:t>
      </w:r>
      <w:r w:rsidRPr="00465302">
        <w:rPr>
          <w:rFonts w:eastAsia="Times New Roman"/>
          <w:i/>
          <w:iCs/>
        </w:rPr>
        <w:t>in vitro</w:t>
      </w:r>
      <w:bookmarkEnd w:id="55"/>
    </w:p>
    <w:p w14:paraId="109F816C" w14:textId="3D541149" w:rsidR="00A5237A" w:rsidRPr="00465302" w:rsidRDefault="00A5237A" w:rsidP="00317481">
      <w:pPr>
        <w:spacing w:before="0" w:line="480" w:lineRule="auto"/>
        <w:jc w:val="both"/>
        <w:rPr>
          <w:rFonts w:eastAsia="Times New Roman" w:cs="Times New Roman"/>
          <w:color w:val="000000"/>
          <w:szCs w:val="24"/>
        </w:rPr>
      </w:pPr>
      <w:r w:rsidRPr="00465302">
        <w:rPr>
          <w:rFonts w:eastAsia="Times New Roman" w:cs="Times New Roman"/>
          <w:color w:val="000000"/>
          <w:szCs w:val="24"/>
        </w:rPr>
        <w:t xml:space="preserve">We selected five potent compounds among the 10 ISV-VDCs identified to analyze dose-dependent toxicity. </w:t>
      </w:r>
      <w:r w:rsidRPr="00465302">
        <w:rPr>
          <w:rFonts w:eastAsia="Times New Roman" w:cs="Times New Roman"/>
          <w:i/>
          <w:iCs/>
          <w:color w:val="000000"/>
          <w:szCs w:val="24"/>
        </w:rPr>
        <w:t>Tg</w:t>
      </w:r>
      <w:r w:rsidR="009A0B96">
        <w:rPr>
          <w:rFonts w:eastAsia="Times New Roman" w:cs="Times New Roman"/>
          <w:i/>
          <w:iCs/>
          <w:color w:val="000000"/>
          <w:szCs w:val="24"/>
        </w:rPr>
        <w:t xml:space="preserve"> </w:t>
      </w:r>
      <w:r w:rsidRPr="00465302">
        <w:rPr>
          <w:rFonts w:eastAsia="Times New Roman" w:cs="Times New Roman"/>
          <w:i/>
          <w:iCs/>
          <w:color w:val="000000"/>
          <w:szCs w:val="24"/>
        </w:rPr>
        <w:t>(kdrl:EGFP)mitfa</w:t>
      </w:r>
      <w:r w:rsidRPr="00465302">
        <w:rPr>
          <w:rFonts w:eastAsia="Times New Roman" w:cs="Times New Roman"/>
          <w:i/>
          <w:iCs/>
          <w:color w:val="000000"/>
          <w:szCs w:val="24"/>
          <w:vertAlign w:val="superscript"/>
        </w:rPr>
        <w:t>b692/b692</w:t>
      </w:r>
      <w:r w:rsidRPr="00465302">
        <w:rPr>
          <w:rFonts w:eastAsia="Times New Roman" w:cs="Times New Roman"/>
          <w:color w:val="000000"/>
          <w:szCs w:val="24"/>
        </w:rPr>
        <w:t xml:space="preserve"> embryos were exposed to increasing concentrations of fenpyroximate, pyraclostrobin, pyridaben, rotenone</w:t>
      </w:r>
      <w:r w:rsidR="007B4498" w:rsidRPr="00465302">
        <w:rPr>
          <w:rFonts w:eastAsia="Times New Roman" w:cs="Times New Roman"/>
          <w:color w:val="000000"/>
          <w:szCs w:val="24"/>
        </w:rPr>
        <w:t>,</w:t>
      </w:r>
      <w:r w:rsidRPr="00465302">
        <w:rPr>
          <w:rFonts w:eastAsia="Times New Roman" w:cs="Times New Roman"/>
          <w:color w:val="000000"/>
          <w:szCs w:val="24"/>
        </w:rPr>
        <w:t xml:space="preserve"> and trifloxystrobin. All five compounds showed </w:t>
      </w:r>
      <w:r w:rsidR="007B4498" w:rsidRPr="00465302">
        <w:rPr>
          <w:rFonts w:eastAsia="Times New Roman" w:cs="Times New Roman"/>
          <w:color w:val="000000"/>
          <w:szCs w:val="24"/>
        </w:rPr>
        <w:t xml:space="preserve">a </w:t>
      </w:r>
      <w:r w:rsidRPr="00465302">
        <w:rPr>
          <w:rFonts w:eastAsia="Times New Roman" w:cs="Times New Roman"/>
          <w:color w:val="000000"/>
          <w:szCs w:val="24"/>
        </w:rPr>
        <w:t>dose-dependent increase in toxicity (</w:t>
      </w:r>
      <w:r w:rsidRPr="00465302">
        <w:rPr>
          <w:rStyle w:val="Strong"/>
        </w:rPr>
        <w:t>Figure 3.2</w:t>
      </w:r>
      <w:r w:rsidRPr="00465302">
        <w:rPr>
          <w:rFonts w:eastAsia="Times New Roman" w:cs="Times New Roman"/>
          <w:color w:val="000000"/>
          <w:szCs w:val="24"/>
        </w:rPr>
        <w:t xml:space="preserve">). </w:t>
      </w:r>
    </w:p>
    <w:p w14:paraId="5234CB19" w14:textId="0CF12379" w:rsidR="00A5237A" w:rsidRDefault="00A5237A" w:rsidP="00A5237A">
      <w:pPr>
        <w:spacing w:line="480" w:lineRule="auto"/>
        <w:jc w:val="both"/>
        <w:rPr>
          <w:rFonts w:eastAsia="Times New Roman" w:cs="Times New Roman"/>
          <w:color w:val="000000"/>
          <w:szCs w:val="24"/>
        </w:rPr>
      </w:pPr>
    </w:p>
    <w:p w14:paraId="19EAA1A4" w14:textId="77777777" w:rsidR="00EE6A62" w:rsidRPr="00465302" w:rsidRDefault="00EE6A62" w:rsidP="00A5237A">
      <w:pPr>
        <w:spacing w:line="480" w:lineRule="auto"/>
        <w:jc w:val="both"/>
        <w:rPr>
          <w:rFonts w:eastAsia="Times New Roman" w:cs="Times New Roman"/>
          <w:color w:val="000000"/>
          <w:szCs w:val="24"/>
        </w:rPr>
      </w:pPr>
    </w:p>
    <w:p w14:paraId="4E606722" w14:textId="77777777" w:rsidR="00A5237A" w:rsidRPr="00465302" w:rsidRDefault="00A5237A" w:rsidP="00242745">
      <w:pPr>
        <w:spacing w:before="0" w:after="0" w:line="276" w:lineRule="auto"/>
        <w:jc w:val="both"/>
        <w:rPr>
          <w:rFonts w:eastAsia="Times New Roman" w:cs="Times New Roman"/>
          <w:b/>
          <w:bCs/>
          <w:color w:val="FF0000"/>
          <w:szCs w:val="24"/>
        </w:rPr>
      </w:pPr>
      <w:r w:rsidRPr="00465302">
        <w:rPr>
          <w:rFonts w:eastAsia="Times New Roman" w:cs="Times New Roman"/>
          <w:b/>
          <w:bCs/>
          <w:noProof/>
          <w:color w:val="FF0000"/>
          <w:szCs w:val="24"/>
        </w:rPr>
        <w:lastRenderedPageBreak/>
        <mc:AlternateContent>
          <mc:Choice Requires="wps">
            <w:drawing>
              <wp:anchor distT="0" distB="0" distL="114300" distR="114300" simplePos="0" relativeHeight="251650560" behindDoc="0" locked="0" layoutInCell="1" allowOverlap="1" wp14:anchorId="623DE5D0" wp14:editId="712EE0A0">
                <wp:simplePos x="0" y="0"/>
                <wp:positionH relativeFrom="column">
                  <wp:posOffset>3389630</wp:posOffset>
                </wp:positionH>
                <wp:positionV relativeFrom="paragraph">
                  <wp:posOffset>4519295</wp:posOffset>
                </wp:positionV>
                <wp:extent cx="912429" cy="369332"/>
                <wp:effectExtent l="0" t="0" r="0" b="0"/>
                <wp:wrapNone/>
                <wp:docPr id="7182" name="TextBox 15"/>
                <wp:cNvGraphicFramePr/>
                <a:graphic xmlns:a="http://schemas.openxmlformats.org/drawingml/2006/main">
                  <a:graphicData uri="http://schemas.microsoft.com/office/word/2010/wordprocessingShape">
                    <wps:wsp>
                      <wps:cNvSpPr txBox="1"/>
                      <wps:spPr>
                        <a:xfrm>
                          <a:off x="0" y="0"/>
                          <a:ext cx="912429" cy="369332"/>
                        </a:xfrm>
                        <a:prstGeom prst="rect">
                          <a:avLst/>
                        </a:prstGeom>
                        <a:noFill/>
                      </wps:spPr>
                      <wps:txbx>
                        <w:txbxContent>
                          <w:p w14:paraId="0AF38780" w14:textId="77777777" w:rsidR="00A26D09" w:rsidRPr="001159E2" w:rsidRDefault="00A26D09" w:rsidP="00A5237A">
                            <w:pPr>
                              <w:pStyle w:val="NormalWeb"/>
                              <w:spacing w:before="0" w:beforeAutospacing="0" w:after="0" w:afterAutospacing="0"/>
                              <w:rPr>
                                <w:b/>
                              </w:rPr>
                            </w:pPr>
                            <w:r w:rsidRPr="001159E2">
                              <w:rPr>
                                <w:b/>
                                <w:color w:val="FFFFFF" w:themeColor="background1"/>
                                <w:kern w:val="24"/>
                              </w:rPr>
                              <w:t xml:space="preserve">500 </w:t>
                            </w:r>
                            <w:r w:rsidRPr="001159E2">
                              <w:rPr>
                                <w:b/>
                                <w:color w:val="FFFFFF" w:themeColor="background1"/>
                                <w:kern w:val="24"/>
                                <w:lang w:val="el-GR"/>
                              </w:rPr>
                              <w:t>μ</w:t>
                            </w:r>
                            <w:r w:rsidRPr="001159E2">
                              <w:rPr>
                                <w:b/>
                                <w:color w:val="FFFFFF" w:themeColor="background1"/>
                                <w:kern w:val="24"/>
                              </w:rPr>
                              <w:t>M</w:t>
                            </w:r>
                          </w:p>
                        </w:txbxContent>
                      </wps:txbx>
                      <wps:bodyPr wrap="none" rtlCol="0">
                        <a:spAutoFit/>
                      </wps:bodyPr>
                    </wps:wsp>
                  </a:graphicData>
                </a:graphic>
              </wp:anchor>
            </w:drawing>
          </mc:Choice>
          <mc:Fallback>
            <w:pict>
              <v:shapetype w14:anchorId="623DE5D0" id="_x0000_t202" coordsize="21600,21600" o:spt="202" path="m,l,21600r21600,l21600,xe">
                <v:stroke joinstyle="miter"/>
                <v:path gradientshapeok="t" o:connecttype="rect"/>
              </v:shapetype>
              <v:shape id="TextBox 15" o:spid="_x0000_s1026" type="#_x0000_t202" style="position:absolute;left:0;text-align:left;margin-left:266.9pt;margin-top:355.85pt;width:71.85pt;height:29.1pt;z-index:251650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" filled="f" stroked="f">
                <v:textbox style="mso-fit-shape-to-text:t">
                  <w:txbxContent>
                    <w:p w14:paraId="0AF38780" w14:textId="77777777" w:rsidR="00A26D09" w:rsidRPr="001159E2" w:rsidRDefault="00A26D09" w:rsidP="00A5237A">
                      <w:pPr>
                        <w:pStyle w:val="NormalWeb"/>
                        <w:spacing w:before="0" w:beforeAutospacing="0" w:after="0" w:afterAutospacing="0"/>
                        <w:rPr>
                          <w:b/>
                        </w:rPr>
                      </w:pPr>
                      <w:r w:rsidRPr="001159E2">
                        <w:rPr>
                          <w:b/>
                          <w:color w:val="FFFFFF" w:themeColor="background1"/>
                          <w:kern w:val="24"/>
                        </w:rPr>
                        <w:t xml:space="preserve">500 </w:t>
                      </w:r>
                      <w:r w:rsidRPr="001159E2">
                        <w:rPr>
                          <w:b/>
                          <w:color w:val="FFFFFF" w:themeColor="background1"/>
                          <w:kern w:val="24"/>
                          <w:lang w:val="el-GR"/>
                        </w:rPr>
                        <w:t>μ</w:t>
                      </w:r>
                      <w:r w:rsidRPr="001159E2">
                        <w:rPr>
                          <w:b/>
                          <w:color w:val="FFFFFF" w:themeColor="background1"/>
                          <w:kern w:val="24"/>
                        </w:rPr>
                        <w:t>M</w:t>
                      </w:r>
                    </w:p>
                  </w:txbxContent>
                </v:textbox>
              </v:shape>
            </w:pict>
          </mc:Fallback>
        </mc:AlternateContent>
      </w:r>
      <w:r w:rsidRPr="00465302">
        <w:rPr>
          <w:rFonts w:eastAsia="Times New Roman" w:cs="Times New Roman"/>
          <w:noProof/>
          <w:color w:val="000000"/>
          <w:szCs w:val="24"/>
        </w:rPr>
        <w:drawing>
          <wp:inline distT="0" distB="0" distL="0" distR="0" wp14:anchorId="32F7B9CA" wp14:editId="174E1871">
            <wp:extent cx="5852160" cy="5021798"/>
            <wp:effectExtent l="0" t="0" r="0" b="7620"/>
            <wp:docPr id="2" name="Picture 2" descr="C:\Users\jlaqkc\Downloads\Fig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jlaqkc\Downloads\Figure 2.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41510"/>
                    <a:stretch/>
                  </pic:blipFill>
                  <pic:spPr bwMode="auto">
                    <a:xfrm>
                      <a:off x="0" y="0"/>
                      <a:ext cx="5852160" cy="5021798"/>
                    </a:xfrm>
                    <a:prstGeom prst="rect">
                      <a:avLst/>
                    </a:prstGeom>
                    <a:noFill/>
                    <a:ln>
                      <a:noFill/>
                    </a:ln>
                    <a:extLst>
                      <a:ext uri="{53640926-AAD7-44D8-BBD7-CCE9431645EC}">
                        <a14:shadowObscured xmlns:a14="http://schemas.microsoft.com/office/drawing/2010/main"/>
                      </a:ext>
                    </a:extLst>
                  </pic:spPr>
                </pic:pic>
              </a:graphicData>
            </a:graphic>
          </wp:inline>
        </w:drawing>
      </w:r>
    </w:p>
    <w:p w14:paraId="63615027" w14:textId="59F8F58C" w:rsidR="00A5237A" w:rsidRPr="00465302" w:rsidRDefault="00A5237A" w:rsidP="00EE6A62">
      <w:pPr>
        <w:spacing w:before="0" w:line="240" w:lineRule="auto"/>
        <w:jc w:val="both"/>
        <w:rPr>
          <w:rFonts w:cs="Times New Roman"/>
          <w:szCs w:val="24"/>
        </w:rPr>
      </w:pPr>
      <w:r w:rsidRPr="00465302">
        <w:rPr>
          <w:rFonts w:cs="Times New Roman"/>
          <w:b/>
          <w:szCs w:val="24"/>
        </w:rPr>
        <w:t xml:space="preserve">Figure </w:t>
      </w:r>
      <w:bookmarkStart w:id="56" w:name="_Hlk39500266"/>
      <w:r w:rsidRPr="00465302">
        <w:rPr>
          <w:rFonts w:cs="Times New Roman"/>
          <w:b/>
          <w:szCs w:val="24"/>
        </w:rPr>
        <w:t>3.2</w:t>
      </w:r>
      <w:r w:rsidRPr="00465302">
        <w:rPr>
          <w:rFonts w:cs="Times New Roman"/>
          <w:szCs w:val="24"/>
        </w:rPr>
        <w:t xml:space="preserve"> </w:t>
      </w:r>
      <w:r w:rsidR="0066093F" w:rsidRPr="00465302">
        <w:rPr>
          <w:rFonts w:cs="Times New Roman"/>
          <w:b/>
          <w:bCs/>
          <w:szCs w:val="24"/>
        </w:rPr>
        <w:t xml:space="preserve">Rotenone causes </w:t>
      </w:r>
      <w:r w:rsidRPr="00465302">
        <w:rPr>
          <w:rFonts w:cs="Times New Roman"/>
          <w:b/>
          <w:bCs/>
          <w:szCs w:val="24"/>
        </w:rPr>
        <w:t xml:space="preserve">ISV effects in a </w:t>
      </w:r>
      <w:r w:rsidR="00B14545" w:rsidRPr="00465302">
        <w:rPr>
          <w:rFonts w:cs="Times New Roman"/>
          <w:b/>
          <w:bCs/>
          <w:szCs w:val="24"/>
        </w:rPr>
        <w:t>dose</w:t>
      </w:r>
      <w:r w:rsidRPr="00465302">
        <w:rPr>
          <w:rFonts w:cs="Times New Roman"/>
          <w:b/>
          <w:bCs/>
          <w:szCs w:val="24"/>
        </w:rPr>
        <w:t>-dependent manner</w:t>
      </w:r>
      <w:bookmarkEnd w:id="56"/>
      <w:r w:rsidRPr="00465302">
        <w:rPr>
          <w:rFonts w:cs="Times New Roman"/>
          <w:b/>
          <w:bCs/>
          <w:szCs w:val="24"/>
        </w:rPr>
        <w:t xml:space="preserve">. </w:t>
      </w:r>
      <w:r w:rsidRPr="00465302">
        <w:rPr>
          <w:rFonts w:cs="Times New Roman"/>
          <w:i/>
          <w:szCs w:val="24"/>
        </w:rPr>
        <w:t>Tg</w:t>
      </w:r>
      <w:r w:rsidR="009A0B96">
        <w:rPr>
          <w:rFonts w:cs="Times New Roman"/>
          <w:i/>
          <w:szCs w:val="24"/>
        </w:rPr>
        <w:t> </w:t>
      </w:r>
      <w:r w:rsidRPr="00465302">
        <w:rPr>
          <w:rFonts w:cs="Times New Roman"/>
          <w:i/>
          <w:szCs w:val="24"/>
        </w:rPr>
        <w:t>(kdrl:EGFP)</w:t>
      </w:r>
      <w:r w:rsidRPr="00465302">
        <w:rPr>
          <w:rFonts w:cs="Times New Roman"/>
          <w:szCs w:val="24"/>
        </w:rPr>
        <w:t xml:space="preserve"> larvae were </w:t>
      </w:r>
      <w:r w:rsidR="00B14545" w:rsidRPr="00465302">
        <w:rPr>
          <w:rFonts w:cs="Times New Roman"/>
          <w:szCs w:val="24"/>
        </w:rPr>
        <w:t>exposed from approximate</w:t>
      </w:r>
      <w:r w:rsidR="00B35607">
        <w:rPr>
          <w:rFonts w:cs="Times New Roman"/>
          <w:szCs w:val="24"/>
        </w:rPr>
        <w:t>ly</w:t>
      </w:r>
      <w:r w:rsidR="00B14545" w:rsidRPr="00465302">
        <w:rPr>
          <w:rFonts w:cs="Times New Roman"/>
          <w:szCs w:val="24"/>
        </w:rPr>
        <w:t xml:space="preserve"> </w:t>
      </w:r>
      <w:r w:rsidR="003C7A73">
        <w:rPr>
          <w:rFonts w:cs="Times New Roman"/>
          <w:szCs w:val="24"/>
        </w:rPr>
        <w:t>five</w:t>
      </w:r>
      <w:r w:rsidR="00B14545" w:rsidRPr="00465302">
        <w:rPr>
          <w:rFonts w:cs="Times New Roman"/>
          <w:szCs w:val="24"/>
        </w:rPr>
        <w:t xml:space="preserve"> hpf to </w:t>
      </w:r>
      <w:r w:rsidR="003C7A73">
        <w:rPr>
          <w:rFonts w:cs="Times New Roman"/>
          <w:szCs w:val="24"/>
        </w:rPr>
        <w:t>four</w:t>
      </w:r>
      <w:r w:rsidR="00B14545" w:rsidRPr="00465302">
        <w:rPr>
          <w:rFonts w:cs="Times New Roman"/>
          <w:szCs w:val="24"/>
        </w:rPr>
        <w:t xml:space="preserve"> dpf</w:t>
      </w:r>
      <w:r w:rsidR="004253E3" w:rsidRPr="00465302">
        <w:rPr>
          <w:rFonts w:cs="Times New Roman"/>
          <w:szCs w:val="24"/>
        </w:rPr>
        <w:t>.</w:t>
      </w:r>
      <w:r w:rsidRPr="00465302">
        <w:rPr>
          <w:rFonts w:cs="Times New Roman"/>
          <w:szCs w:val="24"/>
        </w:rPr>
        <w:t xml:space="preserve"> The arrowheads point </w:t>
      </w:r>
      <w:r w:rsidR="004253E3" w:rsidRPr="00465302">
        <w:rPr>
          <w:rFonts w:cs="Times New Roman"/>
          <w:szCs w:val="24"/>
        </w:rPr>
        <w:t>to areas of</w:t>
      </w:r>
      <w:r w:rsidRPr="00465302">
        <w:rPr>
          <w:rFonts w:cs="Times New Roman"/>
          <w:szCs w:val="24"/>
        </w:rPr>
        <w:t xml:space="preserve"> </w:t>
      </w:r>
      <w:r w:rsidR="004253E3" w:rsidRPr="00465302">
        <w:rPr>
          <w:rFonts w:cs="Times New Roman"/>
          <w:szCs w:val="24"/>
        </w:rPr>
        <w:t>perturbed</w:t>
      </w:r>
      <w:r w:rsidRPr="00465302">
        <w:rPr>
          <w:rFonts w:cs="Times New Roman"/>
          <w:szCs w:val="24"/>
        </w:rPr>
        <w:t xml:space="preserve"> ISV</w:t>
      </w:r>
      <w:r w:rsidR="004253E3" w:rsidRPr="00465302">
        <w:rPr>
          <w:rFonts w:cs="Times New Roman"/>
          <w:szCs w:val="24"/>
        </w:rPr>
        <w:t xml:space="preserve"> formation and t</w:t>
      </w:r>
      <w:r w:rsidRPr="00465302">
        <w:rPr>
          <w:rFonts w:cs="Times New Roman"/>
          <w:szCs w:val="24"/>
        </w:rPr>
        <w:t xml:space="preserve">he right panel </w:t>
      </w:r>
      <w:r w:rsidR="004253E3" w:rsidRPr="00465302">
        <w:rPr>
          <w:rFonts w:cs="Times New Roman"/>
          <w:szCs w:val="24"/>
        </w:rPr>
        <w:t>shows these areas at</w:t>
      </w:r>
      <w:r w:rsidRPr="00465302">
        <w:rPr>
          <w:rFonts w:cs="Times New Roman"/>
          <w:szCs w:val="24"/>
        </w:rPr>
        <w:t xml:space="preserve"> higher magnification.</w:t>
      </w:r>
      <w:r w:rsidR="004253E3" w:rsidRPr="00465302">
        <w:rPr>
          <w:rFonts w:cs="Times New Roman"/>
          <w:szCs w:val="24"/>
        </w:rPr>
        <w:t xml:space="preserve"> (A) Vehicle treated larvae</w:t>
      </w:r>
      <w:r w:rsidR="00843268" w:rsidRPr="00465302">
        <w:rPr>
          <w:rFonts w:cs="Times New Roman"/>
          <w:szCs w:val="24"/>
        </w:rPr>
        <w:t>;</w:t>
      </w:r>
      <w:r w:rsidR="004253E3" w:rsidRPr="00465302">
        <w:rPr>
          <w:rFonts w:cs="Times New Roman"/>
          <w:szCs w:val="24"/>
        </w:rPr>
        <w:t xml:space="preserve"> (B) 1 nM, (C) 10 nM, (D) 30 nM and (E) 100 nM of </w:t>
      </w:r>
      <w:r w:rsidR="00C15CB8" w:rsidRPr="00465302">
        <w:rPr>
          <w:rFonts w:cs="Times New Roman"/>
          <w:szCs w:val="24"/>
        </w:rPr>
        <w:t>r</w:t>
      </w:r>
      <w:r w:rsidR="004253E3" w:rsidRPr="00465302">
        <w:rPr>
          <w:rFonts w:cs="Times New Roman"/>
          <w:szCs w:val="24"/>
        </w:rPr>
        <w:t>otenone treated larvae. We observed increased ISV perturbations with increasing rotenone concentrations.</w:t>
      </w:r>
    </w:p>
    <w:p w14:paraId="47C6EC5F" w14:textId="43470E5B" w:rsidR="00A5237A" w:rsidRPr="00465302" w:rsidRDefault="00A5237A">
      <w:pPr>
        <w:spacing w:line="480" w:lineRule="auto"/>
        <w:jc w:val="both"/>
        <w:rPr>
          <w:rFonts w:cs="Times New Roman"/>
          <w:szCs w:val="24"/>
        </w:rPr>
      </w:pPr>
      <w:r w:rsidRPr="00465302">
        <w:rPr>
          <w:rFonts w:cs="Times New Roman"/>
          <w:szCs w:val="24"/>
        </w:rPr>
        <w:t xml:space="preserve">Secondly, the percentage of affected embryos </w:t>
      </w:r>
      <w:r w:rsidR="00C15CB8" w:rsidRPr="00465302">
        <w:rPr>
          <w:rFonts w:cs="Times New Roman"/>
          <w:szCs w:val="24"/>
        </w:rPr>
        <w:t xml:space="preserve">out of the treated clutch </w:t>
      </w:r>
      <w:r w:rsidRPr="00465302">
        <w:rPr>
          <w:rFonts w:cs="Times New Roman"/>
          <w:szCs w:val="24"/>
        </w:rPr>
        <w:t>also increased with increasing concentrations for all five chemicals tested. This was depicted as the percentage effect, which followed a concentration-dependent pattern (</w:t>
      </w:r>
      <w:r w:rsidRPr="00465302">
        <w:rPr>
          <w:rStyle w:val="Strong"/>
        </w:rPr>
        <w:t>Figure 3.3</w:t>
      </w:r>
      <w:r w:rsidRPr="00465302">
        <w:rPr>
          <w:rFonts w:cs="Times New Roman"/>
          <w:szCs w:val="24"/>
        </w:rPr>
        <w:t xml:space="preserve">). </w:t>
      </w:r>
    </w:p>
    <w:p w14:paraId="3566D247" w14:textId="77777777" w:rsidR="00A5237A" w:rsidRPr="00465302" w:rsidRDefault="00A5237A" w:rsidP="00A5237A">
      <w:pPr>
        <w:spacing w:after="0" w:line="240" w:lineRule="auto"/>
        <w:jc w:val="both"/>
        <w:rPr>
          <w:rFonts w:eastAsia="Times New Roman" w:cs="Times New Roman"/>
          <w:b/>
          <w:bCs/>
          <w:color w:val="FF0000"/>
          <w:szCs w:val="24"/>
        </w:rPr>
      </w:pPr>
    </w:p>
    <w:p w14:paraId="449DB87F" w14:textId="77777777" w:rsidR="00A5237A" w:rsidRPr="00465302" w:rsidRDefault="00A5237A" w:rsidP="00242745">
      <w:pPr>
        <w:spacing w:before="0" w:after="0" w:line="276" w:lineRule="auto"/>
        <w:jc w:val="both"/>
        <w:rPr>
          <w:rFonts w:eastAsia="Times New Roman" w:cs="Times New Roman"/>
          <w:b/>
          <w:bCs/>
          <w:color w:val="FF0000"/>
          <w:szCs w:val="24"/>
        </w:rPr>
      </w:pPr>
      <w:r w:rsidRPr="00465302">
        <w:rPr>
          <w:rFonts w:cs="Times New Roman"/>
          <w:noProof/>
          <w:szCs w:val="24"/>
        </w:rPr>
        <w:lastRenderedPageBreak/>
        <w:drawing>
          <wp:inline distT="0" distB="0" distL="0" distR="0" wp14:anchorId="4D0D7BCC" wp14:editId="2A0C6A6A">
            <wp:extent cx="5486400" cy="6884894"/>
            <wp:effectExtent l="0" t="0" r="0" b="0"/>
            <wp:docPr id="263" name="Picture 263" descr="F:\Zebrafish\Thesis\Figures\Fig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Zebrafish\Thesis\Figures\Figure 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6884894"/>
                    </a:xfrm>
                    <a:prstGeom prst="rect">
                      <a:avLst/>
                    </a:prstGeom>
                    <a:noFill/>
                    <a:ln>
                      <a:noFill/>
                    </a:ln>
                  </pic:spPr>
                </pic:pic>
              </a:graphicData>
            </a:graphic>
          </wp:inline>
        </w:drawing>
      </w:r>
    </w:p>
    <w:p w14:paraId="71BBBDA5" w14:textId="5947CB65" w:rsidR="00A5237A" w:rsidRPr="00465302" w:rsidRDefault="00A5237A" w:rsidP="00EE6A62">
      <w:pPr>
        <w:spacing w:before="0" w:line="240" w:lineRule="auto"/>
        <w:jc w:val="both"/>
        <w:rPr>
          <w:rFonts w:cs="Times New Roman"/>
          <w:szCs w:val="24"/>
        </w:rPr>
      </w:pPr>
      <w:r w:rsidRPr="00465302">
        <w:rPr>
          <w:rFonts w:cs="Times New Roman"/>
          <w:b/>
          <w:szCs w:val="24"/>
        </w:rPr>
        <w:t xml:space="preserve">Figure </w:t>
      </w:r>
      <w:bookmarkStart w:id="57" w:name="_Hlk39500311"/>
      <w:r w:rsidRPr="00465302">
        <w:rPr>
          <w:rFonts w:cs="Times New Roman"/>
          <w:b/>
          <w:szCs w:val="24"/>
        </w:rPr>
        <w:t xml:space="preserve">3.3 </w:t>
      </w:r>
      <w:r w:rsidRPr="00465302">
        <w:rPr>
          <w:rFonts w:cs="Times New Roman"/>
          <w:b/>
          <w:bCs/>
          <w:szCs w:val="24"/>
        </w:rPr>
        <w:t xml:space="preserve">VDCs cause ISV effects in a </w:t>
      </w:r>
      <w:r w:rsidR="0066093F" w:rsidRPr="00465302">
        <w:rPr>
          <w:rFonts w:cs="Times New Roman"/>
          <w:b/>
          <w:bCs/>
          <w:szCs w:val="24"/>
        </w:rPr>
        <w:t>dose</w:t>
      </w:r>
      <w:r w:rsidRPr="00465302">
        <w:rPr>
          <w:rFonts w:cs="Times New Roman"/>
          <w:b/>
          <w:bCs/>
          <w:szCs w:val="24"/>
        </w:rPr>
        <w:t>-dependent manner</w:t>
      </w:r>
      <w:bookmarkEnd w:id="57"/>
      <w:r w:rsidRPr="00465302">
        <w:rPr>
          <w:rFonts w:cs="Times New Roman"/>
          <w:b/>
          <w:bCs/>
          <w:szCs w:val="24"/>
        </w:rPr>
        <w:t xml:space="preserve">. </w:t>
      </w:r>
      <w:r w:rsidR="0066093F" w:rsidRPr="00465302">
        <w:rPr>
          <w:rFonts w:cs="Times New Roman"/>
          <w:szCs w:val="24"/>
        </w:rPr>
        <w:t>The graphs display the percentage of treated larvae having ISV effects vs the treatment concentration in nM.</w:t>
      </w:r>
      <w:r w:rsidR="0066093F" w:rsidRPr="00465302">
        <w:rPr>
          <w:rFonts w:cs="Times New Roman"/>
          <w:b/>
          <w:bCs/>
          <w:szCs w:val="24"/>
        </w:rPr>
        <w:t xml:space="preserve"> </w:t>
      </w:r>
      <w:r w:rsidRPr="00465302">
        <w:rPr>
          <w:rFonts w:cs="Times New Roman"/>
          <w:szCs w:val="24"/>
        </w:rPr>
        <w:t xml:space="preserve">(A) </w:t>
      </w:r>
      <w:r w:rsidR="0066093F" w:rsidRPr="00465302">
        <w:rPr>
          <w:rFonts w:cs="Times New Roman"/>
          <w:szCs w:val="24"/>
        </w:rPr>
        <w:t>F</w:t>
      </w:r>
      <w:r w:rsidRPr="00465302">
        <w:rPr>
          <w:rFonts w:cs="Times New Roman"/>
          <w:szCs w:val="24"/>
        </w:rPr>
        <w:t xml:space="preserve">enpyroximate, (B) </w:t>
      </w:r>
      <w:r w:rsidR="0066093F" w:rsidRPr="00465302">
        <w:rPr>
          <w:rFonts w:cs="Times New Roman"/>
          <w:szCs w:val="24"/>
        </w:rPr>
        <w:t>P</w:t>
      </w:r>
      <w:r w:rsidRPr="00465302">
        <w:rPr>
          <w:rFonts w:cs="Times New Roman"/>
          <w:szCs w:val="24"/>
        </w:rPr>
        <w:t xml:space="preserve">yraclostrobin, (C) </w:t>
      </w:r>
      <w:r w:rsidR="0066093F" w:rsidRPr="00465302">
        <w:rPr>
          <w:rFonts w:cs="Times New Roman"/>
          <w:szCs w:val="24"/>
        </w:rPr>
        <w:t>P</w:t>
      </w:r>
      <w:r w:rsidRPr="00465302">
        <w:rPr>
          <w:rFonts w:cs="Times New Roman"/>
          <w:szCs w:val="24"/>
        </w:rPr>
        <w:t xml:space="preserve">yridaben, (D) </w:t>
      </w:r>
      <w:r w:rsidR="0066093F" w:rsidRPr="00465302">
        <w:rPr>
          <w:rFonts w:cs="Times New Roman"/>
          <w:szCs w:val="24"/>
        </w:rPr>
        <w:t>R</w:t>
      </w:r>
      <w:r w:rsidRPr="00465302">
        <w:rPr>
          <w:rFonts w:cs="Times New Roman"/>
          <w:szCs w:val="24"/>
        </w:rPr>
        <w:t>otenone</w:t>
      </w:r>
      <w:r w:rsidR="0066093F" w:rsidRPr="00465302">
        <w:rPr>
          <w:rFonts w:cs="Times New Roman"/>
          <w:szCs w:val="24"/>
        </w:rPr>
        <w:t>,</w:t>
      </w:r>
      <w:r w:rsidRPr="00465302">
        <w:rPr>
          <w:rFonts w:cs="Times New Roman"/>
          <w:szCs w:val="24"/>
        </w:rPr>
        <w:t xml:space="preserve"> and (E) </w:t>
      </w:r>
      <w:r w:rsidR="0066093F" w:rsidRPr="00465302">
        <w:rPr>
          <w:rFonts w:cs="Times New Roman"/>
          <w:szCs w:val="24"/>
        </w:rPr>
        <w:t>T</w:t>
      </w:r>
      <w:r w:rsidRPr="00465302">
        <w:rPr>
          <w:rFonts w:cs="Times New Roman"/>
          <w:szCs w:val="24"/>
        </w:rPr>
        <w:t xml:space="preserve">rifloxystrobin. </w:t>
      </w:r>
      <w:r w:rsidR="0066093F" w:rsidRPr="00465302">
        <w:rPr>
          <w:rFonts w:cs="Times New Roman"/>
          <w:szCs w:val="24"/>
        </w:rPr>
        <w:t xml:space="preserve">All chemicals tested affected </w:t>
      </w:r>
      <w:r w:rsidR="007B4498" w:rsidRPr="00465302">
        <w:rPr>
          <w:rFonts w:cs="Times New Roman"/>
          <w:szCs w:val="24"/>
        </w:rPr>
        <w:t xml:space="preserve">an </w:t>
      </w:r>
      <w:r w:rsidR="0066093F" w:rsidRPr="00465302">
        <w:rPr>
          <w:rFonts w:cs="Times New Roman"/>
          <w:szCs w:val="24"/>
        </w:rPr>
        <w:t>increasing number of embryos with increasing concentrations.</w:t>
      </w:r>
    </w:p>
    <w:p w14:paraId="4A675728" w14:textId="77777777" w:rsidR="00A5237A" w:rsidRPr="00465302" w:rsidRDefault="00A5237A" w:rsidP="00A5237A">
      <w:pPr>
        <w:spacing w:line="480" w:lineRule="auto"/>
        <w:jc w:val="both"/>
        <w:rPr>
          <w:rFonts w:eastAsia="Times New Roman" w:cs="Times New Roman"/>
          <w:szCs w:val="24"/>
        </w:rPr>
      </w:pPr>
      <w:r w:rsidRPr="00465302">
        <w:rPr>
          <w:rFonts w:eastAsia="Times New Roman" w:cs="Times New Roman"/>
          <w:color w:val="000000"/>
          <w:szCs w:val="24"/>
        </w:rPr>
        <w:lastRenderedPageBreak/>
        <w:t>For example, with increasing concentrations of rotenone, increasing numbers of non-overlapping intersegmental vessels and more severe ISV effects, including short, thin and unevenly spaced ISVs, were obtained (</w:t>
      </w:r>
      <w:r w:rsidRPr="00465302">
        <w:rPr>
          <w:rStyle w:val="Strong"/>
        </w:rPr>
        <w:t>Figure 3.2 B-E</w:t>
      </w:r>
      <w:r w:rsidRPr="00465302">
        <w:rPr>
          <w:rFonts w:eastAsia="Times New Roman" w:cs="Times New Roman"/>
          <w:color w:val="000000"/>
          <w:szCs w:val="24"/>
        </w:rPr>
        <w:t>). In addition, with increasing concentrations, the proportion of affected embryos also increased for all five chemicals tested (</w:t>
      </w:r>
      <w:r w:rsidRPr="00465302">
        <w:rPr>
          <w:rStyle w:val="Strong"/>
        </w:rPr>
        <w:t>Figure 3.3</w:t>
      </w:r>
      <w:r w:rsidRPr="00465302">
        <w:rPr>
          <w:rFonts w:eastAsia="Times New Roman" w:cs="Times New Roman"/>
          <w:color w:val="000000"/>
          <w:szCs w:val="24"/>
        </w:rPr>
        <w:t>).</w:t>
      </w:r>
    </w:p>
    <w:p w14:paraId="798768E1" w14:textId="516C07F9" w:rsidR="00A5237A" w:rsidRPr="00465302" w:rsidRDefault="00105013" w:rsidP="00A5237A">
      <w:pPr>
        <w:spacing w:line="480" w:lineRule="auto"/>
        <w:jc w:val="both"/>
        <w:rPr>
          <w:rFonts w:eastAsia="Times New Roman" w:cs="Times New Roman"/>
          <w:color w:val="000000"/>
          <w:szCs w:val="24"/>
        </w:rPr>
      </w:pPr>
      <w:r w:rsidRPr="00465302">
        <w:rPr>
          <w:rFonts w:eastAsia="Times New Roman" w:cs="Times New Roman"/>
          <w:color w:val="000000"/>
          <w:szCs w:val="24"/>
        </w:rPr>
        <w:t>Next we</w:t>
      </w:r>
      <w:r w:rsidR="00A5237A" w:rsidRPr="00465302">
        <w:rPr>
          <w:rFonts w:eastAsia="Times New Roman" w:cs="Times New Roman"/>
          <w:color w:val="000000"/>
          <w:szCs w:val="24"/>
        </w:rPr>
        <w:t xml:space="preserve"> tested the effects of the five potent compounds </w:t>
      </w:r>
      <w:r w:rsidR="00A5237A" w:rsidRPr="00465302">
        <w:rPr>
          <w:rFonts w:eastAsia="Times New Roman" w:cs="Times New Roman"/>
          <w:i/>
          <w:iCs/>
          <w:color w:val="000000"/>
          <w:szCs w:val="24"/>
        </w:rPr>
        <w:t>in vitro</w:t>
      </w:r>
      <w:r w:rsidR="00A5237A" w:rsidRPr="00465302">
        <w:rPr>
          <w:rFonts w:eastAsia="Times New Roman" w:cs="Times New Roman"/>
          <w:color w:val="000000"/>
          <w:szCs w:val="24"/>
        </w:rPr>
        <w:t>. We investigated the capacity of the compounds to disrupt tube formation in human primary umbilical vein endothelial cells (HUVECs). We analyzed the tube formation by time</w:t>
      </w:r>
      <w:r w:rsidRPr="00465302">
        <w:rPr>
          <w:rFonts w:eastAsia="Times New Roman" w:cs="Times New Roman"/>
          <w:color w:val="000000"/>
          <w:szCs w:val="24"/>
        </w:rPr>
        <w:t>-</w:t>
      </w:r>
      <w:r w:rsidR="00A5237A" w:rsidRPr="00465302">
        <w:rPr>
          <w:rFonts w:eastAsia="Times New Roman" w:cs="Times New Roman"/>
          <w:color w:val="000000"/>
          <w:szCs w:val="24"/>
        </w:rPr>
        <w:t xml:space="preserve">lapse microscopy over 24 </w:t>
      </w:r>
      <w:r w:rsidR="000F0745">
        <w:rPr>
          <w:rFonts w:eastAsia="Times New Roman" w:cs="Times New Roman"/>
          <w:color w:val="000000"/>
          <w:szCs w:val="24"/>
        </w:rPr>
        <w:t>hrs</w:t>
      </w:r>
      <w:r w:rsidR="00A5237A" w:rsidRPr="00465302">
        <w:rPr>
          <w:rFonts w:eastAsia="Times New Roman" w:cs="Times New Roman"/>
          <w:color w:val="000000"/>
          <w:szCs w:val="24"/>
        </w:rPr>
        <w:t>, which allows for visualization of both tube formation and break down.</w:t>
      </w:r>
      <w:r w:rsidR="001D4566" w:rsidRPr="00465302">
        <w:rPr>
          <w:rFonts w:eastAsia="Times New Roman" w:cs="Times New Roman"/>
          <w:color w:val="000000"/>
          <w:szCs w:val="24"/>
        </w:rPr>
        <w:t xml:space="preserve"> </w:t>
      </w:r>
      <w:r w:rsidR="0088750C" w:rsidRPr="00465302">
        <w:rPr>
          <w:rFonts w:eastAsia="Times New Roman" w:cs="Times New Roman"/>
          <w:color w:val="000000"/>
          <w:szCs w:val="24"/>
        </w:rPr>
        <w:t>All parameters for tube formation were analyzed using the ImageJ angiogenesis analyzer plugin (</w:t>
      </w:r>
      <w:r w:rsidR="0088750C" w:rsidRPr="00465302">
        <w:rPr>
          <w:rFonts w:eastAsia="Times New Roman" w:cs="Times New Roman"/>
          <w:b/>
          <w:bCs/>
          <w:color w:val="000000"/>
          <w:szCs w:val="24"/>
        </w:rPr>
        <w:t>Figure 3.5 A’-D’</w:t>
      </w:r>
      <w:r w:rsidR="0088750C" w:rsidRPr="00465302">
        <w:rPr>
          <w:rFonts w:eastAsia="Times New Roman" w:cs="Times New Roman"/>
          <w:color w:val="000000"/>
          <w:szCs w:val="24"/>
        </w:rPr>
        <w:t xml:space="preserve">). </w:t>
      </w:r>
      <w:r w:rsidR="001D4566" w:rsidRPr="00465302">
        <w:rPr>
          <w:rFonts w:eastAsia="Times New Roman" w:cs="Times New Roman"/>
          <w:color w:val="000000"/>
          <w:szCs w:val="24"/>
        </w:rPr>
        <w:t xml:space="preserve">As seen in zebrafish, </w:t>
      </w:r>
      <w:r w:rsidR="0024330A" w:rsidRPr="00465302">
        <w:rPr>
          <w:rFonts w:eastAsia="Times New Roman" w:cs="Times New Roman"/>
          <w:color w:val="000000"/>
          <w:szCs w:val="24"/>
        </w:rPr>
        <w:t xml:space="preserve">four of the </w:t>
      </w:r>
      <w:r w:rsidR="001D4566" w:rsidRPr="00465302">
        <w:rPr>
          <w:rFonts w:eastAsia="Times New Roman" w:cs="Times New Roman"/>
          <w:color w:val="000000"/>
          <w:szCs w:val="24"/>
        </w:rPr>
        <w:t xml:space="preserve">ISV-VDCs </w:t>
      </w:r>
      <w:r w:rsidR="0024330A" w:rsidRPr="00465302">
        <w:rPr>
          <w:rFonts w:eastAsia="Times New Roman" w:cs="Times New Roman"/>
          <w:color w:val="000000"/>
          <w:szCs w:val="24"/>
        </w:rPr>
        <w:t xml:space="preserve">also </w:t>
      </w:r>
      <w:r w:rsidR="001D4566" w:rsidRPr="00465302">
        <w:rPr>
          <w:rFonts w:eastAsia="Times New Roman" w:cs="Times New Roman"/>
          <w:color w:val="000000"/>
          <w:szCs w:val="24"/>
        </w:rPr>
        <w:t>disrupted HUVEC tube formation</w:t>
      </w:r>
      <w:r w:rsidR="0024330A" w:rsidRPr="00465302">
        <w:rPr>
          <w:rFonts w:eastAsia="Times New Roman" w:cs="Times New Roman"/>
          <w:color w:val="000000"/>
          <w:szCs w:val="24"/>
        </w:rPr>
        <w:t xml:space="preserve"> (</w:t>
      </w:r>
      <w:r w:rsidR="0024330A" w:rsidRPr="00465302">
        <w:rPr>
          <w:rFonts w:eastAsia="Times New Roman" w:cs="Times New Roman"/>
          <w:b/>
          <w:bCs/>
          <w:color w:val="000000"/>
          <w:szCs w:val="24"/>
        </w:rPr>
        <w:t>Figure 3.4</w:t>
      </w:r>
      <w:r w:rsidR="0024330A" w:rsidRPr="00465302">
        <w:rPr>
          <w:rFonts w:eastAsia="Times New Roman" w:cs="Times New Roman"/>
          <w:color w:val="000000"/>
          <w:szCs w:val="24"/>
        </w:rPr>
        <w:t>) in a dose-dependent manner (</w:t>
      </w:r>
      <w:r w:rsidR="0024330A" w:rsidRPr="00465302">
        <w:rPr>
          <w:rFonts w:eastAsia="Times New Roman" w:cs="Times New Roman"/>
          <w:b/>
          <w:bCs/>
          <w:color w:val="000000"/>
          <w:szCs w:val="24"/>
        </w:rPr>
        <w:t>Figure 3.5 B-D</w:t>
      </w:r>
      <w:r w:rsidR="0024330A" w:rsidRPr="00465302">
        <w:rPr>
          <w:rFonts w:eastAsia="Times New Roman" w:cs="Times New Roman"/>
          <w:color w:val="000000"/>
          <w:szCs w:val="24"/>
        </w:rPr>
        <w:t xml:space="preserve">). </w:t>
      </w:r>
      <w:r w:rsidR="0088750C" w:rsidRPr="00465302">
        <w:rPr>
          <w:rFonts w:eastAsia="Times New Roman" w:cs="Times New Roman"/>
          <w:color w:val="000000"/>
          <w:szCs w:val="24"/>
        </w:rPr>
        <w:t xml:space="preserve">The total mesh area, which represents the total area of networks formed was significantly decreased from as early as </w:t>
      </w:r>
      <w:r w:rsidR="000F258A">
        <w:rPr>
          <w:rFonts w:eastAsia="Times New Roman" w:cs="Times New Roman"/>
          <w:color w:val="000000"/>
          <w:szCs w:val="24"/>
        </w:rPr>
        <w:t>two</w:t>
      </w:r>
      <w:r w:rsidR="0088750C" w:rsidRPr="00465302">
        <w:rPr>
          <w:rFonts w:eastAsia="Times New Roman" w:cs="Times New Roman"/>
          <w:color w:val="000000"/>
          <w:szCs w:val="24"/>
        </w:rPr>
        <w:t xml:space="preserve"> </w:t>
      </w:r>
      <w:r w:rsidR="000F0745">
        <w:rPr>
          <w:rFonts w:eastAsia="Times New Roman" w:cs="Times New Roman"/>
          <w:color w:val="000000"/>
          <w:szCs w:val="24"/>
        </w:rPr>
        <w:t>hrs</w:t>
      </w:r>
      <w:r w:rsidR="0088750C" w:rsidRPr="00465302">
        <w:rPr>
          <w:rFonts w:eastAsia="Times New Roman" w:cs="Times New Roman"/>
          <w:color w:val="000000"/>
          <w:szCs w:val="24"/>
        </w:rPr>
        <w:t xml:space="preserve"> post</w:t>
      </w:r>
      <w:r w:rsidRPr="00465302">
        <w:rPr>
          <w:rFonts w:eastAsia="Times New Roman" w:cs="Times New Roman"/>
          <w:color w:val="000000"/>
          <w:szCs w:val="24"/>
        </w:rPr>
        <w:t>-</w:t>
      </w:r>
      <w:r w:rsidR="0088750C" w:rsidRPr="00465302">
        <w:rPr>
          <w:rFonts w:eastAsia="Times New Roman" w:cs="Times New Roman"/>
          <w:color w:val="000000"/>
          <w:szCs w:val="24"/>
        </w:rPr>
        <w:t>seeding for the 50 µM concentrations of fenpyroximate, pyraclostrobin</w:t>
      </w:r>
      <w:r w:rsidRPr="00465302">
        <w:rPr>
          <w:rFonts w:eastAsia="Times New Roman" w:cs="Times New Roman"/>
          <w:color w:val="000000"/>
          <w:szCs w:val="24"/>
        </w:rPr>
        <w:t>,</w:t>
      </w:r>
      <w:r w:rsidR="0088750C" w:rsidRPr="00465302">
        <w:rPr>
          <w:rFonts w:eastAsia="Times New Roman" w:cs="Times New Roman"/>
          <w:color w:val="000000"/>
          <w:szCs w:val="24"/>
        </w:rPr>
        <w:t xml:space="preserve"> and pyridaben, as well as for 0.1 µM rotenone, and did not recover to vehicle control levels</w:t>
      </w:r>
      <w:r w:rsidR="004350DA" w:rsidRPr="00465302">
        <w:rPr>
          <w:rFonts w:eastAsia="Times New Roman" w:cs="Times New Roman"/>
          <w:color w:val="000000"/>
          <w:szCs w:val="24"/>
        </w:rPr>
        <w:t xml:space="preserve"> even 24 </w:t>
      </w:r>
      <w:r w:rsidR="000F0745">
        <w:rPr>
          <w:rFonts w:eastAsia="Times New Roman" w:cs="Times New Roman"/>
          <w:color w:val="000000"/>
          <w:szCs w:val="24"/>
        </w:rPr>
        <w:t>hrs</w:t>
      </w:r>
      <w:r w:rsidR="004350DA" w:rsidRPr="00465302">
        <w:rPr>
          <w:rFonts w:eastAsia="Times New Roman" w:cs="Times New Roman"/>
          <w:color w:val="000000"/>
          <w:szCs w:val="24"/>
        </w:rPr>
        <w:t xml:space="preserve"> post</w:t>
      </w:r>
      <w:r w:rsidRPr="00465302">
        <w:rPr>
          <w:rFonts w:eastAsia="Times New Roman" w:cs="Times New Roman"/>
          <w:color w:val="000000"/>
          <w:szCs w:val="24"/>
        </w:rPr>
        <w:t>-</w:t>
      </w:r>
      <w:r w:rsidR="004350DA" w:rsidRPr="00465302">
        <w:rPr>
          <w:rFonts w:eastAsia="Times New Roman" w:cs="Times New Roman"/>
          <w:color w:val="000000"/>
          <w:szCs w:val="24"/>
        </w:rPr>
        <w:t>seeding</w:t>
      </w:r>
      <w:r w:rsidR="0088750C" w:rsidRPr="00465302">
        <w:rPr>
          <w:rFonts w:eastAsia="Times New Roman" w:cs="Times New Roman"/>
          <w:color w:val="000000"/>
          <w:szCs w:val="24"/>
        </w:rPr>
        <w:t xml:space="preserve"> (</w:t>
      </w:r>
      <w:r w:rsidR="0088750C" w:rsidRPr="00465302">
        <w:rPr>
          <w:rFonts w:eastAsia="Times New Roman" w:cs="Times New Roman"/>
          <w:b/>
          <w:bCs/>
          <w:color w:val="000000"/>
          <w:szCs w:val="24"/>
        </w:rPr>
        <w:t>Figure 3.6</w:t>
      </w:r>
      <w:r w:rsidR="0088750C" w:rsidRPr="00465302">
        <w:rPr>
          <w:rFonts w:eastAsia="Times New Roman" w:cs="Times New Roman"/>
          <w:color w:val="000000"/>
          <w:szCs w:val="24"/>
        </w:rPr>
        <w:t>).</w:t>
      </w:r>
      <w:r w:rsidR="0024330A" w:rsidRPr="00465302">
        <w:rPr>
          <w:rFonts w:eastAsia="Times New Roman" w:cs="Times New Roman"/>
          <w:color w:val="000000"/>
          <w:szCs w:val="24"/>
        </w:rPr>
        <w:t xml:space="preserve"> </w:t>
      </w:r>
      <w:r w:rsidR="008178DF" w:rsidRPr="00465302">
        <w:rPr>
          <w:rFonts w:eastAsia="Times New Roman" w:cs="Times New Roman"/>
          <w:color w:val="000000"/>
          <w:szCs w:val="24"/>
        </w:rPr>
        <w:t xml:space="preserve">The VEGFR2 receptor inhibitor, PTK787, was used as a positive control. </w:t>
      </w:r>
      <w:r w:rsidR="00A5237A" w:rsidRPr="00465302">
        <w:rPr>
          <w:rFonts w:eastAsia="Times New Roman" w:cs="Times New Roman"/>
          <w:color w:val="000000"/>
          <w:szCs w:val="24"/>
        </w:rPr>
        <w:t xml:space="preserve">A heat map was created to represent the other quantified parameters at </w:t>
      </w:r>
      <w:r w:rsidR="000F258A">
        <w:rPr>
          <w:rFonts w:eastAsia="Times New Roman" w:cs="Times New Roman"/>
          <w:color w:val="000000"/>
          <w:szCs w:val="24"/>
        </w:rPr>
        <w:t xml:space="preserve">eight </w:t>
      </w:r>
      <w:r w:rsidR="000F0745">
        <w:rPr>
          <w:rFonts w:eastAsia="Times New Roman" w:cs="Times New Roman"/>
          <w:color w:val="000000"/>
          <w:szCs w:val="24"/>
        </w:rPr>
        <w:t>hrs</w:t>
      </w:r>
      <w:r w:rsidR="00A5237A" w:rsidRPr="00465302">
        <w:rPr>
          <w:rFonts w:eastAsia="Times New Roman" w:cs="Times New Roman"/>
          <w:color w:val="000000"/>
          <w:szCs w:val="24"/>
        </w:rPr>
        <w:t xml:space="preserve"> post</w:t>
      </w:r>
      <w:r w:rsidRPr="00465302">
        <w:rPr>
          <w:rFonts w:eastAsia="Times New Roman" w:cs="Times New Roman"/>
          <w:color w:val="000000"/>
          <w:szCs w:val="24"/>
        </w:rPr>
        <w:t>-</w:t>
      </w:r>
      <w:r w:rsidR="00A5237A" w:rsidRPr="00465302">
        <w:rPr>
          <w:rFonts w:eastAsia="Times New Roman" w:cs="Times New Roman"/>
          <w:color w:val="000000"/>
          <w:szCs w:val="24"/>
        </w:rPr>
        <w:t>seeding (</w:t>
      </w:r>
      <w:r w:rsidR="00A5237A" w:rsidRPr="00465302">
        <w:rPr>
          <w:rStyle w:val="Strong"/>
        </w:rPr>
        <w:t>Figure 3.7</w:t>
      </w:r>
      <w:r w:rsidR="00A5237A" w:rsidRPr="00465302">
        <w:rPr>
          <w:rFonts w:eastAsia="Times New Roman" w:cs="Times New Roman"/>
          <w:color w:val="000000"/>
          <w:szCs w:val="24"/>
        </w:rPr>
        <w:t xml:space="preserve">). No effect on tube formation was observed with exposure to trifloxystrobin at the highest concentration tested (100 µM). At higher concentrations, the chemical precipitated out of the solution, and could not be tested. In conclusion, out of five potent ISV-VDCs with activity </w:t>
      </w:r>
      <w:r w:rsidR="00A5237A" w:rsidRPr="00465302">
        <w:rPr>
          <w:rFonts w:eastAsia="Times New Roman" w:cs="Times New Roman"/>
          <w:i/>
          <w:iCs/>
          <w:color w:val="000000"/>
          <w:szCs w:val="24"/>
        </w:rPr>
        <w:t>in vivo</w:t>
      </w:r>
      <w:r w:rsidR="00A5237A" w:rsidRPr="00465302">
        <w:rPr>
          <w:rFonts w:eastAsia="Times New Roman" w:cs="Times New Roman"/>
          <w:color w:val="000000"/>
          <w:szCs w:val="24"/>
        </w:rPr>
        <w:t xml:space="preserve"> in zebrafish embryos, four perturbed tube formation </w:t>
      </w:r>
      <w:r w:rsidR="00A5237A" w:rsidRPr="00465302">
        <w:rPr>
          <w:rFonts w:eastAsia="Times New Roman" w:cs="Times New Roman"/>
          <w:i/>
          <w:iCs/>
          <w:color w:val="000000"/>
          <w:szCs w:val="24"/>
        </w:rPr>
        <w:t>in vitro</w:t>
      </w:r>
      <w:r w:rsidR="00A5237A" w:rsidRPr="00465302">
        <w:rPr>
          <w:rFonts w:eastAsia="Times New Roman" w:cs="Times New Roman"/>
          <w:color w:val="000000"/>
          <w:szCs w:val="24"/>
        </w:rPr>
        <w:t xml:space="preserve"> in HUVECs.</w:t>
      </w:r>
    </w:p>
    <w:p w14:paraId="5ACF674A" w14:textId="77777777" w:rsidR="00A5237A" w:rsidRPr="00465302" w:rsidRDefault="00A5237A" w:rsidP="00242745">
      <w:pPr>
        <w:spacing w:before="0" w:after="0" w:line="276" w:lineRule="auto"/>
        <w:jc w:val="both"/>
        <w:rPr>
          <w:rFonts w:eastAsia="Times New Roman" w:cs="Times New Roman"/>
          <w:color w:val="000000"/>
          <w:szCs w:val="24"/>
        </w:rPr>
      </w:pPr>
      <w:r w:rsidRPr="00465302">
        <w:rPr>
          <w:rFonts w:cs="Times New Roman"/>
          <w:noProof/>
          <w:szCs w:val="24"/>
        </w:rPr>
        <w:lastRenderedPageBreak/>
        <w:drawing>
          <wp:inline distT="0" distB="0" distL="0" distR="0" wp14:anchorId="22DEFDBB" wp14:editId="395B234C">
            <wp:extent cx="5852160" cy="6194111"/>
            <wp:effectExtent l="0" t="0" r="0" b="0"/>
            <wp:docPr id="7194" name="Picture 7194" descr="F:\Zebrafish\Manuscripts\VDC\VDC 2\Fig 3\Figure 3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Zebrafish\Manuscripts\VDC\VDC 2\Fig 3\Figure 3A-F.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52160" cy="6194111"/>
                    </a:xfrm>
                    <a:prstGeom prst="rect">
                      <a:avLst/>
                    </a:prstGeom>
                    <a:noFill/>
                    <a:ln>
                      <a:noFill/>
                    </a:ln>
                  </pic:spPr>
                </pic:pic>
              </a:graphicData>
            </a:graphic>
          </wp:inline>
        </w:drawing>
      </w:r>
    </w:p>
    <w:p w14:paraId="61BA5CEB" w14:textId="38FFDFD0" w:rsidR="00A5237A" w:rsidRPr="00465302" w:rsidRDefault="00A5237A" w:rsidP="00EE6A62">
      <w:pPr>
        <w:spacing w:before="0" w:after="0" w:line="240" w:lineRule="auto"/>
        <w:jc w:val="both"/>
        <w:rPr>
          <w:rFonts w:cs="Times New Roman"/>
          <w:bCs/>
          <w:szCs w:val="24"/>
        </w:rPr>
      </w:pPr>
      <w:r w:rsidRPr="00465302">
        <w:rPr>
          <w:rFonts w:cs="Times New Roman"/>
          <w:b/>
          <w:szCs w:val="24"/>
        </w:rPr>
        <w:t xml:space="preserve">Figure </w:t>
      </w:r>
      <w:bookmarkStart w:id="58" w:name="_Hlk39500356"/>
      <w:r w:rsidRPr="00465302">
        <w:rPr>
          <w:rFonts w:cs="Times New Roman"/>
          <w:b/>
          <w:szCs w:val="24"/>
        </w:rPr>
        <w:t>3.4</w:t>
      </w:r>
      <w:r w:rsidRPr="00465302">
        <w:rPr>
          <w:rFonts w:cs="Times New Roman"/>
          <w:szCs w:val="24"/>
        </w:rPr>
        <w:t xml:space="preserve"> </w:t>
      </w:r>
      <w:r w:rsidR="0066093F" w:rsidRPr="00465302">
        <w:rPr>
          <w:rFonts w:cs="Times New Roman"/>
          <w:b/>
          <w:bCs/>
          <w:szCs w:val="24"/>
        </w:rPr>
        <w:t>All VDCs tested affected HUVEC tube formation</w:t>
      </w:r>
      <w:bookmarkEnd w:id="58"/>
      <w:r w:rsidRPr="00465302">
        <w:rPr>
          <w:rFonts w:cs="Times New Roman"/>
          <w:b/>
          <w:bCs/>
          <w:szCs w:val="24"/>
        </w:rPr>
        <w:t xml:space="preserve">. </w:t>
      </w:r>
      <w:r w:rsidRPr="00465302">
        <w:rPr>
          <w:rFonts w:cs="Times New Roman"/>
          <w:bCs/>
          <w:szCs w:val="24"/>
        </w:rPr>
        <w:t>HUVEC</w:t>
      </w:r>
      <w:r w:rsidR="007527FC" w:rsidRPr="00465302">
        <w:rPr>
          <w:rFonts w:cs="Times New Roman"/>
          <w:bCs/>
          <w:szCs w:val="24"/>
        </w:rPr>
        <w:t xml:space="preserve">s </w:t>
      </w:r>
      <w:r w:rsidRPr="00465302">
        <w:rPr>
          <w:rFonts w:cs="Times New Roman"/>
          <w:bCs/>
          <w:szCs w:val="24"/>
        </w:rPr>
        <w:t>were pre-treated</w:t>
      </w:r>
      <w:r w:rsidR="007527FC" w:rsidRPr="00465302">
        <w:rPr>
          <w:rFonts w:cs="Times New Roman"/>
          <w:bCs/>
          <w:szCs w:val="24"/>
        </w:rPr>
        <w:t xml:space="preserve"> with the chemical and seeded on Matrigel to allow for tube formation. The assay was imaged after </w:t>
      </w:r>
      <w:r w:rsidR="003C7A73">
        <w:rPr>
          <w:rFonts w:cs="Times New Roman"/>
          <w:bCs/>
          <w:szCs w:val="24"/>
        </w:rPr>
        <w:t>eight </w:t>
      </w:r>
      <w:r w:rsidR="000F0745">
        <w:rPr>
          <w:rFonts w:cs="Times New Roman"/>
          <w:bCs/>
          <w:szCs w:val="24"/>
        </w:rPr>
        <w:t>hrs</w:t>
      </w:r>
      <w:r w:rsidR="007527FC" w:rsidRPr="00465302">
        <w:rPr>
          <w:rFonts w:cs="Times New Roman"/>
          <w:bCs/>
          <w:szCs w:val="24"/>
        </w:rPr>
        <w:t xml:space="preserve"> of seeding. Scale bar 100 µm.</w:t>
      </w:r>
      <w:r w:rsidRPr="00465302">
        <w:rPr>
          <w:rFonts w:cs="Times New Roman"/>
          <w:bCs/>
          <w:szCs w:val="24"/>
        </w:rPr>
        <w:t xml:space="preserve"> (A) </w:t>
      </w:r>
      <w:r w:rsidR="007527FC" w:rsidRPr="00465302">
        <w:rPr>
          <w:rFonts w:cs="Times New Roman"/>
          <w:bCs/>
          <w:szCs w:val="24"/>
        </w:rPr>
        <w:t>V</w:t>
      </w:r>
      <w:r w:rsidRPr="00465302">
        <w:rPr>
          <w:rFonts w:cs="Times New Roman"/>
          <w:bCs/>
          <w:szCs w:val="24"/>
        </w:rPr>
        <w:t xml:space="preserve">ehicle, (B) 50 µM PTK, (C) 10 µM </w:t>
      </w:r>
      <w:r w:rsidR="007527FC" w:rsidRPr="00465302">
        <w:rPr>
          <w:rFonts w:cs="Times New Roman"/>
          <w:bCs/>
          <w:szCs w:val="24"/>
        </w:rPr>
        <w:t>F</w:t>
      </w:r>
      <w:r w:rsidRPr="00465302">
        <w:rPr>
          <w:rFonts w:cs="Times New Roman"/>
          <w:bCs/>
          <w:szCs w:val="24"/>
        </w:rPr>
        <w:t xml:space="preserve">enpyroximate, (D) 10 µM </w:t>
      </w:r>
      <w:r w:rsidR="007527FC" w:rsidRPr="00465302">
        <w:rPr>
          <w:rFonts w:cs="Times New Roman"/>
          <w:bCs/>
          <w:szCs w:val="24"/>
        </w:rPr>
        <w:t>P</w:t>
      </w:r>
      <w:r w:rsidRPr="00465302">
        <w:rPr>
          <w:rFonts w:cs="Times New Roman"/>
          <w:bCs/>
          <w:szCs w:val="24"/>
        </w:rPr>
        <w:t xml:space="preserve">yraclostrobin, (E) 10 µM </w:t>
      </w:r>
      <w:r w:rsidR="007527FC" w:rsidRPr="00465302">
        <w:rPr>
          <w:rFonts w:cs="Times New Roman"/>
          <w:bCs/>
          <w:szCs w:val="24"/>
        </w:rPr>
        <w:t>P</w:t>
      </w:r>
      <w:r w:rsidRPr="00465302">
        <w:rPr>
          <w:rFonts w:cs="Times New Roman"/>
          <w:bCs/>
          <w:szCs w:val="24"/>
        </w:rPr>
        <w:t>yridaben</w:t>
      </w:r>
      <w:r w:rsidR="005A2751" w:rsidRPr="00465302">
        <w:rPr>
          <w:rFonts w:cs="Times New Roman"/>
          <w:bCs/>
          <w:szCs w:val="24"/>
        </w:rPr>
        <w:t>,</w:t>
      </w:r>
      <w:r w:rsidRPr="00465302">
        <w:rPr>
          <w:rFonts w:cs="Times New Roman"/>
          <w:bCs/>
          <w:szCs w:val="24"/>
        </w:rPr>
        <w:t xml:space="preserve"> and (F) 10 µM </w:t>
      </w:r>
      <w:r w:rsidR="007527FC" w:rsidRPr="00465302">
        <w:rPr>
          <w:rFonts w:cs="Times New Roman"/>
          <w:bCs/>
          <w:szCs w:val="24"/>
        </w:rPr>
        <w:t>Rotenone.</w:t>
      </w:r>
    </w:p>
    <w:p w14:paraId="50B99175" w14:textId="0873165C" w:rsidR="00A5237A" w:rsidRPr="00465302" w:rsidRDefault="00A5237A" w:rsidP="00EE6A62">
      <w:pPr>
        <w:spacing w:before="0" w:after="0" w:line="240" w:lineRule="auto"/>
        <w:jc w:val="both"/>
        <w:rPr>
          <w:rFonts w:cs="Times New Roman"/>
          <w:bCs/>
          <w:szCs w:val="24"/>
        </w:rPr>
      </w:pPr>
      <w:r w:rsidRPr="00465302">
        <w:rPr>
          <w:rFonts w:eastAsia="Times New Roman" w:cs="Times New Roman"/>
          <w:noProof/>
          <w:szCs w:val="24"/>
        </w:rPr>
        <w:lastRenderedPageBreak/>
        <w:drawing>
          <wp:anchor distT="0" distB="0" distL="114300" distR="114300" simplePos="0" relativeHeight="251651584" behindDoc="0" locked="0" layoutInCell="1" allowOverlap="1" wp14:anchorId="49C5619C" wp14:editId="7865FCB0">
            <wp:simplePos x="0" y="0"/>
            <wp:positionH relativeFrom="column">
              <wp:posOffset>0</wp:posOffset>
            </wp:positionH>
            <wp:positionV relativeFrom="paragraph">
              <wp:posOffset>0</wp:posOffset>
            </wp:positionV>
            <wp:extent cx="5120640" cy="7194424"/>
            <wp:effectExtent l="0" t="0" r="3810" b="6985"/>
            <wp:wrapTopAndBottom/>
            <wp:docPr id="4" name="Picture 2" descr="C:\Users\jlaqkc\Downloads\Fig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jlaqkc\Downloads\Figure 3.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40348" b="1299"/>
                    <a:stretch/>
                  </pic:blipFill>
                  <pic:spPr bwMode="auto">
                    <a:xfrm>
                      <a:off x="0" y="0"/>
                      <a:ext cx="5120640" cy="71944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5302">
        <w:rPr>
          <w:rFonts w:cs="Times New Roman"/>
          <w:b/>
          <w:szCs w:val="24"/>
        </w:rPr>
        <w:t xml:space="preserve">Figure </w:t>
      </w:r>
      <w:bookmarkStart w:id="59" w:name="_Hlk39500378"/>
      <w:r w:rsidRPr="00465302">
        <w:rPr>
          <w:rFonts w:cs="Times New Roman"/>
          <w:b/>
          <w:szCs w:val="24"/>
        </w:rPr>
        <w:t xml:space="preserve">3.5 </w:t>
      </w:r>
      <w:r w:rsidR="005137CB" w:rsidRPr="00465302">
        <w:rPr>
          <w:rFonts w:cs="Times New Roman"/>
          <w:b/>
          <w:szCs w:val="24"/>
        </w:rPr>
        <w:t xml:space="preserve">The </w:t>
      </w:r>
      <w:r w:rsidRPr="00465302">
        <w:rPr>
          <w:rFonts w:cs="Times New Roman"/>
          <w:b/>
          <w:szCs w:val="24"/>
        </w:rPr>
        <w:t>VDCs</w:t>
      </w:r>
      <w:r w:rsidRPr="00465302">
        <w:rPr>
          <w:rFonts w:cs="Times New Roman"/>
          <w:b/>
          <w:bCs/>
          <w:szCs w:val="24"/>
        </w:rPr>
        <w:t xml:space="preserve"> </w:t>
      </w:r>
      <w:r w:rsidR="005137CB" w:rsidRPr="00465302">
        <w:rPr>
          <w:rFonts w:cs="Times New Roman"/>
          <w:b/>
          <w:bCs/>
          <w:szCs w:val="24"/>
        </w:rPr>
        <w:t>perturb HUVEC tube formation in a dose</w:t>
      </w:r>
      <w:r w:rsidRPr="00465302">
        <w:rPr>
          <w:rFonts w:cs="Times New Roman"/>
          <w:b/>
          <w:bCs/>
          <w:szCs w:val="24"/>
        </w:rPr>
        <w:t>-dependent manner</w:t>
      </w:r>
      <w:bookmarkEnd w:id="59"/>
      <w:r w:rsidRPr="00465302">
        <w:rPr>
          <w:rFonts w:cs="Times New Roman"/>
          <w:b/>
          <w:bCs/>
          <w:szCs w:val="24"/>
        </w:rPr>
        <w:t xml:space="preserve">. </w:t>
      </w:r>
      <w:r w:rsidRPr="00465302">
        <w:rPr>
          <w:rFonts w:cs="Times New Roman"/>
          <w:bCs/>
          <w:szCs w:val="24"/>
        </w:rPr>
        <w:t>HUVEC</w:t>
      </w:r>
      <w:r w:rsidR="005137CB" w:rsidRPr="00465302">
        <w:rPr>
          <w:rFonts w:cs="Times New Roman"/>
          <w:bCs/>
          <w:szCs w:val="24"/>
        </w:rPr>
        <w:t>s</w:t>
      </w:r>
      <w:r w:rsidRPr="00465302">
        <w:rPr>
          <w:rFonts w:cs="Times New Roman"/>
          <w:bCs/>
          <w:szCs w:val="24"/>
        </w:rPr>
        <w:t xml:space="preserve"> were pre-treated </w:t>
      </w:r>
      <w:r w:rsidR="00843268" w:rsidRPr="00465302">
        <w:rPr>
          <w:rFonts w:cs="Times New Roman"/>
          <w:bCs/>
          <w:szCs w:val="24"/>
        </w:rPr>
        <w:t xml:space="preserve">with the compound, seeded and then imaged </w:t>
      </w:r>
      <w:r w:rsidR="003C7A73">
        <w:rPr>
          <w:rFonts w:cs="Times New Roman"/>
          <w:bCs/>
          <w:szCs w:val="24"/>
        </w:rPr>
        <w:t>eight</w:t>
      </w:r>
      <w:r w:rsidR="00843268" w:rsidRPr="00465302">
        <w:rPr>
          <w:rFonts w:cs="Times New Roman"/>
          <w:bCs/>
          <w:szCs w:val="24"/>
        </w:rPr>
        <w:t xml:space="preserve"> </w:t>
      </w:r>
      <w:r w:rsidR="000F0745">
        <w:rPr>
          <w:rFonts w:cs="Times New Roman"/>
          <w:bCs/>
          <w:szCs w:val="24"/>
        </w:rPr>
        <w:t>hrs</w:t>
      </w:r>
      <w:r w:rsidR="00843268" w:rsidRPr="00465302">
        <w:rPr>
          <w:rFonts w:cs="Times New Roman"/>
          <w:bCs/>
          <w:szCs w:val="24"/>
        </w:rPr>
        <w:t xml:space="preserve"> post</w:t>
      </w:r>
      <w:r w:rsidR="005A2751" w:rsidRPr="00465302">
        <w:rPr>
          <w:rFonts w:cs="Times New Roman"/>
          <w:bCs/>
          <w:szCs w:val="24"/>
        </w:rPr>
        <w:t>-</w:t>
      </w:r>
      <w:r w:rsidR="00843268" w:rsidRPr="00465302">
        <w:rPr>
          <w:rFonts w:cs="Times New Roman"/>
          <w:bCs/>
          <w:szCs w:val="24"/>
        </w:rPr>
        <w:t xml:space="preserve">seeding. Scale bar 100 µm. </w:t>
      </w:r>
      <w:r w:rsidRPr="00465302">
        <w:rPr>
          <w:rFonts w:cs="Times New Roman"/>
          <w:bCs/>
          <w:szCs w:val="24"/>
        </w:rPr>
        <w:t xml:space="preserve">(A, A’) </w:t>
      </w:r>
      <w:r w:rsidR="00843268" w:rsidRPr="00465302">
        <w:rPr>
          <w:rFonts w:cs="Times New Roman"/>
          <w:bCs/>
          <w:szCs w:val="24"/>
        </w:rPr>
        <w:t>V</w:t>
      </w:r>
      <w:r w:rsidRPr="00465302">
        <w:rPr>
          <w:rFonts w:cs="Times New Roman"/>
          <w:bCs/>
          <w:szCs w:val="24"/>
        </w:rPr>
        <w:t xml:space="preserve">ehicle </w:t>
      </w:r>
      <w:r w:rsidR="00843268" w:rsidRPr="00465302">
        <w:rPr>
          <w:rFonts w:cs="Times New Roman"/>
          <w:bCs/>
          <w:szCs w:val="24"/>
        </w:rPr>
        <w:t>treatment;</w:t>
      </w:r>
      <w:r w:rsidRPr="00465302">
        <w:rPr>
          <w:rFonts w:cs="Times New Roman"/>
          <w:bCs/>
          <w:szCs w:val="24"/>
        </w:rPr>
        <w:t xml:space="preserve"> (B, B’) 0.1 </w:t>
      </w:r>
      <w:r w:rsidR="0068319D" w:rsidRPr="00465302">
        <w:rPr>
          <w:rFonts w:cs="Times New Roman"/>
          <w:bCs/>
          <w:szCs w:val="24"/>
        </w:rPr>
        <w:t>µ</w:t>
      </w:r>
      <w:r w:rsidRPr="00465302">
        <w:rPr>
          <w:rFonts w:cs="Times New Roman"/>
          <w:bCs/>
          <w:szCs w:val="24"/>
        </w:rPr>
        <w:t xml:space="preserve">M, (C, C’) 1 </w:t>
      </w:r>
      <w:r w:rsidR="0068319D" w:rsidRPr="00465302">
        <w:rPr>
          <w:rFonts w:cs="Times New Roman"/>
          <w:bCs/>
          <w:szCs w:val="24"/>
        </w:rPr>
        <w:t>µ</w:t>
      </w:r>
      <w:r w:rsidRPr="00465302">
        <w:rPr>
          <w:rFonts w:cs="Times New Roman"/>
          <w:bCs/>
          <w:szCs w:val="24"/>
        </w:rPr>
        <w:t>M and (D, D’) 10</w:t>
      </w:r>
      <w:r w:rsidR="0068319D" w:rsidRPr="00465302">
        <w:rPr>
          <w:rFonts w:cs="Times New Roman"/>
          <w:bCs/>
          <w:szCs w:val="24"/>
        </w:rPr>
        <w:t xml:space="preserve"> µ</w:t>
      </w:r>
      <w:r w:rsidRPr="00465302">
        <w:rPr>
          <w:rFonts w:cs="Times New Roman"/>
          <w:bCs/>
          <w:szCs w:val="24"/>
        </w:rPr>
        <w:t>M</w:t>
      </w:r>
      <w:r w:rsidR="00843268" w:rsidRPr="00465302">
        <w:rPr>
          <w:rFonts w:cs="Times New Roman"/>
          <w:bCs/>
          <w:szCs w:val="24"/>
        </w:rPr>
        <w:t xml:space="preserve"> Rotenone treatment</w:t>
      </w:r>
      <w:r w:rsidRPr="00465302">
        <w:rPr>
          <w:rFonts w:cs="Times New Roman"/>
          <w:bCs/>
          <w:szCs w:val="24"/>
        </w:rPr>
        <w:t xml:space="preserve">. (A’-D’) </w:t>
      </w:r>
      <w:r w:rsidR="00843268" w:rsidRPr="00465302">
        <w:rPr>
          <w:rFonts w:cs="Times New Roman"/>
          <w:bCs/>
          <w:szCs w:val="24"/>
        </w:rPr>
        <w:t>The networks were mapped using angiogenesis analyzer</w:t>
      </w:r>
      <w:r w:rsidRPr="00465302">
        <w:rPr>
          <w:rFonts w:cs="Times New Roman"/>
          <w:bCs/>
          <w:szCs w:val="24"/>
        </w:rPr>
        <w:t xml:space="preserve">. </w:t>
      </w:r>
    </w:p>
    <w:p w14:paraId="7A0E15A2" w14:textId="77777777" w:rsidR="00A5237A" w:rsidRPr="00465302" w:rsidRDefault="00A5237A" w:rsidP="00943F93">
      <w:pPr>
        <w:spacing w:before="0" w:after="0" w:line="276" w:lineRule="auto"/>
        <w:jc w:val="both"/>
        <w:rPr>
          <w:rFonts w:cs="Times New Roman"/>
        </w:rPr>
      </w:pPr>
      <w:r w:rsidRPr="00465302">
        <w:rPr>
          <w:rFonts w:cs="Times New Roman"/>
          <w:noProof/>
        </w:rPr>
        <w:lastRenderedPageBreak/>
        <w:drawing>
          <wp:inline distT="0" distB="0" distL="0" distR="0" wp14:anchorId="5A847962" wp14:editId="085806F9">
            <wp:extent cx="5943600" cy="3729679"/>
            <wp:effectExtent l="0" t="0" r="0" b="444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Zebrafish\Thesis\Figures\Figure 4.6.pn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943600" cy="3729679"/>
                    </a:xfrm>
                    <a:prstGeom prst="rect">
                      <a:avLst/>
                    </a:prstGeom>
                    <a:noFill/>
                    <a:ln>
                      <a:noFill/>
                    </a:ln>
                  </pic:spPr>
                </pic:pic>
              </a:graphicData>
            </a:graphic>
          </wp:inline>
        </w:drawing>
      </w:r>
    </w:p>
    <w:p w14:paraId="0960E9C8" w14:textId="422D6B03" w:rsidR="00A5237A" w:rsidRPr="00465302" w:rsidRDefault="00A5237A" w:rsidP="00EE6A62">
      <w:pPr>
        <w:spacing w:after="0" w:line="240" w:lineRule="auto"/>
        <w:jc w:val="both"/>
        <w:rPr>
          <w:rFonts w:cs="Times New Roman"/>
        </w:rPr>
      </w:pPr>
      <w:r w:rsidRPr="00465302">
        <w:rPr>
          <w:rFonts w:cs="Times New Roman"/>
          <w:b/>
          <w:szCs w:val="24"/>
        </w:rPr>
        <w:t xml:space="preserve">Figure </w:t>
      </w:r>
      <w:bookmarkStart w:id="60" w:name="_Hlk39500405"/>
      <w:r w:rsidR="0088750C" w:rsidRPr="00465302">
        <w:rPr>
          <w:rFonts w:cs="Times New Roman"/>
          <w:b/>
          <w:szCs w:val="24"/>
        </w:rPr>
        <w:t>3</w:t>
      </w:r>
      <w:r w:rsidRPr="00465302">
        <w:rPr>
          <w:rFonts w:cs="Times New Roman"/>
          <w:b/>
          <w:szCs w:val="24"/>
        </w:rPr>
        <w:t>.6</w:t>
      </w:r>
      <w:r w:rsidRPr="00465302">
        <w:rPr>
          <w:rFonts w:cs="Times New Roman"/>
          <w:szCs w:val="24"/>
        </w:rPr>
        <w:t xml:space="preserve"> </w:t>
      </w:r>
      <w:r w:rsidR="00945CE4" w:rsidRPr="00465302">
        <w:rPr>
          <w:rFonts w:cs="Times New Roman"/>
          <w:b/>
          <w:szCs w:val="24"/>
        </w:rPr>
        <w:t xml:space="preserve">VDCs reduced </w:t>
      </w:r>
      <w:r w:rsidR="005A2751" w:rsidRPr="00465302">
        <w:rPr>
          <w:rFonts w:cs="Times New Roman"/>
          <w:b/>
          <w:szCs w:val="24"/>
        </w:rPr>
        <w:t xml:space="preserve">the </w:t>
      </w:r>
      <w:r w:rsidR="00945CE4" w:rsidRPr="00465302">
        <w:rPr>
          <w:rFonts w:cs="Times New Roman"/>
          <w:b/>
          <w:szCs w:val="24"/>
        </w:rPr>
        <w:t xml:space="preserve">total </w:t>
      </w:r>
      <w:r w:rsidRPr="00465302">
        <w:rPr>
          <w:rFonts w:cs="Times New Roman"/>
          <w:b/>
          <w:szCs w:val="24"/>
        </w:rPr>
        <w:t xml:space="preserve">mesh area </w:t>
      </w:r>
      <w:r w:rsidR="00945CE4" w:rsidRPr="00465302">
        <w:rPr>
          <w:rFonts w:cs="Times New Roman"/>
          <w:b/>
          <w:szCs w:val="24"/>
        </w:rPr>
        <w:t>of HUVEC tube formation assay</w:t>
      </w:r>
      <w:bookmarkEnd w:id="60"/>
      <w:r w:rsidRPr="00465302">
        <w:rPr>
          <w:rFonts w:cs="Times New Roman"/>
          <w:b/>
          <w:szCs w:val="24"/>
        </w:rPr>
        <w:t xml:space="preserve">. </w:t>
      </w:r>
      <w:r w:rsidRPr="00465302">
        <w:rPr>
          <w:rFonts w:cs="Times New Roman"/>
          <w:szCs w:val="24"/>
        </w:rPr>
        <w:t xml:space="preserve">HUVEC exposed to </w:t>
      </w:r>
      <w:r w:rsidR="00945CE4" w:rsidRPr="00465302">
        <w:rPr>
          <w:rFonts w:cs="Times New Roman"/>
          <w:szCs w:val="24"/>
        </w:rPr>
        <w:t xml:space="preserve">chemicals, seeded in Matrigel and imaged every hour for 24 </w:t>
      </w:r>
      <w:r w:rsidR="000F0745">
        <w:rPr>
          <w:rFonts w:cs="Times New Roman"/>
          <w:szCs w:val="24"/>
        </w:rPr>
        <w:t>hrs</w:t>
      </w:r>
      <w:r w:rsidR="000F258A" w:rsidRPr="00465302">
        <w:rPr>
          <w:rFonts w:cs="Times New Roman"/>
          <w:szCs w:val="24"/>
        </w:rPr>
        <w:t xml:space="preserve"> </w:t>
      </w:r>
      <w:r w:rsidR="00945CE4" w:rsidRPr="00465302">
        <w:rPr>
          <w:rFonts w:cs="Times New Roman"/>
          <w:szCs w:val="24"/>
        </w:rPr>
        <w:t>post</w:t>
      </w:r>
      <w:r w:rsidR="005A2751" w:rsidRPr="00465302">
        <w:rPr>
          <w:rFonts w:cs="Times New Roman"/>
          <w:szCs w:val="24"/>
        </w:rPr>
        <w:t>-</w:t>
      </w:r>
      <w:r w:rsidR="00945CE4" w:rsidRPr="00465302">
        <w:rPr>
          <w:rFonts w:cs="Times New Roman"/>
          <w:szCs w:val="24"/>
        </w:rPr>
        <w:t xml:space="preserve">seeding with IncuCyte ZOOM. The mesh area was measured using ImageJ angiogenesis analyzer. </w:t>
      </w:r>
      <w:r w:rsidRPr="00465302">
        <w:rPr>
          <w:rFonts w:cs="Times New Roman"/>
          <w:szCs w:val="24"/>
        </w:rPr>
        <w:t xml:space="preserve">(A) </w:t>
      </w:r>
      <w:r w:rsidR="00945CE4" w:rsidRPr="00465302">
        <w:rPr>
          <w:rFonts w:cs="Times New Roman"/>
          <w:szCs w:val="24"/>
        </w:rPr>
        <w:t>F</w:t>
      </w:r>
      <w:r w:rsidRPr="00465302">
        <w:rPr>
          <w:rFonts w:cs="Times New Roman"/>
          <w:szCs w:val="24"/>
        </w:rPr>
        <w:t xml:space="preserve">enpyroximate, (B) </w:t>
      </w:r>
      <w:r w:rsidR="00945CE4" w:rsidRPr="00465302">
        <w:rPr>
          <w:rFonts w:cs="Times New Roman"/>
          <w:szCs w:val="24"/>
        </w:rPr>
        <w:t>P</w:t>
      </w:r>
      <w:r w:rsidRPr="00465302">
        <w:rPr>
          <w:rFonts w:cs="Times New Roman"/>
          <w:szCs w:val="24"/>
        </w:rPr>
        <w:t xml:space="preserve">yraclostrobin, (C) </w:t>
      </w:r>
      <w:r w:rsidR="00945CE4" w:rsidRPr="00465302">
        <w:rPr>
          <w:rFonts w:cs="Times New Roman"/>
          <w:szCs w:val="24"/>
        </w:rPr>
        <w:t>P</w:t>
      </w:r>
      <w:r w:rsidRPr="00465302">
        <w:rPr>
          <w:rFonts w:cs="Times New Roman"/>
          <w:szCs w:val="24"/>
        </w:rPr>
        <w:t>yridaben</w:t>
      </w:r>
      <w:r w:rsidR="005A2751" w:rsidRPr="00465302">
        <w:rPr>
          <w:rFonts w:cs="Times New Roman"/>
          <w:szCs w:val="24"/>
        </w:rPr>
        <w:t>,</w:t>
      </w:r>
      <w:r w:rsidRPr="00465302">
        <w:rPr>
          <w:rFonts w:cs="Times New Roman"/>
          <w:szCs w:val="24"/>
        </w:rPr>
        <w:t xml:space="preserve"> and (D) </w:t>
      </w:r>
      <w:r w:rsidR="00945CE4" w:rsidRPr="00465302">
        <w:rPr>
          <w:rFonts w:cs="Times New Roman"/>
          <w:szCs w:val="24"/>
        </w:rPr>
        <w:t>R</w:t>
      </w:r>
      <w:r w:rsidRPr="00465302">
        <w:rPr>
          <w:rFonts w:cs="Times New Roman"/>
          <w:szCs w:val="24"/>
        </w:rPr>
        <w:t xml:space="preserve">otenone. </w:t>
      </w:r>
    </w:p>
    <w:p w14:paraId="65F54FEE" w14:textId="77777777" w:rsidR="00A5237A" w:rsidRPr="00465302" w:rsidRDefault="00A5237A" w:rsidP="00242745">
      <w:pPr>
        <w:spacing w:before="0" w:after="0" w:line="276" w:lineRule="auto"/>
        <w:jc w:val="both"/>
        <w:rPr>
          <w:rFonts w:cs="Times New Roman"/>
        </w:rPr>
      </w:pPr>
      <w:r w:rsidRPr="00465302">
        <w:rPr>
          <w:rFonts w:cs="Times New Roman"/>
          <w:noProof/>
        </w:rPr>
        <w:lastRenderedPageBreak/>
        <w:drawing>
          <wp:anchor distT="0" distB="0" distL="114300" distR="114300" simplePos="0" relativeHeight="251653632" behindDoc="0" locked="0" layoutInCell="1" allowOverlap="1" wp14:anchorId="3219F7B9" wp14:editId="2668E224">
            <wp:simplePos x="914400" y="914400"/>
            <wp:positionH relativeFrom="margin">
              <wp:align>center</wp:align>
            </wp:positionH>
            <wp:positionV relativeFrom="margin">
              <wp:align>top</wp:align>
            </wp:positionV>
            <wp:extent cx="5852160" cy="6710776"/>
            <wp:effectExtent l="0" t="0" r="0" b="0"/>
            <wp:wrapSquare wrapText="bothSides"/>
            <wp:docPr id="265" name="Picture 265" descr="I:\Savini Data\Vascular new\HUVEC\Images\Timelapse analyses\Dose curve_HeatMap_8hrs_112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avini Data\Vascular new\HUVEC\Images\Timelapse analyses\Dose curve_HeatMap_8hrs_112818.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093" t="2910" r="3636" b="2744"/>
                    <a:stretch/>
                  </pic:blipFill>
                  <pic:spPr bwMode="auto">
                    <a:xfrm>
                      <a:off x="0" y="0"/>
                      <a:ext cx="5852160" cy="6710776"/>
                    </a:xfrm>
                    <a:prstGeom prst="rect">
                      <a:avLst/>
                    </a:prstGeom>
                    <a:noFill/>
                    <a:ln>
                      <a:noFill/>
                    </a:ln>
                    <a:extLst>
                      <a:ext uri="{53640926-AAD7-44D8-BBD7-CCE9431645EC}">
                        <a14:shadowObscured xmlns:a14="http://schemas.microsoft.com/office/drawing/2010/main"/>
                      </a:ext>
                    </a:extLst>
                  </pic:spPr>
                </pic:pic>
              </a:graphicData>
            </a:graphic>
          </wp:anchor>
        </w:drawing>
      </w:r>
    </w:p>
    <w:p w14:paraId="0F085919" w14:textId="3C9028A4" w:rsidR="00A5237A" w:rsidRPr="00465302" w:rsidRDefault="00A5237A" w:rsidP="00EE6A62">
      <w:pPr>
        <w:spacing w:line="240" w:lineRule="auto"/>
        <w:jc w:val="both"/>
        <w:rPr>
          <w:rFonts w:cs="Times New Roman"/>
          <w:szCs w:val="24"/>
        </w:rPr>
      </w:pPr>
      <w:r w:rsidRPr="00465302">
        <w:rPr>
          <w:rFonts w:cs="Times New Roman"/>
          <w:b/>
          <w:szCs w:val="24"/>
        </w:rPr>
        <w:t xml:space="preserve">Figure </w:t>
      </w:r>
      <w:bookmarkStart w:id="61" w:name="_Hlk39500418"/>
      <w:r w:rsidRPr="00465302">
        <w:rPr>
          <w:rFonts w:cs="Times New Roman"/>
          <w:b/>
          <w:szCs w:val="24"/>
        </w:rPr>
        <w:t>3.7</w:t>
      </w:r>
      <w:r w:rsidRPr="00465302">
        <w:rPr>
          <w:rFonts w:cs="Times New Roman"/>
          <w:szCs w:val="24"/>
        </w:rPr>
        <w:t xml:space="preserve"> </w:t>
      </w:r>
      <w:r w:rsidRPr="00465302">
        <w:rPr>
          <w:rFonts w:cs="Times New Roman"/>
          <w:b/>
          <w:bCs/>
          <w:szCs w:val="24"/>
        </w:rPr>
        <w:t xml:space="preserve">VDCs disrupt </w:t>
      </w:r>
      <w:r w:rsidR="000D5C76" w:rsidRPr="00465302">
        <w:rPr>
          <w:rFonts w:cs="Times New Roman"/>
          <w:b/>
          <w:bCs/>
          <w:szCs w:val="24"/>
        </w:rPr>
        <w:t>HUVEC tube formation</w:t>
      </w:r>
      <w:bookmarkEnd w:id="61"/>
      <w:r w:rsidRPr="00465302">
        <w:rPr>
          <w:rFonts w:cs="Times New Roman"/>
          <w:b/>
          <w:bCs/>
          <w:i/>
          <w:szCs w:val="24"/>
        </w:rPr>
        <w:t>.</w:t>
      </w:r>
      <w:r w:rsidRPr="00465302">
        <w:rPr>
          <w:rFonts w:cs="Times New Roman"/>
          <w:szCs w:val="24"/>
        </w:rPr>
        <w:t xml:space="preserve"> </w:t>
      </w:r>
      <w:r w:rsidR="000D5C76" w:rsidRPr="00465302">
        <w:rPr>
          <w:rFonts w:cs="Times New Roman"/>
          <w:szCs w:val="24"/>
        </w:rPr>
        <w:t xml:space="preserve">A heat map of the different parameters of tube formation at </w:t>
      </w:r>
      <w:r w:rsidR="000F258A">
        <w:rPr>
          <w:rFonts w:cs="Times New Roman"/>
          <w:szCs w:val="24"/>
        </w:rPr>
        <w:t>eight</w:t>
      </w:r>
      <w:r w:rsidR="000D5C76" w:rsidRPr="00465302">
        <w:rPr>
          <w:rFonts w:cs="Times New Roman"/>
          <w:szCs w:val="24"/>
        </w:rPr>
        <w:t xml:space="preserve"> </w:t>
      </w:r>
      <w:r w:rsidR="000F0745">
        <w:rPr>
          <w:rFonts w:cs="Times New Roman"/>
          <w:szCs w:val="24"/>
        </w:rPr>
        <w:t>hrs</w:t>
      </w:r>
      <w:r w:rsidR="000F258A" w:rsidRPr="00465302">
        <w:rPr>
          <w:rFonts w:cs="Times New Roman"/>
          <w:szCs w:val="24"/>
        </w:rPr>
        <w:t xml:space="preserve"> </w:t>
      </w:r>
      <w:r w:rsidR="000D5C76" w:rsidRPr="00465302">
        <w:rPr>
          <w:rFonts w:cs="Times New Roman"/>
          <w:szCs w:val="24"/>
        </w:rPr>
        <w:t>post</w:t>
      </w:r>
      <w:r w:rsidR="005C165A" w:rsidRPr="00465302">
        <w:rPr>
          <w:rFonts w:cs="Times New Roman"/>
          <w:szCs w:val="24"/>
        </w:rPr>
        <w:t>-</w:t>
      </w:r>
      <w:r w:rsidR="000D5C76" w:rsidRPr="00465302">
        <w:rPr>
          <w:rFonts w:cs="Times New Roman"/>
          <w:szCs w:val="24"/>
        </w:rPr>
        <w:t>seeding as measured by angiogenesis analyzer. For each category, the mean values of the vehicle treatment were set to 100 as the baseline value.</w:t>
      </w:r>
      <w:r w:rsidR="0068319D" w:rsidRPr="00465302">
        <w:rPr>
          <w:rFonts w:cs="Times New Roman"/>
          <w:szCs w:val="24"/>
        </w:rPr>
        <w:t xml:space="preserve"> Green color indicates lower than baseline and red color higher.</w:t>
      </w:r>
      <w:r w:rsidR="00173F5D" w:rsidRPr="00465302">
        <w:rPr>
          <w:rFonts w:cs="Times New Roman"/>
          <w:szCs w:val="24"/>
        </w:rPr>
        <w:t xml:space="preserve"> </w:t>
      </w:r>
    </w:p>
    <w:p w14:paraId="3D9B5E05" w14:textId="015C3BC6" w:rsidR="00A5237A" w:rsidRPr="00465302" w:rsidRDefault="00A5237A" w:rsidP="00317481">
      <w:pPr>
        <w:pStyle w:val="Heading3"/>
        <w:rPr>
          <w:rFonts w:eastAsia="Times New Roman"/>
        </w:rPr>
      </w:pPr>
      <w:bookmarkStart w:id="62" w:name="_Toc39502058"/>
      <w:r w:rsidRPr="00465302">
        <w:rPr>
          <w:rFonts w:eastAsia="Times New Roman"/>
        </w:rPr>
        <w:lastRenderedPageBreak/>
        <w:t xml:space="preserve">3.2.3 Putative VDC </w:t>
      </w:r>
      <w:r w:rsidR="00B62E74">
        <w:rPr>
          <w:rFonts w:eastAsia="Times New Roman"/>
        </w:rPr>
        <w:t>S</w:t>
      </w:r>
      <w:r w:rsidRPr="00465302">
        <w:rPr>
          <w:rFonts w:eastAsia="Times New Roman"/>
        </w:rPr>
        <w:t xml:space="preserve">ignatures for the </w:t>
      </w:r>
      <w:r w:rsidR="00B62E74">
        <w:rPr>
          <w:rFonts w:eastAsia="Times New Roman"/>
        </w:rPr>
        <w:t>I</w:t>
      </w:r>
      <w:r w:rsidRPr="00465302">
        <w:rPr>
          <w:rFonts w:eastAsia="Times New Roman"/>
        </w:rPr>
        <w:t xml:space="preserve">dentified ISV </w:t>
      </w:r>
      <w:r w:rsidR="00B62E74">
        <w:rPr>
          <w:rFonts w:eastAsia="Times New Roman"/>
        </w:rPr>
        <w:t>D</w:t>
      </w:r>
      <w:r w:rsidRPr="00465302">
        <w:rPr>
          <w:rFonts w:eastAsia="Times New Roman"/>
        </w:rPr>
        <w:t>isruptors</w:t>
      </w:r>
      <w:bookmarkEnd w:id="62"/>
    </w:p>
    <w:p w14:paraId="6B9F2935" w14:textId="7EB7D8A3" w:rsidR="002D4F66" w:rsidRPr="00465302" w:rsidRDefault="00A94BDD" w:rsidP="00242745">
      <w:pPr>
        <w:spacing w:line="480" w:lineRule="auto"/>
        <w:jc w:val="both"/>
        <w:rPr>
          <w:rFonts w:cs="Times New Roman"/>
          <w:szCs w:val="24"/>
        </w:rPr>
      </w:pPr>
      <w:r w:rsidRPr="00465302">
        <w:rPr>
          <w:rFonts w:cs="Times New Roman"/>
          <w:szCs w:val="24"/>
        </w:rPr>
        <w:t xml:space="preserve">We used the VDC screening results to identify ToxCast </w:t>
      </w:r>
      <w:r w:rsidRPr="00465302">
        <w:rPr>
          <w:rFonts w:cs="Times New Roman"/>
          <w:i/>
          <w:szCs w:val="24"/>
        </w:rPr>
        <w:t>in vitro</w:t>
      </w:r>
      <w:r w:rsidRPr="00465302">
        <w:rPr>
          <w:rFonts w:cs="Times New Roman"/>
          <w:szCs w:val="24"/>
        </w:rPr>
        <w:t xml:space="preserve"> assays that correlate with the ten identified zebrafish ISV-VDC disruptors by univariate correlation analysis. </w:t>
      </w:r>
      <w:r w:rsidR="002D4F66" w:rsidRPr="00465302">
        <w:rPr>
          <w:rFonts w:cs="Times New Roman"/>
          <w:szCs w:val="24"/>
        </w:rPr>
        <w:t xml:space="preserve">All </w:t>
      </w:r>
      <w:r w:rsidR="002D4F66" w:rsidRPr="00465302">
        <w:rPr>
          <w:rFonts w:eastAsia="Times New Roman" w:cs="Times New Roman"/>
          <w:color w:val="000000"/>
          <w:szCs w:val="24"/>
        </w:rPr>
        <w:t xml:space="preserve">900+ assays present in the ToxCast screening program (available at </w:t>
      </w:r>
      <w:bookmarkStart w:id="63" w:name="_Hlk35410704"/>
      <w:r w:rsidR="002D4F66" w:rsidRPr="00465302">
        <w:fldChar w:fldCharType="begin"/>
      </w:r>
      <w:r w:rsidR="002D4F66" w:rsidRPr="00465302">
        <w:instrText xml:space="preserve"> HYPERLINK "https://comptox.epa.gov/dashboard/" </w:instrText>
      </w:r>
      <w:r w:rsidR="002D4F66" w:rsidRPr="00465302">
        <w:fldChar w:fldCharType="separate"/>
      </w:r>
      <w:r w:rsidR="002D4F66" w:rsidRPr="00465302">
        <w:rPr>
          <w:rStyle w:val="Hyperlink"/>
          <w:rFonts w:eastAsia="Times New Roman" w:cs="Times New Roman"/>
          <w:szCs w:val="24"/>
        </w:rPr>
        <w:t>https://comptox.epa.gov/dashboard/</w:t>
      </w:r>
      <w:r w:rsidR="002D4F66" w:rsidRPr="00465302">
        <w:rPr>
          <w:rStyle w:val="Hyperlink"/>
          <w:rFonts w:eastAsia="Times New Roman" w:cs="Times New Roman"/>
          <w:szCs w:val="24"/>
        </w:rPr>
        <w:fldChar w:fldCharType="end"/>
      </w:r>
      <w:bookmarkEnd w:id="63"/>
      <w:r w:rsidR="002D4F66" w:rsidRPr="00465302">
        <w:rPr>
          <w:rFonts w:eastAsia="Times New Roman" w:cs="Times New Roman"/>
          <w:color w:val="000000"/>
          <w:szCs w:val="24"/>
        </w:rPr>
        <w:t xml:space="preserve">) were used to identify the </w:t>
      </w:r>
      <w:r w:rsidR="002F7B5D" w:rsidRPr="00465302">
        <w:rPr>
          <w:rFonts w:eastAsia="Times New Roman" w:cs="Times New Roman"/>
          <w:color w:val="000000"/>
          <w:szCs w:val="24"/>
        </w:rPr>
        <w:t xml:space="preserve">signature </w:t>
      </w:r>
      <w:r w:rsidR="002D4F66" w:rsidRPr="00465302">
        <w:rPr>
          <w:rFonts w:eastAsia="Times New Roman" w:cs="Times New Roman"/>
          <w:color w:val="000000"/>
          <w:szCs w:val="24"/>
        </w:rPr>
        <w:t>putative VDC (pVDC) assay profile  (see Appendix Table 6)</w:t>
      </w:r>
      <w:r w:rsidR="009F3217" w:rsidRPr="00465302">
        <w:rPr>
          <w:rFonts w:eastAsia="Times New Roman" w:cs="Times New Roman"/>
          <w:color w:val="000000"/>
          <w:szCs w:val="24"/>
        </w:rPr>
        <w:t xml:space="preserve"> </w:t>
      </w:r>
      <w:r w:rsidR="009F3217" w:rsidRPr="00465302">
        <w:rPr>
          <w:rFonts w:eastAsia="Times New Roman" w:cs="Times New Roman"/>
          <w:color w:val="000000"/>
          <w:szCs w:val="24"/>
        </w:rPr>
        <w:fldChar w:fldCharType="begin" w:fldLock="1"/>
      </w:r>
      <w:r w:rsidR="009F3217" w:rsidRPr="00465302">
        <w:rPr>
          <w:rFonts w:eastAsia="Times New Roman" w:cs="Times New Roman"/>
          <w:color w:val="000000"/>
          <w:szCs w:val="24"/>
        </w:rPr>
        <w:instrText>ADDIN CSL_CITATION {"citationItems":[{"id":"ITEM-1","itemData":{"DOI":"10.1289/ehp.1002180","ISSN":"1552-9924","abstract":"BACKGROUND: The prioritization of chemicals for toxicity testing is a primary goal of the U.S. Environmental Protection Agency (EPA) ToxCast™ program. Phase I of ToxCast used a battery of 467 in vitro, high-throughput screening assays to assess 309 environmental chemicals. One important mode of action leading to toxicity is endocrine disruption, and the U.S. EPA's Endocrine Disruptor Screening Program (EDSP) has been charged with screening pesticide chemicals and environmental contaminants for their potential to affect the endocrine systems of humans and wildlife. OBJECTIVE: The goal of this study was to develop a flexible method to facilitate the rational prioritization of chemicals for further evaluation and demonstrate its application as a candidate decision-support tool for EDSP. METHODS: Focusing on estrogen, androgen, and thyroid pathways, we defined putative endocrine profiles and derived a relative rank or score for the entire ToxCast library of 309 unique chemicals. Effects on other nuclear receptors and xenobiotic metabolizing enzymes were also considered, as were pertinent chemical descriptors and pathways relevant to endocrine-mediated signaling. RESULTS: Combining multiple data sources into an overall, weight-of-evidence Toxicological Priority Index (ToxPi) score for prioritizing further chemical testing resulted in more robust conclusions than any single data source taken alone. CONCLUSIONS: Incorporating data from in vitro assays, chemical descriptors, and biological pathways in this prioritization schema provided a flexible, comprehensive visualization and ranking of each chemical's potential endocrine activity. Importantly, ToxPi profiles provide a transparent visualization of the relative contribution of all information sources to an overall priority ranking. The method developed here is readily adaptable to diverse chemical prioritization tasks.","author":[{"dropping-particle":"","family":"Reif","given":"David M","non-dropping-particle":"","parse-names":false,"suffix":""},{"dropping-particle":"","family":"Martin","given":"Matthew T","non-dropping-particle":"","parse-names":false,"suffix":""},{"dropping-particle":"","family":"Tan","given":"Shirlee W","non-dropping-particle":"","parse-names":false,"suffix":""},{"dropping-particle":"","family":"Houck","given":"Keith A","non-dropping-particle":"","parse-names":false,"suffix":""},{"dropping-particle":"","family":"Judson","given":"Richard S","non-dropping-particle":"","parse-names":false,"suffix":""},{"dropping-particle":"","family":"Richard","given":"Ann M","non-dropping-particle":"","parse-names":false,"suffix":""},{"dropping-particle":"","family":"Knudsen","given":"Thomas B","non-dropping-particle":"","parse-names":false,"suffix":""},{"dropping-particle":"","family":"Dix","given":"David J","non-dropping-particle":"","parse-names":false,"suffix":""},{"dropping-particle":"","family":"Kavlock","given":"Robert J","non-dropping-particle":"","parse-names":false,"suffix":""}],"container-title":"Environmental health perspectives","edition":"2010/09/08","id":"ITEM-1","issue":"12","issued":{"date-parts":[["2010","12"]]},"language":"eng","page":"1714-1720","publisher":"National Institute of Environmental Health Sciences","title":"Endocrine profiling and prioritization of environmental chemicals using ToxCast data","type":"article-journal","volume":"118"},"uris":["http://www.mendeley.com/documents/?uuid=a63fad8e-a146-4200-92c9-44557879bf61"]}],"mendeley":{"formattedCitation":"(Reif &lt;i&gt;et al.&lt;/i&gt;, 2010)","plainTextFormattedCitation":"(Reif et al., 2010)","previouslyFormattedCitation":"(Reif &lt;i&gt;et al.&lt;/i&gt;, 2010)"},"properties":{"noteIndex":0},"schema":"https://github.com/citation-style-language/schema/raw/master/csl-citation.json"}</w:instrText>
      </w:r>
      <w:r w:rsidR="009F3217" w:rsidRPr="00465302">
        <w:rPr>
          <w:rFonts w:eastAsia="Times New Roman" w:cs="Times New Roman"/>
          <w:color w:val="000000"/>
          <w:szCs w:val="24"/>
        </w:rPr>
        <w:fldChar w:fldCharType="separate"/>
      </w:r>
      <w:r w:rsidR="009F3217" w:rsidRPr="00465302">
        <w:rPr>
          <w:rFonts w:eastAsia="Times New Roman" w:cs="Times New Roman"/>
          <w:noProof/>
          <w:color w:val="000000"/>
          <w:szCs w:val="24"/>
        </w:rPr>
        <w:t xml:space="preserve">(Reif </w:t>
      </w:r>
      <w:r w:rsidR="009F3217" w:rsidRPr="00465302">
        <w:rPr>
          <w:rFonts w:eastAsia="Times New Roman" w:cs="Times New Roman"/>
          <w:i/>
          <w:noProof/>
          <w:color w:val="000000"/>
          <w:szCs w:val="24"/>
        </w:rPr>
        <w:t>et al.</w:t>
      </w:r>
      <w:r w:rsidR="009F3217" w:rsidRPr="00465302">
        <w:rPr>
          <w:rFonts w:eastAsia="Times New Roman" w:cs="Times New Roman"/>
          <w:noProof/>
          <w:color w:val="000000"/>
          <w:szCs w:val="24"/>
        </w:rPr>
        <w:t>, 2010)</w:t>
      </w:r>
      <w:r w:rsidR="009F3217" w:rsidRPr="00465302">
        <w:rPr>
          <w:rFonts w:eastAsia="Times New Roman" w:cs="Times New Roman"/>
          <w:color w:val="000000"/>
          <w:szCs w:val="24"/>
        </w:rPr>
        <w:fldChar w:fldCharType="end"/>
      </w:r>
      <w:r w:rsidR="00A5237A" w:rsidRPr="00465302">
        <w:rPr>
          <w:rFonts w:eastAsia="Times New Roman" w:cs="Times New Roman"/>
          <w:color w:val="000000"/>
          <w:szCs w:val="24"/>
        </w:rPr>
        <w:t xml:space="preserve">. To eliminate the </w:t>
      </w:r>
      <w:r w:rsidR="00A5237A" w:rsidRPr="00465302">
        <w:rPr>
          <w:rFonts w:eastAsia="Times New Roman" w:cs="Times New Roman"/>
          <w:i/>
          <w:iCs/>
          <w:color w:val="000000"/>
          <w:szCs w:val="24"/>
        </w:rPr>
        <w:t>in vitro</w:t>
      </w:r>
      <w:r w:rsidR="00A5237A" w:rsidRPr="00465302">
        <w:rPr>
          <w:rFonts w:eastAsia="Times New Roman" w:cs="Times New Roman"/>
          <w:color w:val="000000"/>
          <w:szCs w:val="24"/>
        </w:rPr>
        <w:t xml:space="preserve"> assays for cell stress and cytotoxicity which indicate general toxicity, we applied a z-score, as </w:t>
      </w:r>
      <w:r w:rsidR="00A5237A" w:rsidRPr="002A0676">
        <w:rPr>
          <w:rFonts w:eastAsia="Times New Roman" w:cs="Times New Roman"/>
          <w:color w:val="auto"/>
          <w:szCs w:val="24"/>
        </w:rPr>
        <w:t>describe</w:t>
      </w:r>
      <w:r w:rsidR="00B35607" w:rsidRPr="002A0676">
        <w:rPr>
          <w:rFonts w:eastAsia="Times New Roman" w:cs="Times New Roman"/>
          <w:color w:val="auto"/>
          <w:szCs w:val="24"/>
        </w:rPr>
        <w:t>d</w:t>
      </w:r>
      <w:r w:rsidR="00A5237A" w:rsidRPr="002A0676">
        <w:rPr>
          <w:rFonts w:eastAsia="Times New Roman" w:cs="Times New Roman"/>
          <w:color w:val="auto"/>
          <w:szCs w:val="24"/>
        </w:rPr>
        <w:t xml:space="preserve"> by Judson </w:t>
      </w:r>
      <w:r w:rsidR="00A5237A" w:rsidRPr="002A0676">
        <w:rPr>
          <w:rFonts w:eastAsia="Times New Roman" w:cs="Times New Roman"/>
          <w:i/>
          <w:iCs/>
          <w:color w:val="auto"/>
          <w:szCs w:val="24"/>
        </w:rPr>
        <w:t>et al.</w:t>
      </w:r>
      <w:r w:rsidR="009F3217" w:rsidRPr="002A0676">
        <w:rPr>
          <w:rFonts w:eastAsia="Times New Roman" w:cs="Times New Roman"/>
          <w:color w:val="auto"/>
          <w:szCs w:val="24"/>
        </w:rPr>
        <w:t xml:space="preserve"> </w:t>
      </w:r>
      <w:r w:rsidR="009F3217" w:rsidRPr="002A0676">
        <w:rPr>
          <w:rFonts w:eastAsia="Times New Roman" w:cs="Times New Roman"/>
          <w:color w:val="auto"/>
          <w:szCs w:val="24"/>
        </w:rPr>
        <w:fldChar w:fldCharType="begin" w:fldLock="1"/>
      </w:r>
      <w:r w:rsidR="0093738C">
        <w:rPr>
          <w:rFonts w:eastAsia="Times New Roman" w:cs="Times New Roman"/>
          <w:color w:val="auto"/>
          <w:szCs w:val="24"/>
        </w:rPr>
        <w:instrText>ADDIN CSL_CITATION {"citationItems":[{"id":"ITEM-1","itemData":{"DOI":"10.1093/toxsci/kfw092","ISSN":"1096-0929 (Electronic)","PMID":"27208079","abstract":"Chemical toxicity can arise from disruption of specific biomolecular functions or  through more generalized cell stress and cytotoxicity-mediated processes. Here, responses of 1060 chemicals including pharmaceuticals, natural products, pesticidals, consumer, and industrial chemicals across a battery of 815 in vitro assay endpoints from 7 high-throughput assay technology platforms were analyzed in order to distinguish between these types of activities. Both cell-based and cell-free assays showed a rapid increase in the frequency of responses at concentrations where cell stress/cytotoxicity responses were observed in cell-based assays. Chemicals that were positive on at least 2 viability/cytotoxicity assays within the concentration range tested (typically up to 100 μM) activated a median of 12% of assay endpoints whereas those that were not cytotoxic in this concentration range activated 1.3% of the assays endpoints. The results suggest that activity can be broadly divided into: (1) specific biomolecular interactions against one or more targets (eg, receptors or enzymes) at concentrations below which overt cytotoxicity-associated activity is observed; and (2) activity associated with cell stress or cytotoxicity, which may result from triggering specific cell stress pathways, chemical reactivity, physico-chemical disruption of proteins or membranes, or broad low-affinity non-covalent interactions. Chemicals showing a greater number of specific biomolecular interactions are generally designed to be bioactive (pharmaceuticals or pesticidal active ingredients), whereas intentional food-use chemicals tended to show the fewest specific interactions. The analyses presented here provide context for use of these data in ongoing studies to predict in vivo toxicity from chemicals lacking extensive hazard assessment.","author":[{"dropping-particle":"","family":"Judson","given":"Richard","non-dropping-particle":"","parse-names":false,"suffix":""},{"dropping-particle":"","family":"Houck","given":"Keith","non-dropping-particle":"","parse-names":false,"suffix":""},{"dropping-particle":"","family":"Martin","given":"Matt","non-dropping-particle":"","parse-names":false,"suffix":""},{"dropping-particle":"","family":"Richard","given":"Ann M","non-dropping-particle":"","parse-names":false,"suffix":""},{"dropping-particle":"","family":"Knudsen","given":"Thomas B","non-dropping-particle":"","parse-names":false,"suffix":""},{"dropping-particle":"","family":"Shah","given":"Imran","non-dropping-particle":"","parse-names":false,"suffix":""},{"dropping-particle":"","family":"Little","given":"Stephen","non-dropping-particle":"","parse-names":false,"suffix":""},{"dropping-particle":"","family":"Wambaugh","given":"John","non-dropping-particle":"","parse-names":false,"suffix":""},{"dropping-particle":"","family":"Woodrow Setzer","given":"R","non-dropping-particle":"","parse-names":false,"suffix":""},{"dropping-particle":"","family":"Kothiya","given":"Parth","non-dropping-particle":"","parse-names":false,"suffix":""},{"dropping-particle":"","family":"Phuong","given":"Jimmy","non-dropping-particle":"","parse-names":false,"suffix":""},{"dropping-particle":"","family":"Filer","given":"Dayne","non-dropping-particle":"","parse-names":false,"suffix":""},{"dropping-particle":"","family":"Smith","given":"Doris","non-dropping-particle":"","parse-names":false,"suffix":""},{"dropping-particle":"","family":"Reif","given":"David","non-dropping-particle":"","parse-names":false,"suffix":""},{"dropping-particle":"","family":"Rotroff","given":"Daniel","non-dropping-particle":"","parse-names":false,"suffix":""},{"dropping-particle":"","family":"Kleinstreuer","given":"Nicole","non-dropping-particle":"","parse-names":false,"suffix":""},{"dropping-particle":"","family":"Sipes","given":"Nisha","non-dropping-particle":"","parse-names":false,"suffix":""},{"dropping-particle":"","family":"Xia","given":"Menghang","non-dropping-particle":"","parse-names":false,"suffix":""},{"dropping-particle":"","family":"Huang","given":"Ruili","non-dropping-particle":"","parse-names":false,"suffix":""},{"dropping-particle":"","family":"Crofton","given":"Kevin","non-dropping-particle":"","parse-names":false,"suffix":""},{"dropping-particle":"","family":"Thomas","given":"Russell S","non-dropping-particle":"","parse-names":false,"suffix":""}],"container-title":"Toxicological sciences : an official journal of the Society of Toxicology","id":"ITEM-1","issue":"2","issued":{"date-parts":[["2016","8"]]},"language":"eng","page":"323-339","title":"Editor's Highlight: Analysis of the Effects of Cell Stress and Cytotoxicity on In  Vitro Assay Activity Across a Diverse Chemical and Assay Space.","type":"article-journal","volume":"152"},"uris":["http://www.mendeley.com/documents/?uuid=740bfd3d-2e1b-4c4e-b186-8fffcab24d0d"]}],"mendeley":{"formattedCitation":"(Judson &lt;i&gt;et al.&lt;/i&gt;, 2016)","plainTextFormattedCitation":"(Judson et al., 2016)","previouslyFormattedCitation":"(Judson &lt;i&gt;et al.&lt;/i&gt;, 2016)"},"properties":{"noteIndex":0},"schema":"https://github.com/citation-style-language/schema/raw/master/csl-citation.json"}</w:instrText>
      </w:r>
      <w:r w:rsidR="009F3217" w:rsidRPr="002A0676">
        <w:rPr>
          <w:rFonts w:eastAsia="Times New Roman" w:cs="Times New Roman"/>
          <w:color w:val="auto"/>
          <w:szCs w:val="24"/>
        </w:rPr>
        <w:fldChar w:fldCharType="separate"/>
      </w:r>
      <w:r w:rsidR="0068046A" w:rsidRPr="002A0676">
        <w:rPr>
          <w:rFonts w:eastAsia="Times New Roman" w:cs="Times New Roman"/>
          <w:noProof/>
          <w:color w:val="auto"/>
          <w:szCs w:val="24"/>
        </w:rPr>
        <w:t xml:space="preserve">(Judson </w:t>
      </w:r>
      <w:r w:rsidR="0068046A" w:rsidRPr="002A0676">
        <w:rPr>
          <w:rFonts w:eastAsia="Times New Roman" w:cs="Times New Roman"/>
          <w:i/>
          <w:noProof/>
          <w:color w:val="auto"/>
          <w:szCs w:val="24"/>
        </w:rPr>
        <w:t>et al.</w:t>
      </w:r>
      <w:r w:rsidR="0068046A" w:rsidRPr="002A0676">
        <w:rPr>
          <w:rFonts w:eastAsia="Times New Roman" w:cs="Times New Roman"/>
          <w:noProof/>
          <w:color w:val="auto"/>
          <w:szCs w:val="24"/>
        </w:rPr>
        <w:t>, 2016)</w:t>
      </w:r>
      <w:r w:rsidR="009F3217" w:rsidRPr="002A0676">
        <w:rPr>
          <w:rFonts w:eastAsia="Times New Roman" w:cs="Times New Roman"/>
          <w:color w:val="auto"/>
          <w:szCs w:val="24"/>
        </w:rPr>
        <w:fldChar w:fldCharType="end"/>
      </w:r>
      <w:r w:rsidR="009F3217" w:rsidRPr="00465302">
        <w:rPr>
          <w:rFonts w:eastAsia="Times New Roman" w:cs="Times New Roman"/>
          <w:color w:val="000000"/>
          <w:szCs w:val="24"/>
        </w:rPr>
        <w:t xml:space="preserve"> </w:t>
      </w:r>
      <w:r w:rsidR="00A5237A" w:rsidRPr="00465302">
        <w:rPr>
          <w:rFonts w:eastAsia="Times New Roman" w:cs="Times New Roman"/>
          <w:color w:val="000000"/>
          <w:szCs w:val="24"/>
        </w:rPr>
        <w:t xml:space="preserve">and in methods. Nineteen different </w:t>
      </w:r>
      <w:r w:rsidR="00A5237A" w:rsidRPr="00465302">
        <w:rPr>
          <w:rFonts w:eastAsia="Times New Roman" w:cs="Times New Roman"/>
          <w:i/>
          <w:iCs/>
          <w:color w:val="000000"/>
          <w:szCs w:val="24"/>
        </w:rPr>
        <w:t>in vitro</w:t>
      </w:r>
      <w:r w:rsidR="00A5237A" w:rsidRPr="00465302">
        <w:rPr>
          <w:rFonts w:eastAsia="Times New Roman" w:cs="Times New Roman"/>
          <w:color w:val="000000"/>
          <w:szCs w:val="24"/>
        </w:rPr>
        <w:t xml:space="preserve"> assays were identified, including assays for nuclear receptor signaling (AR, THR and RAR), other transcription factors (Hif1a, Pou2F1, SP1</w:t>
      </w:r>
      <w:r w:rsidR="005C165A" w:rsidRPr="00465302">
        <w:rPr>
          <w:rFonts w:eastAsia="Times New Roman" w:cs="Times New Roman"/>
          <w:color w:val="000000"/>
          <w:szCs w:val="24"/>
        </w:rPr>
        <w:t>,</w:t>
      </w:r>
      <w:r w:rsidR="00A5237A" w:rsidRPr="00465302">
        <w:rPr>
          <w:rFonts w:eastAsia="Times New Roman" w:cs="Times New Roman"/>
          <w:color w:val="000000"/>
          <w:szCs w:val="24"/>
        </w:rPr>
        <w:t xml:space="preserve"> etc.), as well as signal transduction assays (NfκB)</w:t>
      </w:r>
      <w:r w:rsidRPr="00465302">
        <w:rPr>
          <w:rFonts w:eastAsia="Times New Roman" w:cs="Times New Roman"/>
          <w:color w:val="000000"/>
          <w:szCs w:val="24"/>
        </w:rPr>
        <w:t xml:space="preserve"> (Appendix Table 6)</w:t>
      </w:r>
      <w:r w:rsidR="00A5237A" w:rsidRPr="00465302">
        <w:rPr>
          <w:rFonts w:eastAsia="Times New Roman" w:cs="Times New Roman"/>
          <w:color w:val="000000"/>
          <w:szCs w:val="24"/>
        </w:rPr>
        <w:t xml:space="preserve">. </w:t>
      </w:r>
    </w:p>
    <w:p w14:paraId="0C72C38E" w14:textId="248029C9" w:rsidR="00A5237A" w:rsidRPr="00465302" w:rsidRDefault="002D4F66" w:rsidP="00242745">
      <w:pPr>
        <w:spacing w:before="0" w:after="0" w:line="480" w:lineRule="auto"/>
        <w:jc w:val="both"/>
        <w:rPr>
          <w:rFonts w:eastAsia="Times New Roman" w:cs="Times New Roman"/>
          <w:color w:val="000000"/>
          <w:szCs w:val="24"/>
        </w:rPr>
      </w:pPr>
      <w:r w:rsidRPr="00465302">
        <w:rPr>
          <w:rFonts w:cs="Times New Roman"/>
          <w:szCs w:val="24"/>
        </w:rPr>
        <w:t>The ToxPi tool was used to visualize the bioactivity profiles of the ten chemicals, and to score their potency towards the identified assays. We used this score to rank the VDC disruptors.</w:t>
      </w:r>
      <w:r w:rsidR="002F7B5D" w:rsidRPr="00465302">
        <w:rPr>
          <w:rFonts w:cs="Times New Roman"/>
          <w:szCs w:val="24"/>
        </w:rPr>
        <w:t xml:space="preserve"> </w:t>
      </w:r>
      <w:r w:rsidR="00A5237A" w:rsidRPr="00465302">
        <w:rPr>
          <w:rFonts w:eastAsia="Times New Roman" w:cs="Times New Roman"/>
          <w:color w:val="000000"/>
          <w:szCs w:val="24"/>
        </w:rPr>
        <w:t>To visualize the results, the AC</w:t>
      </w:r>
      <w:r w:rsidR="00A5237A" w:rsidRPr="00465302">
        <w:rPr>
          <w:rFonts w:eastAsia="Times New Roman" w:cs="Times New Roman"/>
          <w:color w:val="000000"/>
          <w:szCs w:val="24"/>
          <w:vertAlign w:val="subscript"/>
        </w:rPr>
        <w:t>50</w:t>
      </w:r>
      <w:r w:rsidR="00A5237A" w:rsidRPr="00465302">
        <w:rPr>
          <w:rFonts w:eastAsia="Times New Roman" w:cs="Times New Roman"/>
          <w:color w:val="000000"/>
          <w:szCs w:val="24"/>
        </w:rPr>
        <w:t xml:space="preserve"> values of the </w:t>
      </w:r>
      <w:r w:rsidR="003C7A73">
        <w:rPr>
          <w:rFonts w:eastAsia="Times New Roman" w:cs="Times New Roman"/>
          <w:color w:val="000000"/>
          <w:szCs w:val="24"/>
        </w:rPr>
        <w:t>ten</w:t>
      </w:r>
      <w:r w:rsidR="00A5237A" w:rsidRPr="00465302">
        <w:rPr>
          <w:rFonts w:eastAsia="Times New Roman" w:cs="Times New Roman"/>
          <w:color w:val="000000"/>
          <w:szCs w:val="24"/>
        </w:rPr>
        <w:t xml:space="preserve"> ISV-VDCs were obtained towards the 19 assays (Appendix Table 7) and a pVDC signature was generated for each of the </w:t>
      </w:r>
      <w:r w:rsidR="003C7A73">
        <w:rPr>
          <w:rFonts w:eastAsia="Times New Roman" w:cs="Times New Roman"/>
          <w:color w:val="000000"/>
          <w:szCs w:val="24"/>
        </w:rPr>
        <w:t>ten</w:t>
      </w:r>
      <w:r w:rsidR="00A5237A" w:rsidRPr="00465302">
        <w:rPr>
          <w:rFonts w:eastAsia="Times New Roman" w:cs="Times New Roman"/>
          <w:color w:val="000000"/>
          <w:szCs w:val="24"/>
        </w:rPr>
        <w:t xml:space="preserve"> ISV-VDCs depicting the retained assays (</w:t>
      </w:r>
      <w:r w:rsidR="00A5237A" w:rsidRPr="00465302">
        <w:rPr>
          <w:rStyle w:val="Strong"/>
        </w:rPr>
        <w:t>Figure 3.8</w:t>
      </w:r>
      <w:r w:rsidR="00A5237A" w:rsidRPr="00465302">
        <w:rPr>
          <w:rFonts w:eastAsia="Times New Roman" w:cs="Times New Roman"/>
          <w:color w:val="000000"/>
          <w:szCs w:val="24"/>
        </w:rPr>
        <w:t xml:space="preserve">). </w:t>
      </w:r>
    </w:p>
    <w:p w14:paraId="29C4DAFB" w14:textId="61F13211" w:rsidR="00A5237A" w:rsidRPr="00465302" w:rsidRDefault="00A5237A" w:rsidP="00242745">
      <w:pPr>
        <w:spacing w:before="0" w:after="0" w:line="276" w:lineRule="auto"/>
        <w:jc w:val="both"/>
        <w:rPr>
          <w:rFonts w:cs="Times New Roman"/>
          <w:b/>
          <w:bCs/>
          <w:strike/>
          <w:szCs w:val="24"/>
          <w:u w:val="single"/>
        </w:rPr>
      </w:pPr>
    </w:p>
    <w:p w14:paraId="2565A7C3" w14:textId="77777777" w:rsidR="002F7B5D" w:rsidRPr="00465302" w:rsidRDefault="002D4F66">
      <w:pPr>
        <w:spacing w:before="0" w:after="0" w:line="276" w:lineRule="auto"/>
        <w:jc w:val="both"/>
        <w:rPr>
          <w:rFonts w:cs="Times New Roman"/>
          <w:b/>
          <w:bCs/>
        </w:rPr>
      </w:pPr>
      <w:r w:rsidRPr="00465302">
        <w:rPr>
          <w:rFonts w:cs="Times New Roman"/>
          <w:b/>
          <w:bCs/>
          <w:strike/>
          <w:noProof/>
          <w:szCs w:val="24"/>
          <w:u w:val="single"/>
        </w:rPr>
        <w:lastRenderedPageBreak/>
        <w:drawing>
          <wp:anchor distT="0" distB="0" distL="114300" distR="114300" simplePos="0" relativeHeight="251673600" behindDoc="0" locked="0" layoutInCell="1" allowOverlap="1" wp14:anchorId="46A45354" wp14:editId="6A8EA321">
            <wp:simplePos x="914400" y="914400"/>
            <wp:positionH relativeFrom="margin">
              <wp:align>center</wp:align>
            </wp:positionH>
            <wp:positionV relativeFrom="margin">
              <wp:align>top</wp:align>
            </wp:positionV>
            <wp:extent cx="5212080" cy="6666230"/>
            <wp:effectExtent l="0" t="0" r="7620" b="127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laqkc\Downloads\Figure 3.8.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659"/>
                    <a:stretch/>
                  </pic:blipFill>
                  <pic:spPr bwMode="auto">
                    <a:xfrm>
                      <a:off x="0" y="0"/>
                      <a:ext cx="5212080" cy="6666230"/>
                    </a:xfrm>
                    <a:prstGeom prst="rect">
                      <a:avLst/>
                    </a:prstGeom>
                    <a:noFill/>
                    <a:ln>
                      <a:noFill/>
                    </a:ln>
                    <a:extLst>
                      <a:ext uri="{53640926-AAD7-44D8-BBD7-CCE9431645EC}">
                        <a14:shadowObscured xmlns:a14="http://schemas.microsoft.com/office/drawing/2010/main"/>
                      </a:ext>
                    </a:extLst>
                  </pic:spPr>
                </pic:pic>
              </a:graphicData>
            </a:graphic>
          </wp:anchor>
        </w:drawing>
      </w:r>
    </w:p>
    <w:p w14:paraId="00119219" w14:textId="19928C5C" w:rsidR="00A5237A" w:rsidRPr="00465302" w:rsidRDefault="00A5237A" w:rsidP="00EE6A62">
      <w:pPr>
        <w:spacing w:before="0" w:after="0" w:line="240" w:lineRule="auto"/>
        <w:jc w:val="both"/>
        <w:rPr>
          <w:rFonts w:cs="Times New Roman"/>
          <w:strike/>
        </w:rPr>
      </w:pPr>
      <w:r w:rsidRPr="00465302">
        <w:rPr>
          <w:rFonts w:cs="Times New Roman"/>
          <w:b/>
          <w:bCs/>
        </w:rPr>
        <w:t xml:space="preserve">Figure </w:t>
      </w:r>
      <w:bookmarkStart w:id="64" w:name="_Hlk39500440"/>
      <w:r w:rsidRPr="00465302">
        <w:rPr>
          <w:rFonts w:cs="Times New Roman"/>
          <w:b/>
          <w:bCs/>
        </w:rPr>
        <w:t xml:space="preserve">3.8 </w:t>
      </w:r>
      <w:r w:rsidRPr="00465302">
        <w:rPr>
          <w:rFonts w:cs="Times New Roman"/>
          <w:b/>
          <w:bCs/>
          <w:i/>
          <w:iCs/>
        </w:rPr>
        <w:t>In vitro</w:t>
      </w:r>
      <w:r w:rsidRPr="00465302">
        <w:rPr>
          <w:rFonts w:cs="Times New Roman"/>
          <w:b/>
          <w:bCs/>
        </w:rPr>
        <w:t xml:space="preserve"> assay signatures for confirmed VDCs identified through univariate analysis</w:t>
      </w:r>
      <w:bookmarkEnd w:id="64"/>
      <w:r w:rsidRPr="00465302">
        <w:rPr>
          <w:rFonts w:cs="Times New Roman"/>
          <w:b/>
          <w:bCs/>
        </w:rPr>
        <w:t>.</w:t>
      </w:r>
      <w:r w:rsidRPr="00465302">
        <w:rPr>
          <w:rFonts w:cs="Times New Roman"/>
        </w:rPr>
        <w:t xml:space="preserve"> ToxPis and potency scores for each of the </w:t>
      </w:r>
      <w:r w:rsidR="000F258A">
        <w:rPr>
          <w:rFonts w:cs="Times New Roman"/>
        </w:rPr>
        <w:t>ten</w:t>
      </w:r>
      <w:r w:rsidRPr="00465302">
        <w:rPr>
          <w:rFonts w:cs="Times New Roman"/>
        </w:rPr>
        <w:t xml:space="preserve"> compounds confirmed to perturb ISV development</w:t>
      </w:r>
      <w:r w:rsidR="00461617" w:rsidRPr="00465302">
        <w:rPr>
          <w:rFonts w:cs="Times New Roman"/>
        </w:rPr>
        <w:t>, g</w:t>
      </w:r>
      <w:r w:rsidRPr="00465302">
        <w:rPr>
          <w:rFonts w:cs="Times New Roman"/>
        </w:rPr>
        <w:t xml:space="preserve">enerated by running the VDC hit list against ToxCast </w:t>
      </w:r>
      <w:r w:rsidRPr="00465302">
        <w:rPr>
          <w:rFonts w:cs="Times New Roman"/>
          <w:i/>
          <w:iCs/>
        </w:rPr>
        <w:t>in vitro</w:t>
      </w:r>
      <w:r w:rsidRPr="00465302">
        <w:rPr>
          <w:rFonts w:cs="Times New Roman"/>
        </w:rPr>
        <w:t xml:space="preserve"> biochemical assays. Only assays </w:t>
      </w:r>
      <w:r w:rsidR="00C104DB" w:rsidRPr="00465302">
        <w:rPr>
          <w:rFonts w:cs="Times New Roman"/>
        </w:rPr>
        <w:t xml:space="preserve">where, </w:t>
      </w:r>
      <w:r w:rsidRPr="00465302">
        <w:rPr>
          <w:rFonts w:cs="Times New Roman"/>
        </w:rPr>
        <w:t xml:space="preserve">at least </w:t>
      </w:r>
      <w:r w:rsidR="000F258A">
        <w:rPr>
          <w:rFonts w:cs="Times New Roman"/>
        </w:rPr>
        <w:t>three</w:t>
      </w:r>
      <w:r w:rsidRPr="00465302">
        <w:rPr>
          <w:rFonts w:cs="Times New Roman"/>
        </w:rPr>
        <w:t xml:space="preserve"> or more of the </w:t>
      </w:r>
      <w:r w:rsidR="000F258A">
        <w:rPr>
          <w:rFonts w:cs="Times New Roman"/>
        </w:rPr>
        <w:t>ten</w:t>
      </w:r>
      <w:r w:rsidRPr="00465302">
        <w:rPr>
          <w:rFonts w:cs="Times New Roman"/>
        </w:rPr>
        <w:t xml:space="preserve"> compounds </w:t>
      </w:r>
      <w:r w:rsidR="00C104DB" w:rsidRPr="00465302">
        <w:rPr>
          <w:rFonts w:cs="Times New Roman"/>
        </w:rPr>
        <w:t>are active,</w:t>
      </w:r>
      <w:r w:rsidRPr="00465302">
        <w:rPr>
          <w:rFonts w:cs="Times New Roman"/>
        </w:rPr>
        <w:t xml:space="preserve"> </w:t>
      </w:r>
      <w:r w:rsidR="00C104DB" w:rsidRPr="00465302">
        <w:rPr>
          <w:rFonts w:cs="Times New Roman"/>
        </w:rPr>
        <w:t xml:space="preserve">have </w:t>
      </w:r>
      <w:r w:rsidRPr="00465302">
        <w:rPr>
          <w:rFonts w:cs="Times New Roman"/>
        </w:rPr>
        <w:t>a p-value &lt;0.05</w:t>
      </w:r>
      <w:r w:rsidR="00C104DB" w:rsidRPr="00465302">
        <w:rPr>
          <w:rFonts w:cs="Times New Roman"/>
        </w:rPr>
        <w:t>,</w:t>
      </w:r>
      <w:r w:rsidRPr="00465302">
        <w:rPr>
          <w:rFonts w:cs="Times New Roman"/>
        </w:rPr>
        <w:t xml:space="preserve"> and z-score applied were </w:t>
      </w:r>
      <w:r w:rsidR="005C165A" w:rsidRPr="00465302">
        <w:rPr>
          <w:rFonts w:cs="Times New Roman"/>
        </w:rPr>
        <w:t>retained</w:t>
      </w:r>
      <w:r w:rsidRPr="00465302">
        <w:rPr>
          <w:rFonts w:cs="Times New Roman"/>
        </w:rPr>
        <w:t>. Bigger pie slices show more potency at lower concentrations.</w:t>
      </w:r>
      <w:r w:rsidRPr="00465302">
        <w:rPr>
          <w:rFonts w:cs="Times New Roman"/>
          <w:strike/>
        </w:rPr>
        <w:t xml:space="preserve"> </w:t>
      </w:r>
    </w:p>
    <w:p w14:paraId="494C684F" w14:textId="1EBE7D68" w:rsidR="00A5237A" w:rsidRPr="00465302" w:rsidRDefault="00A5237A" w:rsidP="00A5237A">
      <w:pPr>
        <w:spacing w:line="480" w:lineRule="auto"/>
        <w:jc w:val="both"/>
        <w:rPr>
          <w:rFonts w:eastAsia="Times New Roman" w:cs="Times New Roman"/>
          <w:color w:val="000000"/>
          <w:szCs w:val="24"/>
        </w:rPr>
      </w:pPr>
      <w:r w:rsidRPr="00465302">
        <w:rPr>
          <w:rFonts w:eastAsia="Times New Roman" w:cs="Times New Roman"/>
          <w:color w:val="000000"/>
          <w:szCs w:val="24"/>
        </w:rPr>
        <w:lastRenderedPageBreak/>
        <w:t>The size of each slice of the ToxPi is proportional to the AC</w:t>
      </w:r>
      <w:r w:rsidRPr="00465302">
        <w:rPr>
          <w:rFonts w:eastAsia="Times New Roman" w:cs="Times New Roman"/>
          <w:color w:val="000000"/>
          <w:sz w:val="14"/>
          <w:szCs w:val="14"/>
          <w:vertAlign w:val="subscript"/>
        </w:rPr>
        <w:t>50</w:t>
      </w:r>
      <w:r w:rsidRPr="00465302">
        <w:rPr>
          <w:rFonts w:eastAsia="Times New Roman" w:cs="Times New Roman"/>
          <w:color w:val="000000"/>
          <w:szCs w:val="24"/>
        </w:rPr>
        <w:t xml:space="preserve"> for that particular in vitro assay and chemical. The chemicals were ranked by their ToxPi score; from rotenone having the highest score (0.8405 out of maximum 1.0) to acibenzolar-S-methyl score having the lowest score (0.0000) of the </w:t>
      </w:r>
      <w:r w:rsidR="003C7A73">
        <w:rPr>
          <w:rFonts w:eastAsia="Times New Roman" w:cs="Times New Roman"/>
          <w:color w:val="000000"/>
          <w:szCs w:val="24"/>
        </w:rPr>
        <w:t>ten</w:t>
      </w:r>
      <w:r w:rsidRPr="00465302">
        <w:rPr>
          <w:rFonts w:eastAsia="Times New Roman" w:cs="Times New Roman"/>
          <w:color w:val="000000"/>
          <w:szCs w:val="24"/>
        </w:rPr>
        <w:t xml:space="preserve"> compounds. Acibenzolar-S-methyl did not affect any of the 19 </w:t>
      </w:r>
      <w:r w:rsidRPr="00465302">
        <w:rPr>
          <w:rFonts w:eastAsia="Times New Roman" w:cs="Times New Roman"/>
          <w:i/>
          <w:iCs/>
          <w:color w:val="000000"/>
          <w:szCs w:val="24"/>
        </w:rPr>
        <w:t>in vitro</w:t>
      </w:r>
      <w:r w:rsidRPr="00465302">
        <w:rPr>
          <w:rFonts w:eastAsia="Times New Roman" w:cs="Times New Roman"/>
          <w:color w:val="000000"/>
          <w:szCs w:val="24"/>
        </w:rPr>
        <w:t xml:space="preserve"> assays identified and may</w:t>
      </w:r>
      <w:r w:rsidR="00CD637A" w:rsidRPr="00465302">
        <w:rPr>
          <w:rFonts w:eastAsia="Times New Roman" w:cs="Times New Roman"/>
          <w:color w:val="000000"/>
          <w:szCs w:val="24"/>
        </w:rPr>
        <w:t xml:space="preserve"> </w:t>
      </w:r>
      <w:r w:rsidRPr="00465302">
        <w:rPr>
          <w:rFonts w:eastAsia="Times New Roman" w:cs="Times New Roman"/>
          <w:color w:val="000000"/>
          <w:szCs w:val="24"/>
        </w:rPr>
        <w:t xml:space="preserve">be working through a mechanism not yet covered in the ToxCast </w:t>
      </w:r>
      <w:r w:rsidRPr="00465302">
        <w:rPr>
          <w:rFonts w:eastAsia="Times New Roman" w:cs="Times New Roman"/>
          <w:i/>
          <w:iCs/>
          <w:color w:val="000000"/>
          <w:szCs w:val="24"/>
        </w:rPr>
        <w:t>in vitro</w:t>
      </w:r>
      <w:r w:rsidRPr="00465302">
        <w:rPr>
          <w:rFonts w:eastAsia="Times New Roman" w:cs="Times New Roman"/>
          <w:color w:val="000000"/>
          <w:szCs w:val="24"/>
        </w:rPr>
        <w:t xml:space="preserve"> assays to cause ISV disruption. All other compounds affected </w:t>
      </w:r>
      <w:r w:rsidR="003C7A73">
        <w:rPr>
          <w:rFonts w:eastAsia="Times New Roman" w:cs="Times New Roman"/>
          <w:color w:val="000000"/>
          <w:szCs w:val="24"/>
        </w:rPr>
        <w:t>seven</w:t>
      </w:r>
      <w:r w:rsidRPr="00465302">
        <w:rPr>
          <w:rFonts w:eastAsia="Times New Roman" w:cs="Times New Roman"/>
          <w:color w:val="000000"/>
          <w:szCs w:val="24"/>
        </w:rPr>
        <w:t xml:space="preserve"> o</w:t>
      </w:r>
      <w:r w:rsidR="009A02CD" w:rsidRPr="00465302">
        <w:rPr>
          <w:rFonts w:eastAsia="Times New Roman" w:cs="Times New Roman"/>
          <w:color w:val="000000"/>
          <w:szCs w:val="24"/>
        </w:rPr>
        <w:t>f</w:t>
      </w:r>
      <w:r w:rsidRPr="00465302">
        <w:rPr>
          <w:rFonts w:eastAsia="Times New Roman" w:cs="Times New Roman"/>
          <w:color w:val="000000"/>
          <w:szCs w:val="24"/>
        </w:rPr>
        <w:t xml:space="preserve"> the 19 ToxCast assays; AR, CXCL8, CCL2, CD69, HLA-DRA, THR, and SELE. Most compounds also affected the ToxCast assays for upregulation of NfκB, POU2F1</w:t>
      </w:r>
      <w:r w:rsidR="00CD637A" w:rsidRPr="00465302">
        <w:rPr>
          <w:rFonts w:eastAsia="Times New Roman" w:cs="Times New Roman"/>
          <w:color w:val="000000"/>
          <w:szCs w:val="24"/>
        </w:rPr>
        <w:t>,</w:t>
      </w:r>
      <w:r w:rsidRPr="00465302">
        <w:rPr>
          <w:rFonts w:eastAsia="Times New Roman" w:cs="Times New Roman"/>
          <w:color w:val="000000"/>
          <w:szCs w:val="24"/>
        </w:rPr>
        <w:t xml:space="preserve"> and activation of nuclear factor (erythroid-derived 2)-like 2 (NFE2L2, Nrf2). In summary, several </w:t>
      </w:r>
      <w:r w:rsidRPr="00465302">
        <w:rPr>
          <w:rFonts w:eastAsia="Times New Roman" w:cs="Times New Roman"/>
          <w:i/>
          <w:iCs/>
          <w:color w:val="000000"/>
          <w:szCs w:val="24"/>
        </w:rPr>
        <w:t>in vitro</w:t>
      </w:r>
      <w:r w:rsidRPr="00465302">
        <w:rPr>
          <w:rFonts w:eastAsia="Times New Roman" w:cs="Times New Roman"/>
          <w:color w:val="000000"/>
          <w:szCs w:val="24"/>
        </w:rPr>
        <w:t xml:space="preserve"> assays were </w:t>
      </w:r>
      <w:r w:rsidR="00461617" w:rsidRPr="00465302">
        <w:rPr>
          <w:rFonts w:eastAsia="Times New Roman" w:cs="Times New Roman"/>
          <w:color w:val="000000"/>
          <w:szCs w:val="24"/>
        </w:rPr>
        <w:t>retained</w:t>
      </w:r>
      <w:r w:rsidRPr="00465302">
        <w:rPr>
          <w:rFonts w:eastAsia="Times New Roman" w:cs="Times New Roman"/>
          <w:color w:val="000000"/>
          <w:szCs w:val="24"/>
        </w:rPr>
        <w:t>, indicating that these assays reflect molecular pathways required for normal vascular development and that vascular structures become perturbed if these assays are interfered with.</w:t>
      </w:r>
    </w:p>
    <w:p w14:paraId="134A7026" w14:textId="55CE5106" w:rsidR="00A5237A" w:rsidRPr="00465302" w:rsidRDefault="00A5237A" w:rsidP="00317481">
      <w:pPr>
        <w:pStyle w:val="Heading3"/>
        <w:rPr>
          <w:rFonts w:eastAsia="Times New Roman"/>
        </w:rPr>
      </w:pPr>
      <w:bookmarkStart w:id="65" w:name="_Toc39502059"/>
      <w:r w:rsidRPr="00465302">
        <w:rPr>
          <w:rFonts w:eastAsia="Times New Roman"/>
        </w:rPr>
        <w:t xml:space="preserve">3.2.4 </w:t>
      </w:r>
      <w:r w:rsidR="00225289" w:rsidRPr="00465302">
        <w:rPr>
          <w:rFonts w:eastAsia="Times New Roman"/>
        </w:rPr>
        <w:t>Prediction of Vascular Toxicity of New Compounds</w:t>
      </w:r>
      <w:bookmarkEnd w:id="65"/>
      <w:r w:rsidR="00225289" w:rsidRPr="00465302" w:rsidDel="00225289">
        <w:rPr>
          <w:rFonts w:eastAsia="Times New Roman"/>
        </w:rPr>
        <w:t xml:space="preserve"> </w:t>
      </w:r>
    </w:p>
    <w:p w14:paraId="29BD264A" w14:textId="57AB2AC0" w:rsidR="00A5237A" w:rsidRPr="00465302" w:rsidRDefault="002F7B5D" w:rsidP="00920B68">
      <w:pPr>
        <w:spacing w:before="0" w:line="480" w:lineRule="auto"/>
        <w:jc w:val="both"/>
        <w:rPr>
          <w:rFonts w:eastAsia="Times New Roman" w:cs="Times New Roman"/>
          <w:color w:val="000000"/>
          <w:szCs w:val="24"/>
        </w:rPr>
      </w:pPr>
      <w:r w:rsidRPr="00465302">
        <w:rPr>
          <w:rFonts w:cs="Times New Roman"/>
          <w:szCs w:val="24"/>
        </w:rPr>
        <w:t xml:space="preserve">The nineteen assays identified from the univariate analysis were used to predict VDCs. </w:t>
      </w:r>
      <w:r w:rsidR="00920B68" w:rsidRPr="00465302">
        <w:rPr>
          <w:rFonts w:cs="Times New Roman"/>
          <w:szCs w:val="24"/>
        </w:rPr>
        <w:t>All</w:t>
      </w:r>
      <w:r w:rsidRPr="00465302">
        <w:rPr>
          <w:rFonts w:cs="Times New Roman"/>
          <w:szCs w:val="24"/>
        </w:rPr>
        <w:t xml:space="preserve"> chemicals that have been tested for these assays and their respective AC</w:t>
      </w:r>
      <w:r w:rsidRPr="00465302">
        <w:rPr>
          <w:rFonts w:cs="Times New Roman"/>
          <w:szCs w:val="24"/>
          <w:vertAlign w:val="subscript"/>
        </w:rPr>
        <w:t>50</w:t>
      </w:r>
      <w:r w:rsidRPr="00465302">
        <w:rPr>
          <w:rFonts w:cs="Times New Roman"/>
          <w:szCs w:val="24"/>
        </w:rPr>
        <w:t xml:space="preserve"> values were extracted from ToxCast dashboard (</w:t>
      </w:r>
      <w:hyperlink r:id="rId33" w:history="1">
        <w:r w:rsidRPr="00465302">
          <w:rPr>
            <w:rStyle w:val="Hyperlink"/>
            <w:rFonts w:eastAsia="Times New Roman" w:cs="Times New Roman"/>
            <w:szCs w:val="24"/>
          </w:rPr>
          <w:t>https://comptox.epa.gov/dashboard/</w:t>
        </w:r>
      </w:hyperlink>
      <w:r w:rsidRPr="00465302">
        <w:rPr>
          <w:rStyle w:val="Hyperlink"/>
          <w:rFonts w:eastAsia="Times New Roman" w:cs="Times New Roman"/>
          <w:szCs w:val="24"/>
        </w:rPr>
        <w:t>)</w:t>
      </w:r>
      <w:r w:rsidRPr="00465302">
        <w:rPr>
          <w:rFonts w:cs="Times New Roman"/>
          <w:szCs w:val="24"/>
        </w:rPr>
        <w:t xml:space="preserve">. The ToxPi ranking tool was used to rank these compounds based on their ToxPi score. </w:t>
      </w:r>
      <w:r w:rsidR="00A5237A" w:rsidRPr="00465302">
        <w:rPr>
          <w:rFonts w:eastAsia="Times New Roman" w:cs="Times New Roman"/>
          <w:color w:val="000000"/>
          <w:szCs w:val="24"/>
        </w:rPr>
        <w:t>The extracted documents for each assay were combined into one master spreadshee</w:t>
      </w:r>
      <w:r w:rsidR="00920B68" w:rsidRPr="00465302">
        <w:rPr>
          <w:rFonts w:eastAsia="Times New Roman" w:cs="Times New Roman"/>
          <w:color w:val="000000"/>
          <w:szCs w:val="24"/>
        </w:rPr>
        <w:t>t,</w:t>
      </w:r>
      <w:r w:rsidR="00A5237A" w:rsidRPr="00465302">
        <w:rPr>
          <w:rFonts w:eastAsia="Times New Roman" w:cs="Times New Roman"/>
          <w:color w:val="000000"/>
          <w:szCs w:val="24"/>
        </w:rPr>
        <w:t xml:space="preserve"> which was uploaded to the ToxPi program to rank all tested chemicals based on their ToxPi score. This created a ranking list for all chemicals tested in ToxCast based on their potential to affect the assays shown in </w:t>
      </w:r>
      <w:r w:rsidR="00A5237A" w:rsidRPr="00465302">
        <w:rPr>
          <w:rStyle w:val="Strong"/>
        </w:rPr>
        <w:t>Figure 3.8</w:t>
      </w:r>
      <w:r w:rsidR="00A5237A" w:rsidRPr="00465302">
        <w:rPr>
          <w:rFonts w:eastAsia="Times New Roman" w:cs="Times New Roman"/>
          <w:color w:val="000000"/>
          <w:szCs w:val="24"/>
        </w:rPr>
        <w:t xml:space="preserve">. The top five and bottom two predicted ISV VDCs, and their ToxPi scores are shown in </w:t>
      </w:r>
      <w:r w:rsidR="00A5237A" w:rsidRPr="00465302">
        <w:rPr>
          <w:rStyle w:val="Strong"/>
        </w:rPr>
        <w:t>Table 3.2</w:t>
      </w:r>
      <w:r w:rsidR="00E044A7" w:rsidRPr="00465302">
        <w:rPr>
          <w:rFonts w:eastAsia="Times New Roman" w:cs="Times New Roman"/>
          <w:color w:val="000000"/>
          <w:szCs w:val="24"/>
        </w:rPr>
        <w:t xml:space="preserve">. </w:t>
      </w:r>
      <w:r w:rsidR="00A5237A" w:rsidRPr="00465302">
        <w:rPr>
          <w:rFonts w:eastAsia="Times New Roman" w:cs="Times New Roman"/>
          <w:color w:val="000000"/>
          <w:szCs w:val="24"/>
        </w:rPr>
        <w:t xml:space="preserve">All of these predicted VDC and non-VDCs will be tested for their capacity to perturb ISV development </w:t>
      </w:r>
      <w:r w:rsidR="00A5237A" w:rsidRPr="00465302">
        <w:rPr>
          <w:rFonts w:eastAsia="Times New Roman" w:cs="Times New Roman"/>
          <w:i/>
          <w:iCs/>
          <w:color w:val="000000"/>
          <w:szCs w:val="24"/>
        </w:rPr>
        <w:t>in vivo</w:t>
      </w:r>
      <w:r w:rsidR="00A5237A" w:rsidRPr="00465302">
        <w:rPr>
          <w:rFonts w:eastAsia="Times New Roman" w:cs="Times New Roman"/>
          <w:color w:val="000000"/>
          <w:szCs w:val="24"/>
        </w:rPr>
        <w:t xml:space="preserve"> in zebrafish embryos and tube formation </w:t>
      </w:r>
      <w:r w:rsidR="00A5237A" w:rsidRPr="00465302">
        <w:rPr>
          <w:rFonts w:eastAsia="Times New Roman" w:cs="Times New Roman"/>
          <w:i/>
          <w:iCs/>
          <w:color w:val="000000"/>
          <w:szCs w:val="24"/>
        </w:rPr>
        <w:t>in vitro</w:t>
      </w:r>
      <w:r w:rsidR="00A5237A" w:rsidRPr="00465302">
        <w:rPr>
          <w:rFonts w:eastAsia="Times New Roman" w:cs="Times New Roman"/>
          <w:color w:val="000000"/>
          <w:szCs w:val="24"/>
        </w:rPr>
        <w:t xml:space="preserve"> in HUVEC cells.</w:t>
      </w:r>
    </w:p>
    <w:p w14:paraId="23463ECC" w14:textId="5E4F6587" w:rsidR="00920B68" w:rsidRPr="00465302" w:rsidRDefault="00920B68" w:rsidP="00242745">
      <w:pPr>
        <w:spacing w:before="0" w:after="0" w:line="480" w:lineRule="auto"/>
        <w:jc w:val="both"/>
        <w:rPr>
          <w:rFonts w:eastAsia="Times New Roman" w:cs="Times New Roman"/>
          <w:color w:val="000000"/>
          <w:szCs w:val="24"/>
        </w:rPr>
      </w:pPr>
      <w:r w:rsidRPr="00465302">
        <w:rPr>
          <w:rFonts w:eastAsia="Times New Roman" w:cs="Times New Roman"/>
          <w:noProof/>
          <w:color w:val="000000"/>
          <w:szCs w:val="24"/>
        </w:rPr>
        <w:lastRenderedPageBreak/>
        <w:drawing>
          <wp:inline distT="0" distB="0" distL="0" distR="0" wp14:anchorId="26F6DE29" wp14:editId="561BC1C5">
            <wp:extent cx="5852160" cy="4106316"/>
            <wp:effectExtent l="0" t="0" r="0" b="889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3.9.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52160" cy="4106316"/>
                    </a:xfrm>
                    <a:prstGeom prst="rect">
                      <a:avLst/>
                    </a:prstGeom>
                  </pic:spPr>
                </pic:pic>
              </a:graphicData>
            </a:graphic>
          </wp:inline>
        </w:drawing>
      </w:r>
    </w:p>
    <w:p w14:paraId="642FCD02" w14:textId="1CFF1C1F" w:rsidR="00B834B4" w:rsidRPr="00465302" w:rsidRDefault="00A5237A" w:rsidP="00EE6A62">
      <w:pPr>
        <w:spacing w:before="0" w:after="0" w:line="240" w:lineRule="auto"/>
        <w:jc w:val="both"/>
        <w:rPr>
          <w:rFonts w:cs="Times New Roman"/>
          <w:b/>
        </w:rPr>
      </w:pPr>
      <w:r w:rsidRPr="00465302">
        <w:rPr>
          <w:rFonts w:cs="Times New Roman"/>
          <w:b/>
        </w:rPr>
        <w:t xml:space="preserve">Figure </w:t>
      </w:r>
      <w:bookmarkStart w:id="66" w:name="_Hlk39500462"/>
      <w:r w:rsidRPr="00465302">
        <w:rPr>
          <w:rFonts w:cs="Times New Roman"/>
          <w:b/>
        </w:rPr>
        <w:t>3.9 Prioritizing predicted VDC chemicals to be tested based on their ToxPi scores</w:t>
      </w:r>
      <w:bookmarkEnd w:id="66"/>
      <w:r w:rsidR="00E044A7" w:rsidRPr="00465302">
        <w:rPr>
          <w:rFonts w:cs="Times New Roman"/>
          <w:b/>
        </w:rPr>
        <w:t>.</w:t>
      </w:r>
      <w:r w:rsidR="00B834B4" w:rsidRPr="00465302">
        <w:rPr>
          <w:rFonts w:cs="Times New Roman"/>
          <w:b/>
        </w:rPr>
        <w:t xml:space="preserve"> </w:t>
      </w:r>
      <w:r w:rsidR="00B834B4" w:rsidRPr="00465302">
        <w:rPr>
          <w:rFonts w:cs="Times New Roman"/>
          <w:bCs/>
          <w:szCs w:val="24"/>
        </w:rPr>
        <w:t>AC</w:t>
      </w:r>
      <w:r w:rsidR="00B834B4" w:rsidRPr="00465302">
        <w:rPr>
          <w:rFonts w:cs="Times New Roman"/>
          <w:bCs/>
          <w:szCs w:val="24"/>
          <w:vertAlign w:val="subscript"/>
        </w:rPr>
        <w:t>50</w:t>
      </w:r>
      <w:r w:rsidR="00B834B4" w:rsidRPr="00465302">
        <w:rPr>
          <w:rFonts w:cs="Times New Roman"/>
          <w:bCs/>
          <w:szCs w:val="24"/>
        </w:rPr>
        <w:t xml:space="preserve"> values were obtained and ToxPi scores were calculated for all compounds tested in the thirteen assays identified through univariate analysis.</w:t>
      </w:r>
    </w:p>
    <w:p w14:paraId="6EA5A820" w14:textId="77777777" w:rsidR="00B834B4" w:rsidRPr="00465302" w:rsidRDefault="00B834B4" w:rsidP="00242745">
      <w:pPr>
        <w:spacing w:before="0" w:after="0"/>
        <w:jc w:val="both"/>
        <w:rPr>
          <w:rFonts w:cs="Times New Roman"/>
          <w:b/>
        </w:rPr>
      </w:pPr>
    </w:p>
    <w:p w14:paraId="5AEA79DB" w14:textId="3B898DA9" w:rsidR="00A5237A" w:rsidRPr="00465302" w:rsidRDefault="00EE6A62" w:rsidP="00A5237A">
      <w:pPr>
        <w:spacing w:line="240" w:lineRule="auto"/>
        <w:jc w:val="both"/>
        <w:rPr>
          <w:rFonts w:eastAsia="Times New Roman" w:cs="Times New Roman"/>
          <w:szCs w:val="24"/>
        </w:rPr>
      </w:pPr>
      <w:r>
        <w:rPr>
          <w:rFonts w:eastAsia="Times New Roman" w:cs="Times New Roman"/>
          <w:noProof/>
          <w:szCs w:val="24"/>
        </w:rPr>
        <w:lastRenderedPageBreak/>
        <w:drawing>
          <wp:inline distT="0" distB="0" distL="0" distR="0" wp14:anchorId="3DD74059" wp14:editId="003A1C6F">
            <wp:extent cx="5852160" cy="355009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52160" cy="3550090"/>
                    </a:xfrm>
                    <a:prstGeom prst="rect">
                      <a:avLst/>
                    </a:prstGeom>
                    <a:noFill/>
                  </pic:spPr>
                </pic:pic>
              </a:graphicData>
            </a:graphic>
          </wp:inline>
        </w:drawing>
      </w:r>
    </w:p>
    <w:p w14:paraId="7051AAE3" w14:textId="77777777" w:rsidR="00A5237A" w:rsidRPr="00465302" w:rsidRDefault="00A5237A" w:rsidP="00A5237A">
      <w:pPr>
        <w:spacing w:line="240" w:lineRule="auto"/>
        <w:jc w:val="both"/>
        <w:rPr>
          <w:rFonts w:eastAsia="Times New Roman" w:cs="Times New Roman"/>
          <w:szCs w:val="24"/>
        </w:rPr>
      </w:pPr>
      <w:r w:rsidRPr="00465302">
        <w:rPr>
          <w:rFonts w:eastAsia="Times New Roman" w:cs="Times New Roman"/>
          <w:szCs w:val="24"/>
        </w:rPr>
        <w:t>Abbreviations: LEL - Lowest effect level</w:t>
      </w:r>
    </w:p>
    <w:p w14:paraId="76C3E769" w14:textId="40CC2633" w:rsidR="00A5237A" w:rsidRPr="00465302" w:rsidRDefault="001C795B">
      <w:pPr>
        <w:pStyle w:val="Heading2"/>
      </w:pPr>
      <w:bookmarkStart w:id="67" w:name="_Toc39502060"/>
      <w:r w:rsidRPr="00465302">
        <w:t>3.3 DISCUSSION</w:t>
      </w:r>
      <w:bookmarkEnd w:id="67"/>
    </w:p>
    <w:p w14:paraId="549192BE" w14:textId="0CDDBB2D" w:rsidR="00A5237A" w:rsidRPr="00465302" w:rsidRDefault="00A5237A" w:rsidP="00242745">
      <w:pPr>
        <w:spacing w:before="0" w:line="480" w:lineRule="auto"/>
        <w:jc w:val="both"/>
        <w:rPr>
          <w:rFonts w:eastAsia="Times New Roman" w:cs="Times New Roman"/>
          <w:szCs w:val="24"/>
        </w:rPr>
      </w:pPr>
      <w:r w:rsidRPr="00465302">
        <w:rPr>
          <w:rFonts w:eastAsia="Times New Roman" w:cs="Times New Roman"/>
          <w:color w:val="000000"/>
          <w:szCs w:val="24"/>
        </w:rPr>
        <w:t xml:space="preserve">In this study, we describe </w:t>
      </w:r>
      <w:r w:rsidR="000F258A">
        <w:rPr>
          <w:rFonts w:eastAsia="Times New Roman" w:cs="Times New Roman"/>
          <w:color w:val="000000"/>
          <w:szCs w:val="24"/>
        </w:rPr>
        <w:t>ten</w:t>
      </w:r>
      <w:r w:rsidRPr="00465302">
        <w:rPr>
          <w:rFonts w:eastAsia="Times New Roman" w:cs="Times New Roman"/>
          <w:color w:val="000000"/>
          <w:szCs w:val="24"/>
        </w:rPr>
        <w:t xml:space="preserve"> compounds from the ToxCast Phase I chemical library that perturb angiogenesis in zebrafish larvae. Five of these compounds, fenpyroximate, pyridaben and rotenone, which are insecticides, and pyraclostrobin and trifloxystrobin, which are strobulurin fungicides, were selected for further analysis. All five compounds caused perturbations of ISV formation at nM concentrations in zebrafish, rotenone being the most potent one among them. </w:t>
      </w:r>
      <w:r w:rsidRPr="002A0676">
        <w:rPr>
          <w:rFonts w:eastAsia="Times New Roman" w:cs="Times New Roman"/>
          <w:i/>
          <w:iCs/>
          <w:color w:val="000000"/>
          <w:szCs w:val="24"/>
        </w:rPr>
        <w:t>In vitro</w:t>
      </w:r>
      <w:r w:rsidRPr="00465302">
        <w:rPr>
          <w:rFonts w:eastAsia="Times New Roman" w:cs="Times New Roman"/>
          <w:color w:val="000000"/>
          <w:szCs w:val="24"/>
        </w:rPr>
        <w:t xml:space="preserve"> in the HUVEC tube formation assay, four compounds were active (fenpyroximate, pyridaben, rotenone, and pyraclostrobin). Trifloxystrobin did not have any effect on tube formation at the concentrations tested, although it was difficult to test </w:t>
      </w:r>
      <w:r w:rsidR="00461617" w:rsidRPr="00465302">
        <w:rPr>
          <w:rFonts w:eastAsia="Times New Roman" w:cs="Times New Roman"/>
          <w:color w:val="000000"/>
          <w:szCs w:val="24"/>
        </w:rPr>
        <w:t xml:space="preserve">it </w:t>
      </w:r>
      <w:r w:rsidRPr="00465302">
        <w:rPr>
          <w:rFonts w:eastAsia="Times New Roman" w:cs="Times New Roman"/>
          <w:color w:val="000000"/>
          <w:szCs w:val="24"/>
        </w:rPr>
        <w:t xml:space="preserve">at high concentrations because it precipitated out of the cell media. Multiple endothelial cell lines are used for tube formation assays, the HUVEC assay being the most widely used one. It measures angiogenesis in human primary </w:t>
      </w:r>
      <w:r w:rsidRPr="00465302">
        <w:rPr>
          <w:rFonts w:eastAsia="Times New Roman" w:cs="Times New Roman"/>
          <w:color w:val="000000"/>
          <w:szCs w:val="24"/>
        </w:rPr>
        <w:lastRenderedPageBreak/>
        <w:t xml:space="preserve">cells and recapitulates all the steps of </w:t>
      </w:r>
      <w:r w:rsidRPr="00465302">
        <w:rPr>
          <w:rFonts w:eastAsia="Times New Roman" w:cs="Times New Roman"/>
          <w:i/>
          <w:iCs/>
          <w:color w:val="000000"/>
          <w:szCs w:val="24"/>
        </w:rPr>
        <w:t>in vivo</w:t>
      </w:r>
      <w:r w:rsidRPr="00465302">
        <w:rPr>
          <w:rFonts w:eastAsia="Times New Roman" w:cs="Times New Roman"/>
          <w:color w:val="000000"/>
          <w:szCs w:val="24"/>
        </w:rPr>
        <w:t xml:space="preserve"> angiogenesis: adhesion, migration, protease activity, alignment and tube formation</w:t>
      </w:r>
      <w:r w:rsidR="00E23C17" w:rsidRPr="00465302">
        <w:rPr>
          <w:rFonts w:eastAsia="Times New Roman" w:cs="Times New Roman"/>
          <w:color w:val="000000"/>
          <w:szCs w:val="24"/>
        </w:rPr>
        <w:t xml:space="preserve"> </w:t>
      </w:r>
      <w:r w:rsidR="00E23C17" w:rsidRPr="00465302">
        <w:rPr>
          <w:rFonts w:eastAsia="Times New Roman" w:cs="Times New Roman"/>
          <w:color w:val="000000"/>
          <w:szCs w:val="24"/>
        </w:rPr>
        <w:fldChar w:fldCharType="begin" w:fldLock="1"/>
      </w:r>
      <w:r w:rsidR="00E23C17" w:rsidRPr="00465302">
        <w:rPr>
          <w:rFonts w:eastAsia="Times New Roman" w:cs="Times New Roman"/>
          <w:color w:val="000000"/>
          <w:szCs w:val="24"/>
        </w:rPr>
        <w:instrText>ADDIN CSL_CITATION {"citationItems":[{"id":"ITEM-1","itemData":{"DOI":"10.1038/nprot.2010.6","ISSN":"17542189","abstract":"A protocol is presented here for a rapid, quantitative and reliable in vitro angiogenesis assay that can be adapted for high throughput use. Endothelial cells are plated on a gelled basement matrix, their natural substrate, and form capillary-like structures with a lumen. The assay can be used to identify inhibitors or stimulators of angiogenesis, as well as genes and signaling pathways involved in angiogenesis. It has also been used to identify endothelial progenitor cells. This assay involves endothelial cell adhesion, migration, protease activity and tubule formation. This tube formation assay is preferred, as other in vitro assays for angiogenesis, such as cell adhesion, migration and invasion, measure limited steps in the angiogenesis process. The tube formation assay on basement membrane can be completed in a day because transformed endothelial cells form tubes within 3 h, whereas non-transformed endothelial cells form tubes within 6 h. © 2010 Nature Publlshing Group.","author":[{"dropping-particle":"","family":"Arnaoutova","given":"Irina","non-dropping-particle":"","parse-names":false,"suffix":""},{"dropping-particle":"","family":"Kleinman","given":"Hynda K.","non-dropping-particle":"","parse-names":false,"suffix":""}],"container-title":"Nature Protocols","id":"ITEM-1","issue":"4","issued":{"date-parts":[["2010"]]},"page":"628-635","publisher":"Nature Publishing Group","title":"In vitro angiogenesis: Endothelial cell tube formation on gelled basement membrane extract","type":"article-journal","volume":"5"},"uris":["http://www.mendeley.com/documents/?uuid=862596cf-c241-4685-aeae-9544349ada6f"]}],"mendeley":{"formattedCitation":"(Arnaoutova and Kleinman, 2010)","plainTextFormattedCitation":"(Arnaoutova and Kleinman, 2010)","previouslyFormattedCitation":"(Arnaoutova and Kleinman, 2010)"},"properties":{"noteIndex":0},"schema":"https://github.com/citation-style-language/schema/raw/master/csl-citation.json"}</w:instrText>
      </w:r>
      <w:r w:rsidR="00E23C17" w:rsidRPr="00465302">
        <w:rPr>
          <w:rFonts w:eastAsia="Times New Roman" w:cs="Times New Roman"/>
          <w:color w:val="000000"/>
          <w:szCs w:val="24"/>
        </w:rPr>
        <w:fldChar w:fldCharType="separate"/>
      </w:r>
      <w:r w:rsidR="00E23C17" w:rsidRPr="00465302">
        <w:rPr>
          <w:rFonts w:eastAsia="Times New Roman" w:cs="Times New Roman"/>
          <w:noProof/>
          <w:color w:val="000000"/>
          <w:szCs w:val="24"/>
        </w:rPr>
        <w:t>(Arnaoutova and Kleinman, 2010)</w:t>
      </w:r>
      <w:r w:rsidR="00E23C17" w:rsidRPr="00465302">
        <w:rPr>
          <w:rFonts w:eastAsia="Times New Roman" w:cs="Times New Roman"/>
          <w:color w:val="000000"/>
          <w:szCs w:val="24"/>
        </w:rPr>
        <w:fldChar w:fldCharType="end"/>
      </w:r>
      <w:r w:rsidRPr="00465302">
        <w:rPr>
          <w:rFonts w:eastAsia="Times New Roman" w:cs="Times New Roman"/>
          <w:color w:val="000000"/>
          <w:szCs w:val="24"/>
        </w:rPr>
        <w:t>. Thus, our results indicate that the VDCs identified in zebrafish, except for trifloxystrobin, could potentially have anti-angiogenic effects in humans as well.</w:t>
      </w:r>
    </w:p>
    <w:p w14:paraId="6FB75691" w14:textId="35A8B39F" w:rsidR="00A5237A" w:rsidRPr="00465302" w:rsidRDefault="005E411C" w:rsidP="00317481">
      <w:pPr>
        <w:pStyle w:val="Heading3"/>
        <w:rPr>
          <w:rFonts w:eastAsia="Times New Roman"/>
        </w:rPr>
      </w:pPr>
      <w:bookmarkStart w:id="68" w:name="_Toc39502061"/>
      <w:r w:rsidRPr="00465302">
        <w:rPr>
          <w:rFonts w:eastAsia="Times New Roman"/>
        </w:rPr>
        <w:t xml:space="preserve">3.3.1 </w:t>
      </w:r>
      <w:r w:rsidR="00A5237A" w:rsidRPr="00465302">
        <w:rPr>
          <w:rFonts w:eastAsia="Times New Roman"/>
        </w:rPr>
        <w:t xml:space="preserve">VDCs’ </w:t>
      </w:r>
      <w:r w:rsidR="001C795B" w:rsidRPr="00465302">
        <w:rPr>
          <w:rFonts w:eastAsia="Times New Roman"/>
        </w:rPr>
        <w:t>M</w:t>
      </w:r>
      <w:r w:rsidR="00A5237A" w:rsidRPr="00465302">
        <w:rPr>
          <w:rFonts w:eastAsia="Times New Roman"/>
        </w:rPr>
        <w:t xml:space="preserve">odes of </w:t>
      </w:r>
      <w:r w:rsidR="001C795B" w:rsidRPr="00465302">
        <w:rPr>
          <w:rFonts w:eastAsia="Times New Roman"/>
        </w:rPr>
        <w:t>A</w:t>
      </w:r>
      <w:r w:rsidR="00A5237A" w:rsidRPr="00465302">
        <w:rPr>
          <w:rFonts w:eastAsia="Times New Roman"/>
        </w:rPr>
        <w:t xml:space="preserve">ction </w:t>
      </w:r>
      <w:r w:rsidR="001C795B" w:rsidRPr="00465302">
        <w:rPr>
          <w:rFonts w:eastAsia="Times New Roman"/>
        </w:rPr>
        <w:t>I</w:t>
      </w:r>
      <w:r w:rsidR="00A5237A" w:rsidRPr="00465302">
        <w:rPr>
          <w:rFonts w:eastAsia="Times New Roman"/>
        </w:rPr>
        <w:t xml:space="preserve">mplied from ToxCast </w:t>
      </w:r>
      <w:r w:rsidR="001C795B" w:rsidRPr="00465302">
        <w:rPr>
          <w:rFonts w:eastAsia="Times New Roman"/>
        </w:rPr>
        <w:t>D</w:t>
      </w:r>
      <w:r w:rsidR="00A5237A" w:rsidRPr="00465302">
        <w:rPr>
          <w:rFonts w:eastAsia="Times New Roman"/>
        </w:rPr>
        <w:t xml:space="preserve">ata </w:t>
      </w:r>
      <w:r w:rsidR="001C795B" w:rsidRPr="00465302">
        <w:rPr>
          <w:rFonts w:eastAsia="Times New Roman"/>
        </w:rPr>
        <w:t>C</w:t>
      </w:r>
      <w:r w:rsidR="00A5237A" w:rsidRPr="00465302">
        <w:rPr>
          <w:rFonts w:eastAsia="Times New Roman"/>
        </w:rPr>
        <w:t>orrelations</w:t>
      </w:r>
      <w:bookmarkEnd w:id="68"/>
    </w:p>
    <w:p w14:paraId="6780E6D1" w14:textId="31627043" w:rsidR="00A5237A" w:rsidRPr="00465302" w:rsidRDefault="00A5237A" w:rsidP="00242745">
      <w:pPr>
        <w:spacing w:before="0" w:line="480" w:lineRule="auto"/>
        <w:jc w:val="both"/>
        <w:rPr>
          <w:rFonts w:eastAsia="Times New Roman" w:cs="Times New Roman"/>
          <w:szCs w:val="24"/>
        </w:rPr>
      </w:pPr>
      <w:r w:rsidRPr="00465302">
        <w:rPr>
          <w:rFonts w:eastAsia="Times New Roman" w:cs="Times New Roman"/>
          <w:color w:val="000000"/>
          <w:szCs w:val="24"/>
        </w:rPr>
        <w:t xml:space="preserve">Correlations to ToxCast </w:t>
      </w:r>
      <w:r w:rsidRPr="00465302">
        <w:rPr>
          <w:rFonts w:eastAsia="Times New Roman" w:cs="Times New Roman"/>
          <w:i/>
          <w:iCs/>
          <w:color w:val="000000"/>
          <w:szCs w:val="24"/>
        </w:rPr>
        <w:t>in vitro</w:t>
      </w:r>
      <w:r w:rsidRPr="00465302">
        <w:rPr>
          <w:rFonts w:eastAsia="Times New Roman" w:cs="Times New Roman"/>
          <w:color w:val="000000"/>
          <w:szCs w:val="24"/>
        </w:rPr>
        <w:t xml:space="preserve"> assay data were performed to propose molecular mechanisms that the identified ISV-VDCs may interfere with. Our </w:t>
      </w:r>
      <w:r w:rsidR="006D1EBF">
        <w:rPr>
          <w:rFonts w:eastAsia="Times New Roman" w:cs="Times New Roman"/>
          <w:color w:val="000000"/>
          <w:szCs w:val="24"/>
        </w:rPr>
        <w:t>ten</w:t>
      </w:r>
      <w:r w:rsidRPr="00465302">
        <w:rPr>
          <w:rFonts w:eastAsia="Times New Roman" w:cs="Times New Roman"/>
          <w:color w:val="000000"/>
          <w:szCs w:val="24"/>
        </w:rPr>
        <w:t xml:space="preserve"> ISV-VDCs correlated with 19 ToxCast </w:t>
      </w:r>
      <w:r w:rsidRPr="00465302">
        <w:rPr>
          <w:rFonts w:eastAsia="Times New Roman" w:cs="Times New Roman"/>
          <w:i/>
          <w:iCs/>
          <w:color w:val="000000"/>
          <w:szCs w:val="24"/>
        </w:rPr>
        <w:t>in vitro</w:t>
      </w:r>
      <w:r w:rsidRPr="00465302">
        <w:rPr>
          <w:rFonts w:eastAsia="Times New Roman" w:cs="Times New Roman"/>
          <w:color w:val="000000"/>
          <w:szCs w:val="24"/>
        </w:rPr>
        <w:t xml:space="preserve"> assays, each representing a potential mode of action.</w:t>
      </w:r>
    </w:p>
    <w:p w14:paraId="5723E0BA" w14:textId="1FA6A829" w:rsidR="00A5237A" w:rsidRPr="00465302" w:rsidRDefault="00A5237A" w:rsidP="00A5237A">
      <w:pPr>
        <w:spacing w:line="480" w:lineRule="auto"/>
        <w:jc w:val="both"/>
        <w:rPr>
          <w:rFonts w:eastAsia="Times New Roman" w:cs="Times New Roman"/>
          <w:szCs w:val="24"/>
        </w:rPr>
      </w:pPr>
      <w:r w:rsidRPr="00465302">
        <w:rPr>
          <w:rFonts w:eastAsia="Times New Roman" w:cs="Times New Roman"/>
          <w:color w:val="000000"/>
          <w:szCs w:val="24"/>
        </w:rPr>
        <w:t>Vascular endothelial growth factor (VEGF) is a key factor for vasculogenesis and angiogenesis across species. It acts through binding to vascular endothelial growth factor receptors (VEGFRs) on vascular endothelial cells</w:t>
      </w:r>
      <w:r w:rsidR="00E23C17" w:rsidRPr="00465302">
        <w:rPr>
          <w:rFonts w:eastAsia="Times New Roman" w:cs="Times New Roman"/>
          <w:color w:val="000000"/>
          <w:szCs w:val="24"/>
        </w:rPr>
        <w:t xml:space="preserve"> </w:t>
      </w:r>
      <w:r w:rsidR="00E23C17" w:rsidRPr="00465302">
        <w:rPr>
          <w:rFonts w:eastAsia="Times New Roman" w:cs="Times New Roman"/>
          <w:color w:val="000000"/>
          <w:szCs w:val="24"/>
        </w:rPr>
        <w:fldChar w:fldCharType="begin" w:fldLock="1"/>
      </w:r>
      <w:r w:rsidR="00E23C17" w:rsidRPr="00465302">
        <w:rPr>
          <w:rFonts w:eastAsia="Times New Roman" w:cs="Times New Roman"/>
          <w:color w:val="000000"/>
          <w:szCs w:val="24"/>
        </w:rPr>
        <w:instrText>ADDIN CSL_CITATION {"citationItems":[{"id":"ITEM-1","itemData":{"DOI":"10.1016/0955-2235(94)90019-1","ISSN":"0955-2235","abstract":"Vascular endothelial growth factor (VEGF) is a highly specific mitogen for vascular endothelial cells and an angiogenic factor that is structurally related to platelet derived growth factor (PDGF). It is also known as the vascular permeability factor (VPF) because it efficiently potentiates the permeabilization of blood vessels. Five types of VEGF mRNA encoding VEGF species which differ in their molecular mass and in their biological properties are transcribed from a single gene as a result of alternative splicing. VEGFs are produced and secreted by several normal cell types including smooth muscle, luteal and adrenal cortex cells. VEGFs are also produced by different tumorigenic cells, and appear to play a major role in tumour angiogenesis. Antibodies directed against VEGF can inhibit the growth of a variety of VEGF producing tumours. Of the various VEGF species, the best characterized is the 165 amino acid long form (VEGF165). VEGF165 is a heparin binding growth factor, and its interaction with VEGF receptors on the cell surface of vascular endothelial cells depends on the presence of heparin-like molecules. Several cell types which do not proliferate in response to VEGF such as bovine corneal endothelial cells, HeLa cells and human melanoma cells also express cell surface VEGF receptors, but the function of the VEGF receptors in these cells is unclear. Recently, the tyrosine-kinase receptors encoded by the flt and KDRflk-1 genes were found to function as VEGF165 receptors.","author":[{"dropping-particle":"","family":"Neufeld","given":"Gera","non-dropping-particle":"","parse-names":false,"suffix":""},{"dropping-particle":"","family":"Tessler","given":"Shoshana","non-dropping-particle":"","parse-names":false,"suffix":""},{"dropping-particle":"","family":"Gitay-Goren","given":"Hela","non-dropping-particle":"","parse-names":false,"suffix":""},{"dropping-particle":"","family":"Cohen","given":"Tzafra","non-dropping-particle":"","parse-names":false,"suffix":""},{"dropping-particle":"","family":"Levi","given":"Ben-Zion","non-dropping-particle":"","parse-names":false,"suffix":""}],"container-title":"Progress in Growth Factor Research","id":"ITEM-1","issue":"1","issued":{"date-parts":[["1994","1","1"]]},"page":"89-97","publisher":"Pergamon","title":"Vascular endothelial growth factor and its receptors","type":"article-journal","volume":"5"},"uris":["http://www.mendeley.com/documents/?uuid=17e71bd1-f141-3faf-ada9-69d98a563754"]},{"id":"ITEM-2","itemData":{"DOI":"10.1126/science.2479986","abstract":"Vascular endothelial growth factor (VEGF) was purified from media conditioned by bovine pituitary folliculostellate cells (FC). VEGF is a heparin-binding growth factor specific for vascular endothelial cells that is able to induce angiogenesis in vivo. Complementary DNA clones for bovine and human VEGF were isolated from cDNA libraries prepared from FC and HL60 leukemia cells, respectively. These cDNAs encode hydrophilic proteins with sequences related to those of the A and B chains of platelet-derived growth factor. DNA sequencing suggests the existence of several molecular species of VEGF. VEGFs are secreted proteins, in contrast to other endothelial cell mitogens such as acidic or basic fibroblast growth factors and platelet-derived endothelial cell growth factor. Human 293 cells transfected with an expression vector containing a bovine or human VEGF cDNA insert secrete an endothelial cell mitogen that behaves like native VEGF.","author":[{"dropping-particle":"","family":"Leung","given":"D W","non-dropping-particle":"","parse-names":false,"suffix":""},{"dropping-particle":"","family":"Cachianes","given":"G","non-dropping-particle":"","parse-names":false,"suffix":""},{"dropping-particle":"","family":"Kuang","given":"W J","non-dropping-particle":"","parse-names":false,"suffix":""},{"dropping-particle":"V","family":"Goeddel","given":"D","non-dropping-particle":"","parse-names":false,"suffix":""},{"dropping-particle":"","family":"Ferrara","given":"N","non-dropping-particle":"","parse-names":false,"suffix":""}],"container-title":"Science","id":"ITEM-2","issue":"4935","issued":{"date-parts":[["1989","12","8"]]},"page":"1306 LP  - 1309","title":"Vascular endothelial growth factor is a secreted angiogenic mitogen","type":"article-journal","volume":"246"},"uris":["http://www.mendeley.com/documents/?uuid=ac4f04a3-f133-480e-b2a9-066b591fed08"]}],"mendeley":{"formattedCitation":"(Leung &lt;i&gt;et al.&lt;/i&gt;, 1989; Neufeld &lt;i&gt;et al.&lt;/i&gt;, 1994)","plainTextFormattedCitation":"(Leung et al., 1989; Neufeld et al., 1994)","previouslyFormattedCitation":"(Leung &lt;i&gt;et al.&lt;/i&gt;, 1989; Neufeld &lt;i&gt;et al.&lt;/i&gt;, 1994)"},"properties":{"noteIndex":0},"schema":"https://github.com/citation-style-language/schema/raw/master/csl-citation.json"}</w:instrText>
      </w:r>
      <w:r w:rsidR="00E23C17" w:rsidRPr="00465302">
        <w:rPr>
          <w:rFonts w:eastAsia="Times New Roman" w:cs="Times New Roman"/>
          <w:color w:val="000000"/>
          <w:szCs w:val="24"/>
        </w:rPr>
        <w:fldChar w:fldCharType="separate"/>
      </w:r>
      <w:r w:rsidR="00E23C17" w:rsidRPr="00465302">
        <w:rPr>
          <w:rFonts w:eastAsia="Times New Roman" w:cs="Times New Roman"/>
          <w:noProof/>
          <w:color w:val="000000"/>
          <w:szCs w:val="24"/>
        </w:rPr>
        <w:t xml:space="preserve">(Leung </w:t>
      </w:r>
      <w:r w:rsidR="00E23C17" w:rsidRPr="00465302">
        <w:rPr>
          <w:rFonts w:eastAsia="Times New Roman" w:cs="Times New Roman"/>
          <w:i/>
          <w:noProof/>
          <w:color w:val="000000"/>
          <w:szCs w:val="24"/>
        </w:rPr>
        <w:t>et al.</w:t>
      </w:r>
      <w:r w:rsidR="00E23C17" w:rsidRPr="00465302">
        <w:rPr>
          <w:rFonts w:eastAsia="Times New Roman" w:cs="Times New Roman"/>
          <w:noProof/>
          <w:color w:val="000000"/>
          <w:szCs w:val="24"/>
        </w:rPr>
        <w:t xml:space="preserve">, 1989; Neufeld </w:t>
      </w:r>
      <w:r w:rsidR="00E23C17" w:rsidRPr="00465302">
        <w:rPr>
          <w:rFonts w:eastAsia="Times New Roman" w:cs="Times New Roman"/>
          <w:i/>
          <w:noProof/>
          <w:color w:val="000000"/>
          <w:szCs w:val="24"/>
        </w:rPr>
        <w:t>et al.</w:t>
      </w:r>
      <w:r w:rsidR="00E23C17" w:rsidRPr="00465302">
        <w:rPr>
          <w:rFonts w:eastAsia="Times New Roman" w:cs="Times New Roman"/>
          <w:noProof/>
          <w:color w:val="000000"/>
          <w:szCs w:val="24"/>
        </w:rPr>
        <w:t>, 1994)</w:t>
      </w:r>
      <w:r w:rsidR="00E23C17" w:rsidRPr="00465302">
        <w:rPr>
          <w:rFonts w:eastAsia="Times New Roman" w:cs="Times New Roman"/>
          <w:color w:val="000000"/>
          <w:szCs w:val="24"/>
        </w:rPr>
        <w:fldChar w:fldCharType="end"/>
      </w:r>
      <w:r w:rsidRPr="00465302">
        <w:rPr>
          <w:rFonts w:eastAsia="Times New Roman" w:cs="Times New Roman"/>
          <w:color w:val="000000"/>
          <w:szCs w:val="24"/>
        </w:rPr>
        <w:t xml:space="preserve">, which results in the expression of genes necessary for normal vascular development. The expression of </w:t>
      </w:r>
      <w:r w:rsidRPr="00465302">
        <w:rPr>
          <w:rFonts w:eastAsia="Times New Roman" w:cs="Times New Roman"/>
          <w:i/>
          <w:iCs/>
          <w:color w:val="000000"/>
          <w:szCs w:val="24"/>
        </w:rPr>
        <w:t>VEGF</w:t>
      </w:r>
      <w:r w:rsidRPr="00465302">
        <w:rPr>
          <w:rFonts w:eastAsia="Times New Roman" w:cs="Times New Roman"/>
          <w:color w:val="000000"/>
          <w:szCs w:val="24"/>
        </w:rPr>
        <w:t xml:space="preserve"> itself is regulated by multiple transcription factors, such as hypoxia inducible factor 1 </w:t>
      </w:r>
      <w:r w:rsidR="00FD0CF0" w:rsidRPr="00465302">
        <w:rPr>
          <w:rFonts w:eastAsia="Times New Roman" w:cs="Times New Roman"/>
          <w:color w:val="000000"/>
          <w:szCs w:val="24"/>
        </w:rPr>
        <w:t xml:space="preserve">alpha </w:t>
      </w:r>
      <w:r w:rsidRPr="00465302">
        <w:rPr>
          <w:rFonts w:eastAsia="Times New Roman" w:cs="Times New Roman"/>
          <w:color w:val="000000"/>
          <w:szCs w:val="24"/>
        </w:rPr>
        <w:t>(HIF1</w:t>
      </w:r>
      <w:r w:rsidR="00FD0CF0" w:rsidRPr="00465302">
        <w:rPr>
          <w:rFonts w:eastAsia="Times New Roman" w:cs="Times New Roman"/>
          <w:color w:val="000000"/>
          <w:szCs w:val="24"/>
        </w:rPr>
        <w:t>α</w:t>
      </w:r>
      <w:r w:rsidRPr="00465302">
        <w:rPr>
          <w:rFonts w:eastAsia="Times New Roman" w:cs="Times New Roman"/>
          <w:color w:val="000000"/>
          <w:szCs w:val="24"/>
        </w:rPr>
        <w:t>), SP1</w:t>
      </w:r>
      <w:r w:rsidR="008E17F1" w:rsidRPr="00465302">
        <w:rPr>
          <w:rFonts w:eastAsia="Times New Roman" w:cs="Times New Roman"/>
          <w:color w:val="000000"/>
          <w:szCs w:val="24"/>
        </w:rPr>
        <w:t>,</w:t>
      </w:r>
      <w:r w:rsidRPr="00465302">
        <w:rPr>
          <w:rFonts w:eastAsia="Times New Roman" w:cs="Times New Roman"/>
          <w:color w:val="000000"/>
          <w:szCs w:val="24"/>
        </w:rPr>
        <w:t xml:space="preserve"> etc.</w:t>
      </w:r>
      <w:r w:rsidR="002219B2" w:rsidRPr="00465302">
        <w:rPr>
          <w:rFonts w:eastAsia="Times New Roman" w:cs="Times New Roman"/>
          <w:color w:val="000000"/>
          <w:szCs w:val="24"/>
        </w:rPr>
        <w:t xml:space="preserve"> </w:t>
      </w:r>
      <w:r w:rsidR="00E23C17" w:rsidRPr="00465302">
        <w:rPr>
          <w:rFonts w:eastAsia="Times New Roman" w:cs="Times New Roman"/>
          <w:color w:val="000000"/>
          <w:szCs w:val="24"/>
        </w:rPr>
        <w:fldChar w:fldCharType="begin" w:fldLock="1"/>
      </w:r>
      <w:r w:rsidR="00DA0630" w:rsidRPr="00465302">
        <w:rPr>
          <w:rFonts w:eastAsia="Times New Roman" w:cs="Times New Roman"/>
          <w:color w:val="000000"/>
          <w:szCs w:val="24"/>
        </w:rPr>
        <w:instrText>ADDIN CSL_CITATION {"citationItems":[{"id":"ITEM-1","itemData":{"DOI":"10.1016/j.cardiores.2004.09.032","ISSN":"00086363","abstract":"The vascular endothelial growth factor A (VEGF-A) is essential during embryonic development as inactivation of only one allele of its gene results in embryonic lethality. Up-regulation of VEGF under physiological situations allows for adaptation to hypoxic stress, to transient inflammatory processes, and to wounding. Its expression also increases all along the process of neovascularization of solid and hematological tumors. The object of this article is to focus on the transcriptional regulation of its gene. The major cis-acting sequences and trans-activating factors will be described as well as the physiological and pathological situations leading to the intervention of such sequences and factors. We will also focus on two transcription factors essential to VEGF gene transcription: the hypoxia-inducible factor-1, which is responsible for its increased by hypoxia, as well as Sp1, which is implicated in the response to various extracellular stimuli. © 2004 European Society of Cardiology. Published by Elsevier B.V. All rights reserved.","author":[{"dropping-particle":"","family":"Pagès","given":"Gilles","non-dropping-particle":"","parse-names":false,"suffix":""},{"dropping-particle":"","family":"Pouysségur","given":"Jacques","non-dropping-particle":"","parse-names":false,"suffix":""}],"container-title":"Cardiovascular Research","id":"ITEM-1","issue":"3","issued":{"date-parts":[["2005"]]},"page":"564-573","title":"Transcriptional regulation of the Vascular Endothelial Growth Factor gene - A concert of activating factors","type":"article-journal","volume":"65"},"uris":["http://www.mendeley.com/documents/?uuid=e92e33e7-db00-4e8e-80d1-6ba02f2c6647"]}],"mendeley":{"formattedCitation":"(Pagès and Pouysségur, 2005)","plainTextFormattedCitation":"(Pagès and Pouysségur, 2005)","previouslyFormattedCitation":"(Pagès and Pouysségur, 2005)"},"properties":{"noteIndex":0},"schema":"https://github.com/citation-style-language/schema/raw/master/csl-citation.json"}</w:instrText>
      </w:r>
      <w:r w:rsidR="00E23C17" w:rsidRPr="00465302">
        <w:rPr>
          <w:rFonts w:eastAsia="Times New Roman" w:cs="Times New Roman"/>
          <w:color w:val="000000"/>
          <w:szCs w:val="24"/>
        </w:rPr>
        <w:fldChar w:fldCharType="separate"/>
      </w:r>
      <w:r w:rsidR="00E23C17" w:rsidRPr="00465302">
        <w:rPr>
          <w:rFonts w:eastAsia="Times New Roman" w:cs="Times New Roman"/>
          <w:noProof/>
          <w:color w:val="000000"/>
          <w:szCs w:val="24"/>
        </w:rPr>
        <w:t>(Pagès and Pouysségur, 2005)</w:t>
      </w:r>
      <w:r w:rsidR="00E23C17" w:rsidRPr="00465302">
        <w:rPr>
          <w:rFonts w:eastAsia="Times New Roman" w:cs="Times New Roman"/>
          <w:color w:val="000000"/>
          <w:szCs w:val="24"/>
        </w:rPr>
        <w:fldChar w:fldCharType="end"/>
      </w:r>
      <w:r w:rsidRPr="00465302">
        <w:rPr>
          <w:rFonts w:eastAsia="Times New Roman" w:cs="Times New Roman"/>
          <w:color w:val="000000"/>
          <w:szCs w:val="24"/>
        </w:rPr>
        <w:t xml:space="preserve">. Interestingly, the correlating ToxCast </w:t>
      </w:r>
      <w:r w:rsidRPr="00465302">
        <w:rPr>
          <w:rFonts w:eastAsia="Times New Roman" w:cs="Times New Roman"/>
          <w:i/>
          <w:iCs/>
          <w:color w:val="000000"/>
          <w:szCs w:val="24"/>
        </w:rPr>
        <w:t>in vitro</w:t>
      </w:r>
      <w:r w:rsidRPr="00465302">
        <w:rPr>
          <w:rFonts w:eastAsia="Times New Roman" w:cs="Times New Roman"/>
          <w:color w:val="000000"/>
          <w:szCs w:val="24"/>
        </w:rPr>
        <w:t xml:space="preserve"> assays identified in this study contained some of these known factors that interact with VEGF signaling (</w:t>
      </w:r>
      <w:r w:rsidRPr="00465302">
        <w:rPr>
          <w:rStyle w:val="Strong"/>
        </w:rPr>
        <w:t xml:space="preserve">Figure </w:t>
      </w:r>
      <w:r w:rsidR="00FD0CF0" w:rsidRPr="00465302">
        <w:rPr>
          <w:rStyle w:val="Strong"/>
        </w:rPr>
        <w:t>3.8</w:t>
      </w:r>
      <w:r w:rsidRPr="00465302">
        <w:rPr>
          <w:rFonts w:eastAsia="Times New Roman" w:cs="Times New Roman"/>
          <w:color w:val="000000"/>
          <w:szCs w:val="24"/>
        </w:rPr>
        <w:t>).</w:t>
      </w:r>
    </w:p>
    <w:p w14:paraId="167122A1" w14:textId="228E0F12" w:rsidR="00A5237A" w:rsidRPr="00465302" w:rsidRDefault="00A5237A" w:rsidP="00A5237A">
      <w:pPr>
        <w:spacing w:line="480" w:lineRule="auto"/>
        <w:jc w:val="both"/>
        <w:rPr>
          <w:rFonts w:eastAsia="Times New Roman" w:cs="Times New Roman"/>
          <w:color w:val="000000"/>
          <w:szCs w:val="24"/>
        </w:rPr>
      </w:pPr>
      <w:r w:rsidRPr="00465302">
        <w:rPr>
          <w:rFonts w:eastAsia="Times New Roman" w:cs="Times New Roman"/>
          <w:color w:val="000000"/>
          <w:szCs w:val="24"/>
        </w:rPr>
        <w:t>There were four nuclear receptor assays that correlated to our VDCs: AR, THR, PPAR-A</w:t>
      </w:r>
      <w:r w:rsidR="00CD637A" w:rsidRPr="00465302">
        <w:rPr>
          <w:rFonts w:eastAsia="Times New Roman" w:cs="Times New Roman"/>
          <w:color w:val="000000"/>
          <w:szCs w:val="24"/>
        </w:rPr>
        <w:t>,</w:t>
      </w:r>
      <w:r w:rsidRPr="00465302">
        <w:rPr>
          <w:rFonts w:eastAsia="Times New Roman" w:cs="Times New Roman"/>
          <w:color w:val="000000"/>
          <w:szCs w:val="24"/>
        </w:rPr>
        <w:t xml:space="preserve"> and RAR (</w:t>
      </w:r>
      <w:r w:rsidRPr="00465302">
        <w:rPr>
          <w:rStyle w:val="Strong"/>
        </w:rPr>
        <w:t xml:space="preserve">Figure </w:t>
      </w:r>
      <w:r w:rsidR="00FD0CF0" w:rsidRPr="00465302">
        <w:rPr>
          <w:rStyle w:val="Strong"/>
        </w:rPr>
        <w:t>3.8</w:t>
      </w:r>
      <w:r w:rsidRPr="00465302">
        <w:rPr>
          <w:rFonts w:eastAsia="Times New Roman" w:cs="Times New Roman"/>
          <w:color w:val="000000"/>
          <w:szCs w:val="24"/>
        </w:rPr>
        <w:t xml:space="preserve">). Our data suggested that VDCs have antagonistic effects on AR and THR. </w:t>
      </w:r>
      <w:r w:rsidR="00461617" w:rsidRPr="00465302">
        <w:rPr>
          <w:rFonts w:eastAsia="Times New Roman" w:cs="Times New Roman"/>
          <w:color w:val="000000"/>
          <w:szCs w:val="24"/>
        </w:rPr>
        <w:t>A</w:t>
      </w:r>
      <w:r w:rsidRPr="00465302">
        <w:rPr>
          <w:rFonts w:eastAsia="Times New Roman" w:cs="Times New Roman"/>
          <w:color w:val="000000"/>
          <w:szCs w:val="24"/>
        </w:rPr>
        <w:t>ndrogen receptor (AR) induces angiogenesis by regulating VEGF signaling</w:t>
      </w:r>
      <w:r w:rsidR="00E23C17" w:rsidRPr="00465302">
        <w:rPr>
          <w:rFonts w:eastAsia="Times New Roman" w:cs="Times New Roman"/>
          <w:color w:val="000000"/>
          <w:szCs w:val="24"/>
        </w:rPr>
        <w:t xml:space="preserve"> </w:t>
      </w:r>
      <w:r w:rsidR="00DA0630" w:rsidRPr="00465302">
        <w:rPr>
          <w:rFonts w:eastAsia="Times New Roman" w:cs="Times New Roman"/>
          <w:color w:val="000000"/>
          <w:szCs w:val="24"/>
        </w:rPr>
        <w:fldChar w:fldCharType="begin" w:fldLock="1"/>
      </w:r>
      <w:r w:rsidR="00DA0630" w:rsidRPr="00465302">
        <w:rPr>
          <w:rFonts w:eastAsia="Times New Roman" w:cs="Times New Roman"/>
          <w:color w:val="000000"/>
          <w:szCs w:val="24"/>
        </w:rPr>
        <w:instrText>ADDIN CSL_CITATION {"citationItems":[{"id":"ITEM-1","itemData":{"DOI":"10.3969/j.issn.1671-5411.2013.04.008","ISSN":"1671-5411","abstract":"The formation of new blood vessels from existing ones is a major process of angiogenesis and it is most effective in the vascular systems. The physiological process like hypoxia inducible factors involved in the regeneration of damaged tissues varies within the vascular systems in the endothelium and could be limited due to some major angiogenic growth factors like vascular endothelial growth factor, fibroblast growth factors and epidermal growth factor among others which bring about this cellular vascular regrowth. These physiological processes leading to cellular vascular regrowth could be a major function for the treatment of cardiovascular diseases such as ischemia and atherosclerosis. Estrogens are one of the known factors within the cellular mechanisms that could initiate repairs to the damaged vascular tissues, since estrogens are known inducers of angiogenesis leading to this cellular regrowth. Research has also shown that this cellular regrowth is induced by vascular angiogenic growth factors via the estrogen receptors. In this review we will attempt to summarize the main angiogenic growth factors involved in these physiological processes leading to angiogenesis and possible new mechanisms that could lead to this vascular regrowth. And also we will try to summarize some reports on the effect of estrogen on these physiological processes leading to angiogenesis in cardiovascular diseases.","author":[{"dropping-particle":"","family":"Barnabas","given":"Oche","non-dropping-particle":"","parse-names":false,"suffix":""},{"dropping-particle":"","family":"Wang","given":"Hong","non-dropping-particle":"","parse-names":false,"suffix":""},{"dropping-particle":"","family":"Gao","given":"Xiu-Mei","non-dropping-particle":"","parse-names":false,"suffix":""}],"container-title":"Journal of geriatric cardiology : JGC","id":"ITEM-1","issue":"4","issued":{"date-parts":[["2013","12"]]},"language":"eng","page":"377-382","publisher":"Science Press","title":"Role of estrogen in angiogenesis in cardiovascular diseases","type":"article-journal","volume":"10"},"uris":["http://www.mendeley.com/documents/?uuid=bdf0394c-f578-43f9-b263-29d38daee512"]},{"id":"ITEM-2","itemData":{"DOI":"10.5551/jat.31047","author":[{"dropping-particle":"","family":"Yoshida","given":"Sumiko","non-dropping-particle":"","parse-names":false,"suffix":""},{"dropping-particle":"","family":"Ikeda","given":"Yasumasa","non-dropping-particle":"","parse-names":false,"suffix":""},{"dropping-particle":"","family":"Aihara","given":"Ken-ichi","non-dropping-particle":"","parse-names":false,"suffix":""}],"container-title":"Journal of Atherosclerosis and Thrombosis","id":"ITEM-2","issue":"3","issued":{"date-parts":[["2016"]]},"page":"257-265","title":"Roles of the Androgen – Androgen Receptor System in Vascular Angiogenesis","type":"article-journal","volume":"23"},"uris":["http://www.mendeley.com/documents/?uuid=44203413-36d3-406d-9274-794b4bd79adc"]}],"mendeley":{"formattedCitation":"(Barnabas, Wang and Gao, 2013; Yoshida, Ikeda and Aihara, 2016)","plainTextFormattedCitation":"(Barnabas, Wang and Gao, 2013; Yoshida, Ikeda and Aihara, 2016)","previouslyFormattedCitation":"(Barnabas, Wang and Gao, 2013; Yoshida, Ikeda and Aihara, 2016)"},"properties":{"noteIndex":0},"schema":"https://github.com/citation-style-language/schema/raw/master/csl-citation.json"}</w:instrText>
      </w:r>
      <w:r w:rsidR="00DA0630" w:rsidRPr="00465302">
        <w:rPr>
          <w:rFonts w:eastAsia="Times New Roman" w:cs="Times New Roman"/>
          <w:color w:val="000000"/>
          <w:szCs w:val="24"/>
        </w:rPr>
        <w:fldChar w:fldCharType="separate"/>
      </w:r>
      <w:r w:rsidR="00DA0630" w:rsidRPr="00465302">
        <w:rPr>
          <w:rFonts w:eastAsia="Times New Roman" w:cs="Times New Roman"/>
          <w:noProof/>
          <w:color w:val="000000"/>
          <w:szCs w:val="24"/>
        </w:rPr>
        <w:t>(Barnabas, Wang and Gao, 2013; Yoshida, Ikeda and Aihara, 2016)</w:t>
      </w:r>
      <w:r w:rsidR="00DA0630" w:rsidRPr="00465302">
        <w:rPr>
          <w:rFonts w:eastAsia="Times New Roman" w:cs="Times New Roman"/>
          <w:color w:val="000000"/>
          <w:szCs w:val="24"/>
        </w:rPr>
        <w:fldChar w:fldCharType="end"/>
      </w:r>
      <w:r w:rsidRPr="00465302">
        <w:rPr>
          <w:rFonts w:eastAsia="Times New Roman" w:cs="Times New Roman"/>
          <w:color w:val="000000"/>
          <w:szCs w:val="24"/>
        </w:rPr>
        <w:t xml:space="preserve">. Multiple roles of thyroid hormone receptor (THR)-mediated induction of angiogenesis have been described, such as upregulation of vascular </w:t>
      </w:r>
      <w:r w:rsidRPr="00465302">
        <w:rPr>
          <w:rFonts w:eastAsia="Times New Roman" w:cs="Times New Roman"/>
          <w:color w:val="000000"/>
          <w:szCs w:val="24"/>
        </w:rPr>
        <w:lastRenderedPageBreak/>
        <w:t>growth factors and integrin-mediated signaling</w:t>
      </w:r>
      <w:r w:rsidR="00DA0630" w:rsidRPr="00465302">
        <w:rPr>
          <w:rFonts w:eastAsia="Times New Roman" w:cs="Times New Roman"/>
          <w:color w:val="000000"/>
          <w:szCs w:val="24"/>
        </w:rPr>
        <w:t xml:space="preserve"> </w:t>
      </w:r>
      <w:r w:rsidR="00DA0630" w:rsidRPr="00465302">
        <w:rPr>
          <w:rFonts w:eastAsia="Times New Roman" w:cs="Times New Roman"/>
          <w:color w:val="000000"/>
          <w:szCs w:val="24"/>
        </w:rPr>
        <w:fldChar w:fldCharType="begin" w:fldLock="1"/>
      </w:r>
      <w:r w:rsidR="00DA0630" w:rsidRPr="00465302">
        <w:rPr>
          <w:rFonts w:eastAsia="Times New Roman" w:cs="Times New Roman"/>
          <w:color w:val="000000"/>
          <w:szCs w:val="24"/>
        </w:rPr>
        <w:instrText>ADDIN CSL_CITATION {"citationItems":[{"id":"ITEM-1","itemData":{"DOI":"10.2174/157340309787048158","ISSN":"1875-6557","abstract":"A series of reports in the past decade have ascribed pro-angiogenic activity to several thyroid hormone analogues, including L-thyroxine (T(4)), 3,5,3-triiodo-L-thyronine (T(3)) and diiodothyropropionic acid (DITPA). Model systems of angiogenesis have demonstrated that thyroid hormone-induced neovascularization is initiated at a cell surface receptor for the hormone on an integrin. The hormone signal is transduced within the cell by extracellular regulated kinase 1/2 (ERK1/2) into secretion of basic fibroblast growth factor (bFGF) and other vascular growth factors and consequent angiogenesis. Intact animal studies have shown that endogenous thyroid hormone supports blood vessel density in heart and brain and that thyroid hormone administration can induce angiogenesis in ischemic limbs.","author":[{"dropping-particle":"","family":"Davis","given":"Paul J","non-dropping-particle":"","parse-names":false,"suffix":""},{"dropping-particle":"","family":"Davis","given":"Faith B","non-dropping-particle":"","parse-names":false,"suffix":""},{"dropping-particle":"","family":"Mousa","given":"Shaker A","non-dropping-particle":"","parse-names":false,"suffix":""}],"container-title":"Current cardiology reviews","id":"ITEM-1","issue":"1","issued":{"date-parts":[["2009","1"]]},"language":"eng","page":"12-16","publisher":"Bentham Science Publishers Ltd.","title":"Thyroid hormone-induced angiogenesis","type":"article-journal","volume":"5"},"uris":["http://www.mendeley.com/documents/?uuid=389ae63e-3696-4caf-a5b4-73809da6fc75"]}],"mendeley":{"formattedCitation":"(Davis, Davis and Mousa, 2009)","plainTextFormattedCitation":"(Davis, Davis and Mousa, 2009)","previouslyFormattedCitation":"(Davis, Davis and Mousa, 2009)"},"properties":{"noteIndex":0},"schema":"https://github.com/citation-style-language/schema/raw/master/csl-citation.json"}</w:instrText>
      </w:r>
      <w:r w:rsidR="00DA0630" w:rsidRPr="00465302">
        <w:rPr>
          <w:rFonts w:eastAsia="Times New Roman" w:cs="Times New Roman"/>
          <w:color w:val="000000"/>
          <w:szCs w:val="24"/>
        </w:rPr>
        <w:fldChar w:fldCharType="separate"/>
      </w:r>
      <w:r w:rsidR="00DA0630" w:rsidRPr="00465302">
        <w:rPr>
          <w:rFonts w:eastAsia="Times New Roman" w:cs="Times New Roman"/>
          <w:noProof/>
          <w:color w:val="000000"/>
          <w:szCs w:val="24"/>
        </w:rPr>
        <w:t>(Davis, Davis and Mousa, 2009)</w:t>
      </w:r>
      <w:r w:rsidR="00DA0630" w:rsidRPr="00465302">
        <w:rPr>
          <w:rFonts w:eastAsia="Times New Roman" w:cs="Times New Roman"/>
          <w:color w:val="000000"/>
          <w:szCs w:val="24"/>
        </w:rPr>
        <w:fldChar w:fldCharType="end"/>
      </w:r>
      <w:r w:rsidRPr="00465302">
        <w:rPr>
          <w:rFonts w:eastAsia="Times New Roman" w:cs="Times New Roman"/>
          <w:color w:val="000000"/>
          <w:szCs w:val="24"/>
        </w:rPr>
        <w:t xml:space="preserve">. Thus, inhibition of AR and THR could perturb normal vascular development. </w:t>
      </w:r>
    </w:p>
    <w:p w14:paraId="0D4A32EA" w14:textId="1BBEBB00" w:rsidR="00A5237A" w:rsidRPr="00465302" w:rsidRDefault="00A5237A" w:rsidP="00A5237A">
      <w:pPr>
        <w:spacing w:line="480" w:lineRule="auto"/>
        <w:jc w:val="both"/>
        <w:rPr>
          <w:rFonts w:eastAsia="Times New Roman" w:cs="Times New Roman"/>
          <w:color w:val="000000"/>
          <w:szCs w:val="24"/>
        </w:rPr>
      </w:pPr>
      <w:r w:rsidRPr="00465302">
        <w:rPr>
          <w:rFonts w:eastAsia="Times New Roman" w:cs="Times New Roman"/>
          <w:color w:val="000000"/>
          <w:szCs w:val="24"/>
        </w:rPr>
        <w:t>Peroxisome proliferator-activated receptor element (PPAR) is used as a ToxCast assay to measure</w:t>
      </w:r>
      <w:r w:rsidR="00671F90" w:rsidRPr="00465302">
        <w:rPr>
          <w:rFonts w:eastAsia="Times New Roman" w:cs="Times New Roman"/>
          <w:color w:val="000000"/>
          <w:szCs w:val="24"/>
        </w:rPr>
        <w:t xml:space="preserve"> the</w:t>
      </w:r>
      <w:r w:rsidRPr="00465302">
        <w:rPr>
          <w:rFonts w:eastAsia="Times New Roman" w:cs="Times New Roman"/>
          <w:color w:val="000000"/>
          <w:szCs w:val="24"/>
        </w:rPr>
        <w:t xml:space="preserve"> activity of peroxisome proliferator-activated receptors alpha, delta and gamma (PPARα, PPARδ</w:t>
      </w:r>
      <w:r w:rsidR="00F9340B" w:rsidRPr="00465302">
        <w:rPr>
          <w:rFonts w:eastAsia="Times New Roman" w:cs="Times New Roman"/>
          <w:color w:val="000000"/>
          <w:szCs w:val="24"/>
        </w:rPr>
        <w:t>,</w:t>
      </w:r>
      <w:r w:rsidRPr="00465302">
        <w:rPr>
          <w:rFonts w:eastAsia="Times New Roman" w:cs="Times New Roman"/>
          <w:color w:val="000000"/>
          <w:szCs w:val="24"/>
        </w:rPr>
        <w:t xml:space="preserve"> and PPARɣ). </w:t>
      </w:r>
      <w:r w:rsidR="00F3746A" w:rsidRPr="00465302">
        <w:rPr>
          <w:rFonts w:eastAsia="Times New Roman" w:cs="Times New Roman"/>
          <w:color w:val="000000"/>
          <w:szCs w:val="24"/>
        </w:rPr>
        <w:t>PPARα</w:t>
      </w:r>
      <w:r w:rsidR="00DB6295" w:rsidRPr="00465302">
        <w:rPr>
          <w:rFonts w:eastAsia="Times New Roman" w:cs="Times New Roman"/>
          <w:color w:val="000000"/>
          <w:szCs w:val="24"/>
        </w:rPr>
        <w:t xml:space="preserve"> is expressed in HUVECs and its</w:t>
      </w:r>
      <w:r w:rsidR="00F3746A" w:rsidRPr="00465302">
        <w:rPr>
          <w:rFonts w:eastAsia="Times New Roman" w:cs="Times New Roman"/>
          <w:color w:val="000000"/>
          <w:szCs w:val="24"/>
        </w:rPr>
        <w:t xml:space="preserve"> activation mediates the transcriptional downregulation of VEGF through inhibition of various transcription factor</w:t>
      </w:r>
      <w:r w:rsidR="00DB6295" w:rsidRPr="00465302">
        <w:rPr>
          <w:rFonts w:eastAsia="Times New Roman" w:cs="Times New Roman"/>
          <w:color w:val="000000"/>
          <w:szCs w:val="24"/>
        </w:rPr>
        <w:t>s</w:t>
      </w:r>
      <w:r w:rsidR="00F3746A" w:rsidRPr="00465302">
        <w:rPr>
          <w:rFonts w:eastAsia="Times New Roman" w:cs="Times New Roman"/>
          <w:color w:val="000000"/>
          <w:szCs w:val="24"/>
        </w:rPr>
        <w:t xml:space="preserve"> such as nuclear factor-κB (NFκB) and specificity protein 1 (SP1), both of which have also been indicated in our vascular assay profile</w:t>
      </w:r>
      <w:r w:rsidR="00E63C43" w:rsidRPr="00465302">
        <w:rPr>
          <w:rFonts w:eastAsia="Times New Roman" w:cs="Times New Roman"/>
          <w:color w:val="000000"/>
          <w:szCs w:val="24"/>
        </w:rPr>
        <w:t xml:space="preserve"> (</w:t>
      </w:r>
      <w:r w:rsidR="00E63C43" w:rsidRPr="00465302">
        <w:rPr>
          <w:rFonts w:eastAsia="Times New Roman" w:cs="Times New Roman"/>
          <w:b/>
          <w:bCs/>
          <w:color w:val="000000"/>
          <w:szCs w:val="24"/>
        </w:rPr>
        <w:t>Figure 3.8</w:t>
      </w:r>
      <w:r w:rsidR="00E63C43" w:rsidRPr="00465302">
        <w:rPr>
          <w:rFonts w:eastAsia="Times New Roman" w:cs="Times New Roman"/>
          <w:color w:val="000000"/>
          <w:szCs w:val="24"/>
        </w:rPr>
        <w:t>)</w:t>
      </w:r>
      <w:r w:rsidR="00DA0630" w:rsidRPr="00465302">
        <w:rPr>
          <w:rFonts w:eastAsia="Times New Roman" w:cs="Times New Roman"/>
          <w:color w:val="000000"/>
          <w:szCs w:val="24"/>
        </w:rPr>
        <w:t xml:space="preserve"> </w:t>
      </w:r>
      <w:r w:rsidR="00DA0630" w:rsidRPr="00465302">
        <w:rPr>
          <w:rFonts w:eastAsia="Times New Roman" w:cs="Times New Roman"/>
          <w:color w:val="000000"/>
          <w:szCs w:val="24"/>
        </w:rPr>
        <w:fldChar w:fldCharType="begin" w:fldLock="1"/>
      </w:r>
      <w:r w:rsidR="00DA0630" w:rsidRPr="00465302">
        <w:rPr>
          <w:rFonts w:eastAsia="Times New Roman" w:cs="Times New Roman"/>
          <w:color w:val="000000"/>
          <w:szCs w:val="24"/>
        </w:rPr>
        <w:instrText>ADDIN CSL_CITATION {"citationItems":[{"id":"ITEM-1","itemData":{"DOI":"10.1006/bbrc.1998.8622","ISSN":"0006291X","abstract":"The peroxisome proliferator-activated receptor (PPAR) is a member of the steroid nuclear receptor superfamily. Three types of PPARs have been described in humans: PPARα, PPARβ, and PPARγ. Here we investigated the levels of PPARα mRNA, in primary cultures of human umbilical venous endothelial cells (HUVEC), human umbilical arterial endothelial cells (HUAEC), human coronary arterial endothelial cells (HCAEC), and human aortic endothelial cells (HAEC), using the reverse transcriptase-polymerase, chain reaction (RT-PCR). The HUVEC, HAEC, and HCAEC, but not the HUAEC, showed relatively low expression of PPARα in comparison with liver, which was used as a positive control. Moreover, the partial sequences of the PCR-amplified products from HUVEC, HAEC, and HCAEC were similar to that of the PPARα from human liver. The expression of PPARα in cultured HAEC, which were induced by dexamethasone was inhibited by insulin. In addition, PPARα expression was also increased by bezafibrate or eicosapentaenoic acid with the physiological concentration. These results suggest that the PPARα in endothelial cells may have the same physiological role as the expression of PPARα in the liver.","author":[{"dropping-particle":"","family":"Inoue","given":"Ikuo","non-dropping-particle":"","parse-names":false,"suffix":""},{"dropping-particle":"","family":"Shino","given":"Kouta","non-dropping-particle":"","parse-names":false,"suffix":""},{"dropping-particle":"","family":"Noji","given":"Satoru","non-dropping-particle":"","parse-names":false,"suffix":""},{"dropping-particle":"","family":"Awata","given":"Takuya","non-dropping-particle":"","parse-names":false,"suffix":""},{"dropping-particle":"","family":"Katayama","given":"Shigehiro","non-dropping-particle":"","parse-names":false,"suffix":""}],"container-title":"Biochemical and Biophysical Research Communications","id":"ITEM-1","issue":"2","issued":{"date-parts":[["1998"]]},"page":"370-374","title":"Expression of peroxisome proliferator-activated receptor α (PPARα) in primary cultures of human vascular endothelial cells","type":"article-journal","volume":"246"},"uris":["http://www.mendeley.com/documents/?uuid=2a26c91e-9b2a-412c-b812-93897b7afa40"]},{"id":"ITEM-2","itemData":{"DOI":"10.1161/01.RES.0000113781.08139.81","ISSN":"00097330","abstract":"Peroxisome proliferator-activated receptors (PPARs) are ligand-activated transcription factors, originally implicated in the regulation of lipid and glucose homeostasis. In addition, natural and synthetic PPAR activators may control inflammatory processes by inhibition of distinct proinflammatory genes. As signaling via the vascular endothelial growth factor receptor-2 (VEGFR2) pathway is critical for angiogenic responses during chronic inflammation, we explored whether known antiinflammatory effects of PPAR ligands are mediated in part through diminished VEGFR2 expression. In this study, PPARα agonists are found to inhibit endothelial VEGFR2 expression, whereas predominant PPARγ ligands remained without discernible effects. Time- and concentration-dependent inhibition is demonstrated both at the level of protein and mRNA VEGFR2 expression. Inhibitory effects of PPARα agonists on transcriptional activity of the VEGFR2 promoter are conveyed by an element located between base pairs -60 and -37 that contains two adjacent consensus Sp1 transcription factor binding sites. Constitutive Sp1-containing complex formation to this sequence is decreased by PPARα treatment, indicating that VEGFR2 gene expression is inhibited by repressing Sp1 site-dependent DNA binding and transactivation. Our coimmunoprecipitation experiments revealed enhanced protein interactions between PPARα and Sp1 on PPARα activation, thus constituting a probable mechanism by which PPARα activators decrease Sp-dependent binding activity to the VEGFR2 promoter. Hence, molecular mechanisms by which PPARs modulate the rate of gene transcription may include direct interactions between specific transcription factors and PPARs that ultimately result in reduced DNA binding to their respective response elements.","author":[{"dropping-particle":"","family":"Meissner","given":"Markus","non-dropping-particle":"","parse-names":false,"suffix":""},{"dropping-particle":"","family":"Stein","given":"Monika","non-dropping-particle":"","parse-names":false,"suffix":""},{"dropping-particle":"","family":"Urbich","given":"Carmen","non-dropping-particle":"","parse-names":false,"suffix":""},{"dropping-particle":"","family":"Reisinger","given":"Kerstin","non-dropping-particle":"","parse-names":false,"suffix":""},{"dropping-particle":"","family":"Suske","given":"Guntram","non-dropping-particle":"","parse-names":false,"suffix":""},{"dropping-particle":"","family":"Staels","given":"Bart","non-dropping-particle":"","parse-names":false,"suffix":""},{"dropping-particle":"","family":"Kaufmann","given":"Roland","non-dropping-particle":"","parse-names":false,"suffix":""},{"dropping-particle":"","family":"Gille","given":"Jens","non-dropping-particle":"","parse-names":false,"suffix":""}],"container-title":"Circulation Research","id":"ITEM-2","issue":"3","issued":{"date-parts":[["2004"]]},"page":"324-332","title":"PPARα Activators Inhibit Vascular Endothelial Growth Factor Receptor-2 Expression by Repressing Sp1-Dependent DNA Binding and Transactivation","type":"article-journal","volume":"94"},"uris":["http://www.mendeley.com/documents/?uuid=a3fc0980-b639-4020-bbdf-dce4bad120ea"]},{"id":"ITEM-3","itemData":{"DOI":"10.1042/BJ20050964","ISSN":"02646021","abstract":"Recent evidence indicates that PPAR (peroxisome-proliferator-activated receptor) α ligands possess anti-inflammatory and anti-tumoural properties owing to their inhibitory effects on the expression of genes that are involved in the inflammatory response. However, the precise molecular mechanisms underlying these effects are poorly understood. In the present study, we show that tumour promoter PMA-mediated induction of genes that are significantly associated with inflammation, tumour growth and metastasis, such as COX-2 (cyclo-oxygenase 2) and VEGF (vascular endothelial growth factor), is inhibited by PPARα ligands in the human colorectal carcinoma cell line SW620. PPARα activators LY-171883 and WY-14,643 were able to diminish transcriptional induction of COX-2 and VEGF by inhibiting AP-1 (activator protein-1)-mediated transcriptional activation induced by PMA or by c-Jun overexpression. The actions of these ligands on AP-1 activation and COX-2 and VEGF transcriptional induction were found to be dependent on PPARα expression. Our studies demonstrate the existence of a negative cross-talk between the PPARα- and AP-1-dependent signalling pathways in these cells. PPARα interfered with at least two steps within the pathway leading to AP-1 activation. First, PPARα activation impaired AP-1 binding to a consensus DNA sequence. Secondly, PPARα ligands inhibited c-Jun transactivating activity. Taken together, these findings provide new insight into the anti-inflammatory and anti-tumoural properties of PPARα activation, through the inhibition of the induction of AP-1-dependent genes that are involved in inflammation and tumour progression. © 2006 Biochemical Society.","author":[{"dropping-particle":"","family":"Grau","given":"Raquel","non-dropping-particle":"","parse-names":false,"suffix":""},{"dropping-particle":"","family":"Punzón","given":"Carmen","non-dropping-particle":"","parse-names":false,"suffix":""},{"dropping-particle":"","family":"Fresno","given":"Manuel","non-dropping-particle":"","parse-names":false,"suffix":""},{"dropping-particle":"","family":"Iñiguez","given":"Miguel A.","non-dropping-particle":"","parse-names":false,"suffix":""}],"container-title":"Biochemical Journal","id":"ITEM-3","issue":"1","issued":{"date-parts":[["2006"]]},"page":"81-88","title":"Peroxisome-proliferator-activated receptor α agonists inhibit cyclo-oxygenase 2 and vascular endothelial growth factor transcriptional activation in human colorectal carcinoma cells via inhibition of activator protein-1","type":"article-journal","volume":"395"},"uris":["http://www.mendeley.com/documents/?uuid=00ea4844-0743-4255-af9d-a3903151d5b5"]}],"mendeley":{"formattedCitation":"(Inoue &lt;i&gt;et al.&lt;/i&gt;, 1998; Meissner &lt;i&gt;et al.&lt;/i&gt;, 2004; Grau &lt;i&gt;et al.&lt;/i&gt;, 2006)","plainTextFormattedCitation":"(Inoue et al., 1998; Meissner et al., 2004; Grau et al., 2006)","previouslyFormattedCitation":"(Inoue &lt;i&gt;et al.&lt;/i&gt;, 1998; Meissner &lt;i&gt;et al.&lt;/i&gt;, 2004; Grau &lt;i&gt;et al.&lt;/i&gt;, 2006)"},"properties":{"noteIndex":0},"schema":"https://github.com/citation-style-language/schema/raw/master/csl-citation.json"}</w:instrText>
      </w:r>
      <w:r w:rsidR="00DA0630" w:rsidRPr="00465302">
        <w:rPr>
          <w:rFonts w:eastAsia="Times New Roman" w:cs="Times New Roman"/>
          <w:color w:val="000000"/>
          <w:szCs w:val="24"/>
        </w:rPr>
        <w:fldChar w:fldCharType="separate"/>
      </w:r>
      <w:r w:rsidR="00DA0630" w:rsidRPr="00465302">
        <w:rPr>
          <w:rFonts w:eastAsia="Times New Roman" w:cs="Times New Roman"/>
          <w:noProof/>
          <w:color w:val="000000"/>
          <w:szCs w:val="24"/>
        </w:rPr>
        <w:t xml:space="preserve">(Inoue </w:t>
      </w:r>
      <w:r w:rsidR="00DA0630" w:rsidRPr="00465302">
        <w:rPr>
          <w:rFonts w:eastAsia="Times New Roman" w:cs="Times New Roman"/>
          <w:i/>
          <w:noProof/>
          <w:color w:val="000000"/>
          <w:szCs w:val="24"/>
        </w:rPr>
        <w:t>et al.</w:t>
      </w:r>
      <w:r w:rsidR="00DA0630" w:rsidRPr="00465302">
        <w:rPr>
          <w:rFonts w:eastAsia="Times New Roman" w:cs="Times New Roman"/>
          <w:noProof/>
          <w:color w:val="000000"/>
          <w:szCs w:val="24"/>
        </w:rPr>
        <w:t xml:space="preserve">, 1998; Meissner </w:t>
      </w:r>
      <w:r w:rsidR="00DA0630" w:rsidRPr="00465302">
        <w:rPr>
          <w:rFonts w:eastAsia="Times New Roman" w:cs="Times New Roman"/>
          <w:i/>
          <w:noProof/>
          <w:color w:val="000000"/>
          <w:szCs w:val="24"/>
        </w:rPr>
        <w:t>et al.</w:t>
      </w:r>
      <w:r w:rsidR="00DA0630" w:rsidRPr="00465302">
        <w:rPr>
          <w:rFonts w:eastAsia="Times New Roman" w:cs="Times New Roman"/>
          <w:noProof/>
          <w:color w:val="000000"/>
          <w:szCs w:val="24"/>
        </w:rPr>
        <w:t xml:space="preserve">, 2004; Grau </w:t>
      </w:r>
      <w:r w:rsidR="00DA0630" w:rsidRPr="00465302">
        <w:rPr>
          <w:rFonts w:eastAsia="Times New Roman" w:cs="Times New Roman"/>
          <w:i/>
          <w:noProof/>
          <w:color w:val="000000"/>
          <w:szCs w:val="24"/>
        </w:rPr>
        <w:t>et al.</w:t>
      </w:r>
      <w:r w:rsidR="00DA0630" w:rsidRPr="00465302">
        <w:rPr>
          <w:rFonts w:eastAsia="Times New Roman" w:cs="Times New Roman"/>
          <w:noProof/>
          <w:color w:val="000000"/>
          <w:szCs w:val="24"/>
        </w:rPr>
        <w:t>, 2006)</w:t>
      </w:r>
      <w:r w:rsidR="00DA0630" w:rsidRPr="00465302">
        <w:rPr>
          <w:rFonts w:eastAsia="Times New Roman" w:cs="Times New Roman"/>
          <w:color w:val="000000"/>
          <w:szCs w:val="24"/>
        </w:rPr>
        <w:fldChar w:fldCharType="end"/>
      </w:r>
      <w:r w:rsidRPr="00465302">
        <w:rPr>
          <w:rFonts w:eastAsia="Times New Roman" w:cs="Times New Roman"/>
          <w:color w:val="000000"/>
          <w:szCs w:val="24"/>
        </w:rPr>
        <w:t>. Our results indicate that PPAR</w:t>
      </w:r>
      <w:r w:rsidR="00DB6295" w:rsidRPr="00465302">
        <w:rPr>
          <w:rFonts w:eastAsia="Times New Roman" w:cs="Times New Roman"/>
          <w:color w:val="000000"/>
          <w:szCs w:val="24"/>
        </w:rPr>
        <w:t>α</w:t>
      </w:r>
      <w:r w:rsidRPr="00465302">
        <w:rPr>
          <w:rFonts w:eastAsia="Times New Roman" w:cs="Times New Roman"/>
          <w:color w:val="000000"/>
          <w:szCs w:val="24"/>
        </w:rPr>
        <w:t>-mediated signaling was upregulated by ISV-VDC exposure (</w:t>
      </w:r>
      <w:r w:rsidRPr="00465302">
        <w:rPr>
          <w:rStyle w:val="Strong"/>
        </w:rPr>
        <w:t>Figure 3.8</w:t>
      </w:r>
      <w:r w:rsidRPr="00465302">
        <w:rPr>
          <w:rFonts w:eastAsia="Times New Roman" w:cs="Times New Roman"/>
          <w:color w:val="000000"/>
          <w:szCs w:val="24"/>
        </w:rPr>
        <w:t>).</w:t>
      </w:r>
      <w:r w:rsidR="00F81DA4" w:rsidRPr="00465302">
        <w:rPr>
          <w:rFonts w:eastAsia="Times New Roman" w:cs="Times New Roman"/>
          <w:color w:val="000000"/>
          <w:szCs w:val="24"/>
        </w:rPr>
        <w:t xml:space="preserve"> </w:t>
      </w:r>
      <w:r w:rsidR="00267198" w:rsidRPr="00465302">
        <w:rPr>
          <w:rFonts w:eastAsia="Times New Roman" w:cs="Times New Roman"/>
          <w:color w:val="000000"/>
          <w:szCs w:val="24"/>
        </w:rPr>
        <w:t>Retinoic acid receptor (RAR) assays were also reported among the in vitro assays of univariate analysis (</w:t>
      </w:r>
      <w:r w:rsidR="00267198" w:rsidRPr="00465302">
        <w:rPr>
          <w:rFonts w:eastAsia="Times New Roman" w:cs="Times New Roman"/>
          <w:b/>
          <w:bCs/>
          <w:color w:val="000000"/>
          <w:szCs w:val="24"/>
        </w:rPr>
        <w:t>Figure 3.8</w:t>
      </w:r>
      <w:r w:rsidR="00267198" w:rsidRPr="00465302">
        <w:rPr>
          <w:rFonts w:eastAsia="Times New Roman" w:cs="Times New Roman"/>
          <w:color w:val="000000"/>
          <w:szCs w:val="24"/>
        </w:rPr>
        <w:t>). All</w:t>
      </w:r>
      <w:r w:rsidR="00671F90" w:rsidRPr="00465302">
        <w:rPr>
          <w:rFonts w:eastAsia="Times New Roman" w:cs="Times New Roman"/>
          <w:color w:val="000000"/>
          <w:szCs w:val="24"/>
        </w:rPr>
        <w:t>-</w:t>
      </w:r>
      <w:r w:rsidR="00267198" w:rsidRPr="00465302">
        <w:rPr>
          <w:rFonts w:eastAsia="Times New Roman" w:cs="Times New Roman"/>
          <w:color w:val="000000"/>
          <w:szCs w:val="24"/>
        </w:rPr>
        <w:t>trans retinoic acid (atRA) acts via RAR and plays an important</w:t>
      </w:r>
      <w:r w:rsidR="00337FEB">
        <w:rPr>
          <w:rFonts w:eastAsia="Times New Roman" w:cs="Times New Roman"/>
          <w:color w:val="000000"/>
          <w:szCs w:val="24"/>
        </w:rPr>
        <w:t xml:space="preserve"> role</w:t>
      </w:r>
      <w:r w:rsidR="00267198" w:rsidRPr="00465302">
        <w:rPr>
          <w:rFonts w:eastAsia="Times New Roman" w:cs="Times New Roman"/>
          <w:color w:val="000000"/>
          <w:szCs w:val="24"/>
        </w:rPr>
        <w:t xml:space="preserve"> in regulating angiogenesis in early embryonic development and during organogenesis</w:t>
      </w:r>
      <w:r w:rsidR="00DA0630" w:rsidRPr="00465302">
        <w:rPr>
          <w:rFonts w:eastAsia="Times New Roman" w:cs="Times New Roman"/>
          <w:color w:val="000000"/>
          <w:szCs w:val="24"/>
        </w:rPr>
        <w:t xml:space="preserve"> </w:t>
      </w:r>
      <w:r w:rsidR="00DA0630" w:rsidRPr="00465302">
        <w:rPr>
          <w:rFonts w:eastAsia="Times New Roman" w:cs="Times New Roman"/>
          <w:color w:val="000000"/>
          <w:szCs w:val="24"/>
        </w:rPr>
        <w:fldChar w:fldCharType="begin" w:fldLock="1"/>
      </w:r>
      <w:r w:rsidR="00DA0630" w:rsidRPr="00465302">
        <w:rPr>
          <w:rFonts w:eastAsia="Times New Roman" w:cs="Times New Roman"/>
          <w:color w:val="000000"/>
          <w:szCs w:val="24"/>
        </w:rPr>
        <w:instrText>ADDIN CSL_CITATION {"citationItems":[{"id":"ITEM-1","itemData":{"DOI":"10.1210/en.2006-0900","ISSN":"00137227","abstract":"A natural retinoid all-trans retinoic acid (ATRA) regulates a variety of important cellular functions via retinoic acid receptor (RAR). ATRA has therapeutically been used against various malignancies including acute promyelocytic leukemia. Recently ATRA has also been recognized to be beneficial against atherosclerotic vascular disorders. However, its effects on angiogenesis remain controversial. We therefore examined ATRA effects on in vitro angiogenesis in terms of capillary-like tube formation using human umbilical vein endothelial cells (HUVECs)/normal human dermal fibroblast (NHDF) coculture. ATRA as well as RAR agonist Am80 significantly induced capillary-like tube formation. The ATRA-induced tube formation was inhibited by coincubation with RAR antagonist LE540/LE135. HUVEC proliferation, but not its migration, was also induced by ATRA. The ATRA-induced tube formation was completely abolished by coincubation with vascular endothelial growth factor (VEGF) neutralizing antibody or with VEGF receptor (VEGFR)-2 (KDR) neutralizing antibody, but not VEGFR-1 (Flt-1) neutralizing antibody. ATRA and Am80 induced VEGF secretion in the coculture as well as VEGF secretion/mRNA expression in NHDFs. Transcription activity of human VEGF gene promoter in NHDFs was stimulated by ATRA, which was augmented by RAR overexpression. ATRA also induced VDGFR-2/KDR mRNA expression in HUVECs. Moreover, ATRA-induced secretion of hepatocyte growth factor as well as angiopoietin-2 in the coculture. Taken together, ATRA may have induced angiogenesis via RAR mainly by stimulation of HUVEC proliferation and enhancement of endogenous VEGF signaling and in part by induction of hepatocyte growth factor and angiopoietin-2 production. Retinoids may therefore be potential candidates for therapeutic angiogenesis against ischemic vascular disorders. Copyright © 2007 by The Endocrine Society.","author":[{"dropping-particle":"","family":"Saito","given":"Akiko","non-dropping-particle":"","parse-names":false,"suffix":""},{"dropping-particle":"","family":"Sugawara","given":"Akira","non-dropping-particle":"","parse-names":false,"suffix":""},{"dropping-particle":"","family":"Uruno","given":"Akira","non-dropping-particle":"","parse-names":false,"suffix":""},{"dropping-particle":"","family":"Kudo","given":"Masataka","non-dropping-particle":"","parse-names":false,"suffix":""},{"dropping-particle":"","family":"Kagechika","given":"Hiroyuki","non-dropping-particle":"","parse-names":false,"suffix":""},{"dropping-particle":"","family":"Sato","given":"Yasufumi","non-dropping-particle":"","parse-names":false,"suffix":""},{"dropping-particle":"","family":"Owada","given":"Yuji","non-dropping-particle":"","parse-names":false,"suffix":""},{"dropping-particle":"","family":"Kondo","given":"Hisatake","non-dropping-particle":"","parse-names":false,"suffix":""},{"dropping-particle":"","family":"Sato","given":"Mayumi","non-dropping-particle":"","parse-names":false,"suffix":""},{"dropping-particle":"","family":"Kurabayashi","given":"Masahiko","non-dropping-particle":"","parse-names":false,"suffix":""},{"dropping-particle":"","family":"Imaizumi","given":"Masue","non-dropping-particle":"","parse-names":false,"suffix":""},{"dropping-particle":"","family":"Tsuchiya","given":"Shigeru","non-dropping-particle":"","parse-names":false,"suffix":""},{"dropping-particle":"","family":"Ito","given":"Sadayoshi","non-dropping-particle":"","parse-names":false,"suffix":""}],"container-title":"Endocrinology","id":"ITEM-1","issue":"3","issued":{"date-parts":[["2007"]]},"page":"1412-1423","title":"All-trans retinoic acid induces in vitro angiogenesis via retinoic acid receptor: Possible involvement of paracrine effects of endogenous vascular endothelial growth factor signaling","type":"article-journal","volume":"148"},"uris":["http://www.mendeley.com/documents/?uuid=40d7b375-f6e0-4f31-b9d7-2d9830114d52"]},{"id":"ITEM-2","itemData":{"DOI":"10.1002/dvg.23287","ISSN":"1526-968X","abstract":"Formation of the vasculature is an essential developmental process, delivering oxygen and nutrients to support cellular processes needed for tissue growth and maturation. Retinoic acid (RA) and its downstream signaling pathway is vital for normal pre- and post-natal development, playing key roles in the specification and formation of many organs and tissues. Here, we review the role of RA in blood and lymph vascular development, beginning with embryonic yolk sac vasculogenesis and remodeling and discussing RA's organ-specific roles in angiogenesis and vessel maturation. In particular, we highlight the multi-faceted role of RA signaling in CNS vascular development and acquisition of blood-brain barrier properties.","author":[{"dropping-particle":"","family":"Pawlikowski","given":"Brad","non-dropping-particle":"","parse-names":false,"suffix":""},{"dropping-particle":"","family":"Wragge","given":"Jacob","non-dropping-particle":"","parse-names":false,"suffix":""},{"dropping-particle":"","family":"Siegenthaler","given":"Julie A","non-dropping-particle":"","parse-names":false,"suffix":""}],"container-title":"Genesis (New York, N.Y. : 2000)","edition":"2019/03/19","id":"ITEM-2","issue":"7-8","issued":{"date-parts":[["2019","7"]]},"language":"eng","page":"e23287-e23287","title":"Retinoic acid signaling in vascular development","type":"article-journal","volume":"57"},"uris":["http://www.mendeley.com/documents/?uuid=5efd8277-3815-468a-9afe-574802bf5857"]}],"mendeley":{"formattedCitation":"(Saito &lt;i&gt;et al.&lt;/i&gt;, 2007; Pawlikowski, Wragge and Siegenthaler, 2019)","plainTextFormattedCitation":"(Saito et al., 2007; Pawlikowski, Wragge and Siegenthaler, 2019)","previouslyFormattedCitation":"(Saito &lt;i&gt;et al.&lt;/i&gt;, 2007; Pawlikowski, Wragge and Siegenthaler, 2019)"},"properties":{"noteIndex":0},"schema":"https://github.com/citation-style-language/schema/raw/master/csl-citation.json"}</w:instrText>
      </w:r>
      <w:r w:rsidR="00DA0630" w:rsidRPr="00465302">
        <w:rPr>
          <w:rFonts w:eastAsia="Times New Roman" w:cs="Times New Roman"/>
          <w:color w:val="000000"/>
          <w:szCs w:val="24"/>
        </w:rPr>
        <w:fldChar w:fldCharType="separate"/>
      </w:r>
      <w:r w:rsidR="00DA0630" w:rsidRPr="00465302">
        <w:rPr>
          <w:rFonts w:eastAsia="Times New Roman" w:cs="Times New Roman"/>
          <w:noProof/>
          <w:color w:val="000000"/>
          <w:szCs w:val="24"/>
        </w:rPr>
        <w:t xml:space="preserve">(Saito </w:t>
      </w:r>
      <w:r w:rsidR="00DA0630" w:rsidRPr="00465302">
        <w:rPr>
          <w:rFonts w:eastAsia="Times New Roman" w:cs="Times New Roman"/>
          <w:i/>
          <w:noProof/>
          <w:color w:val="000000"/>
          <w:szCs w:val="24"/>
        </w:rPr>
        <w:t>et al.</w:t>
      </w:r>
      <w:r w:rsidR="00DA0630" w:rsidRPr="00465302">
        <w:rPr>
          <w:rFonts w:eastAsia="Times New Roman" w:cs="Times New Roman"/>
          <w:noProof/>
          <w:color w:val="000000"/>
          <w:szCs w:val="24"/>
        </w:rPr>
        <w:t>, 2007; Pawlikowski, Wragge and Siegenthaler, 2019)</w:t>
      </w:r>
      <w:r w:rsidR="00DA0630" w:rsidRPr="00465302">
        <w:rPr>
          <w:rFonts w:eastAsia="Times New Roman" w:cs="Times New Roman"/>
          <w:color w:val="000000"/>
          <w:szCs w:val="24"/>
        </w:rPr>
        <w:fldChar w:fldCharType="end"/>
      </w:r>
      <w:r w:rsidR="00267198" w:rsidRPr="00465302">
        <w:rPr>
          <w:rFonts w:eastAsia="Times New Roman" w:cs="Times New Roman"/>
          <w:color w:val="000000"/>
          <w:szCs w:val="24"/>
        </w:rPr>
        <w:t>. RAR mediates this effect by regulating endogenous VEGF signaling through the VEGFR2 receptor possibly by the transcriptional regulation of hypoxia inducible factor 1α (HIF1α) which is another assay indicated through vascular univariate analysis</w:t>
      </w:r>
      <w:r w:rsidR="00E63C43" w:rsidRPr="00465302">
        <w:rPr>
          <w:rFonts w:eastAsia="Times New Roman" w:cs="Times New Roman"/>
          <w:color w:val="000000"/>
          <w:szCs w:val="24"/>
        </w:rPr>
        <w:t xml:space="preserve"> (</w:t>
      </w:r>
      <w:r w:rsidR="00E63C43" w:rsidRPr="00465302">
        <w:rPr>
          <w:rFonts w:eastAsia="Times New Roman" w:cs="Times New Roman"/>
          <w:b/>
          <w:bCs/>
          <w:color w:val="000000"/>
          <w:szCs w:val="24"/>
        </w:rPr>
        <w:t>Figure 3.8</w:t>
      </w:r>
      <w:r w:rsidR="00E63C43" w:rsidRPr="00465302">
        <w:rPr>
          <w:rFonts w:eastAsia="Times New Roman" w:cs="Times New Roman"/>
          <w:color w:val="000000"/>
          <w:szCs w:val="24"/>
        </w:rPr>
        <w:t>)</w:t>
      </w:r>
      <w:r w:rsidR="00DA0630" w:rsidRPr="00465302">
        <w:rPr>
          <w:rFonts w:eastAsia="Times New Roman" w:cs="Times New Roman"/>
          <w:color w:val="000000"/>
          <w:szCs w:val="24"/>
        </w:rPr>
        <w:t xml:space="preserve"> </w:t>
      </w:r>
      <w:r w:rsidR="00DA0630" w:rsidRPr="00465302">
        <w:rPr>
          <w:rFonts w:eastAsia="Times New Roman" w:cs="Times New Roman"/>
          <w:color w:val="000000"/>
          <w:szCs w:val="24"/>
        </w:rPr>
        <w:fldChar w:fldCharType="begin" w:fldLock="1"/>
      </w:r>
      <w:r w:rsidR="00DA0630" w:rsidRPr="00465302">
        <w:rPr>
          <w:rFonts w:eastAsia="Times New Roman" w:cs="Times New Roman"/>
          <w:color w:val="000000"/>
          <w:szCs w:val="24"/>
        </w:rPr>
        <w:instrText>ADDIN CSL_CITATION {"citationItems":[{"id":"ITEM-1","itemData":{"DOI":"10.1210/en.2006-0900","ISSN":"00137227","abstract":"A natural retinoid all-trans retinoic acid (ATRA) regulates a variety of important cellular functions via retinoic acid receptor (RAR). ATRA has therapeutically been used against various malignancies including acute promyelocytic leukemia. Recently ATRA has also been recognized to be beneficial against atherosclerotic vascular disorders. However, its effects on angiogenesis remain controversial. We therefore examined ATRA effects on in vitro angiogenesis in terms of capillary-like tube formation using human umbilical vein endothelial cells (HUVECs)/normal human dermal fibroblast (NHDF) coculture. ATRA as well as RAR agonist Am80 significantly induced capillary-like tube formation. The ATRA-induced tube formation was inhibited by coincubation with RAR antagonist LE540/LE135. HUVEC proliferation, but not its migration, was also induced by ATRA. The ATRA-induced tube formation was completely abolished by coincubation with vascular endothelial growth factor (VEGF) neutralizing antibody or with VEGF receptor (VEGFR)-2 (KDR) neutralizing antibody, but not VEGFR-1 (Flt-1) neutralizing antibody. ATRA and Am80 induced VEGF secretion in the coculture as well as VEGF secretion/mRNA expression in NHDFs. Transcription activity of human VEGF gene promoter in NHDFs was stimulated by ATRA, which was augmented by RAR overexpression. ATRA also induced VDGFR-2/KDR mRNA expression in HUVECs. Moreover, ATRA-induced secretion of hepatocyte growth factor as well as angiopoietin-2 in the coculture. Taken together, ATRA may have induced angiogenesis via RAR mainly by stimulation of HUVEC proliferation and enhancement of endogenous VEGF signaling and in part by induction of hepatocyte growth factor and angiopoietin-2 production. Retinoids may therefore be potential candidates for therapeutic angiogenesis against ischemic vascular disorders. Copyright © 2007 by The Endocrine Society.","author":[{"dropping-particle":"","family":"Saito","given":"Akiko","non-dropping-particle":"","parse-names":false,"suffix":""},{"dropping-particle":"","family":"Sugawara","given":"Akira","non-dropping-particle":"","parse-names":false,"suffix":""},{"dropping-particle":"","family":"Uruno","given":"Akira","non-dropping-particle":"","parse-names":false,"suffix":""},{"dropping-particle":"","family":"Kudo","given":"Masataka","non-dropping-particle":"","parse-names":false,"suffix":""},{"dropping-particle":"","family":"Kagechika","given":"Hiroyuki","non-dropping-particle":"","parse-names":false,"suffix":""},{"dropping-particle":"","family":"Sato","given":"Yasufumi","non-dropping-particle":"","parse-names":false,"suffix":""},{"dropping-particle":"","family":"Owada","given":"Yuji","non-dropping-particle":"","parse-names":false,"suffix":""},{"dropping-particle":"","family":"Kondo","given":"Hisatake","non-dropping-particle":"","parse-names":false,"suffix":""},{"dropping-particle":"","family":"Sato","given":"Mayumi","non-dropping-particle":"","parse-names":false,"suffix":""},{"dropping-particle":"","family":"Kurabayashi","given":"Masahiko","non-dropping-particle":"","parse-names":false,"suffix":""},{"dropping-particle":"","family":"Imaizumi","given":"Masue","non-dropping-particle":"","parse-names":false,"suffix":""},{"dropping-particle":"","family":"Tsuchiya","given":"Shigeru","non-dropping-particle":"","parse-names":false,"suffix":""},{"dropping-particle":"","family":"Ito","given":"Sadayoshi","non-dropping-particle":"","parse-names":false,"suffix":""}],"container-title":"Endocrinology","id":"ITEM-1","issue":"3","issued":{"date-parts":[["2007"]]},"page":"1412-1423","title":"All-trans retinoic acid induces in vitro angiogenesis via retinoic acid receptor: Possible involvement of paracrine effects of endogenous vascular endothelial growth factor signaling","type":"article-journal","volume":"148"},"uris":["http://www.mendeley.com/documents/?uuid=40d7b375-f6e0-4f31-b9d7-2d9830114d52"]},{"id":"ITEM-2","itemData":{"DOI":"10.1002/dvg.23287","ISSN":"1526-968X","abstract":"Formation of the vasculature is an essential developmental process, delivering oxygen and nutrients to support cellular processes needed for tissue growth and maturation. Retinoic acid (RA) and its downstream signaling pathway is vital for normal pre- and post-natal development, playing key roles in the specification and formation of many organs and tissues. Here, we review the role of RA in blood and lymph vascular development, beginning with embryonic yolk sac vasculogenesis and remodeling and discussing RA's organ-specific roles in angiogenesis and vessel maturation. In particular, we highlight the multi-faceted role of RA signaling in CNS vascular development and acquisition of blood-brain barrier properties.","author":[{"dropping-particle":"","family":"Pawlikowski","given":"Brad","non-dropping-particle":"","parse-names":false,"suffix":""},{"dropping-particle":"","family":"Wragge","given":"Jacob","non-dropping-particle":"","parse-names":false,"suffix":""},{"dropping-particle":"","family":"Siegenthaler","given":"Julie A","non-dropping-particle":"","parse-names":false,"suffix":""}],"container-title":"Genesis (New York, N.Y. : 2000)","edition":"2019/03/19","id":"ITEM-2","issue":"7-8","issued":{"date-parts":[["2019","7"]]},"language":"eng","page":"e23287-e23287","title":"Retinoic acid signaling in vascular development","type":"article-journal","volume":"57"},"uris":["http://www.mendeley.com/documents/?uuid=5efd8277-3815-468a-9afe-574802bf5857"]}],"mendeley":{"formattedCitation":"(Saito &lt;i&gt;et al.&lt;/i&gt;, 2007; Pawlikowski, Wragge and Siegenthaler, 2019)","plainTextFormattedCitation":"(Saito et al., 2007; Pawlikowski, Wragge and Siegenthaler, 2019)","previouslyFormattedCitation":"(Saito &lt;i&gt;et al.&lt;/i&gt;, 2007; Pawlikowski, Wragge and Siegenthaler, 2019)"},"properties":{"noteIndex":0},"schema":"https://github.com/citation-style-language/schema/raw/master/csl-citation.json"}</w:instrText>
      </w:r>
      <w:r w:rsidR="00DA0630" w:rsidRPr="00465302">
        <w:rPr>
          <w:rFonts w:eastAsia="Times New Roman" w:cs="Times New Roman"/>
          <w:color w:val="000000"/>
          <w:szCs w:val="24"/>
        </w:rPr>
        <w:fldChar w:fldCharType="separate"/>
      </w:r>
      <w:r w:rsidR="00DA0630" w:rsidRPr="00465302">
        <w:rPr>
          <w:rFonts w:eastAsia="Times New Roman" w:cs="Times New Roman"/>
          <w:noProof/>
          <w:color w:val="000000"/>
          <w:szCs w:val="24"/>
        </w:rPr>
        <w:t xml:space="preserve">(Saito </w:t>
      </w:r>
      <w:r w:rsidR="00DA0630" w:rsidRPr="00465302">
        <w:rPr>
          <w:rFonts w:eastAsia="Times New Roman" w:cs="Times New Roman"/>
          <w:i/>
          <w:noProof/>
          <w:color w:val="000000"/>
          <w:szCs w:val="24"/>
        </w:rPr>
        <w:t>et al.</w:t>
      </w:r>
      <w:r w:rsidR="00DA0630" w:rsidRPr="00465302">
        <w:rPr>
          <w:rFonts w:eastAsia="Times New Roman" w:cs="Times New Roman"/>
          <w:noProof/>
          <w:color w:val="000000"/>
          <w:szCs w:val="24"/>
        </w:rPr>
        <w:t>, 2007; Pawlikowski, Wragge and Siegenthaler, 2019)</w:t>
      </w:r>
      <w:r w:rsidR="00DA0630" w:rsidRPr="00465302">
        <w:rPr>
          <w:rFonts w:eastAsia="Times New Roman" w:cs="Times New Roman"/>
          <w:color w:val="000000"/>
          <w:szCs w:val="24"/>
        </w:rPr>
        <w:fldChar w:fldCharType="end"/>
      </w:r>
      <w:r w:rsidR="00267198" w:rsidRPr="00465302">
        <w:rPr>
          <w:rFonts w:eastAsia="Times New Roman" w:cs="Times New Roman"/>
          <w:color w:val="000000"/>
          <w:szCs w:val="24"/>
        </w:rPr>
        <w:t>.</w:t>
      </w:r>
      <w:r w:rsidR="00871114" w:rsidRPr="00465302">
        <w:rPr>
          <w:rFonts w:eastAsia="Times New Roman" w:cs="Times New Roman"/>
          <w:color w:val="000000"/>
          <w:szCs w:val="24"/>
        </w:rPr>
        <w:t xml:space="preserve"> </w:t>
      </w:r>
      <w:r w:rsidR="00CD5C80" w:rsidRPr="00465302">
        <w:rPr>
          <w:rFonts w:eastAsia="Times New Roman" w:cs="Times New Roman"/>
          <w:color w:val="000000"/>
          <w:szCs w:val="24"/>
        </w:rPr>
        <w:t xml:space="preserve">Hypoxia is the key stimulus that </w:t>
      </w:r>
      <w:r w:rsidR="00D519C2" w:rsidRPr="00465302">
        <w:rPr>
          <w:rFonts w:eastAsia="Times New Roman" w:cs="Times New Roman"/>
          <w:color w:val="000000"/>
          <w:szCs w:val="24"/>
        </w:rPr>
        <w:t>induces angiogenesis during embryo</w:t>
      </w:r>
      <w:r w:rsidR="003F317C" w:rsidRPr="00465302">
        <w:rPr>
          <w:rFonts w:eastAsia="Times New Roman" w:cs="Times New Roman"/>
          <w:color w:val="000000"/>
          <w:szCs w:val="24"/>
        </w:rPr>
        <w:t xml:space="preserve">nic development </w:t>
      </w:r>
      <w:r w:rsidR="00D519C2" w:rsidRPr="00465302">
        <w:rPr>
          <w:rFonts w:eastAsia="Times New Roman" w:cs="Times New Roman"/>
          <w:color w:val="000000"/>
          <w:szCs w:val="24"/>
        </w:rPr>
        <w:t xml:space="preserve">and induces expression of key angiogenesis factors such as VEGF and stromal derived factor 1 (SDF1; CXCL12) through </w:t>
      </w:r>
      <w:r w:rsidR="00671F90" w:rsidRPr="00465302">
        <w:rPr>
          <w:rFonts w:eastAsia="Times New Roman" w:cs="Times New Roman"/>
          <w:color w:val="000000"/>
          <w:szCs w:val="24"/>
        </w:rPr>
        <w:t xml:space="preserve">the </w:t>
      </w:r>
      <w:r w:rsidR="00D519C2" w:rsidRPr="00465302">
        <w:rPr>
          <w:rFonts w:eastAsia="Times New Roman" w:cs="Times New Roman"/>
          <w:color w:val="000000"/>
          <w:szCs w:val="24"/>
        </w:rPr>
        <w:t xml:space="preserve">transcriptional activity of </w:t>
      </w:r>
      <w:r w:rsidR="00CD5C80" w:rsidRPr="00465302">
        <w:rPr>
          <w:rFonts w:eastAsia="Times New Roman" w:cs="Times New Roman"/>
          <w:color w:val="000000"/>
          <w:szCs w:val="24"/>
        </w:rPr>
        <w:t>HIF1α</w:t>
      </w:r>
      <w:r w:rsidR="00DA0630" w:rsidRPr="00465302">
        <w:rPr>
          <w:rFonts w:eastAsia="Times New Roman" w:cs="Times New Roman"/>
          <w:color w:val="000000"/>
          <w:szCs w:val="24"/>
        </w:rPr>
        <w:t xml:space="preserve"> </w:t>
      </w:r>
      <w:r w:rsidR="00DA0630" w:rsidRPr="00465302">
        <w:rPr>
          <w:rFonts w:eastAsia="Times New Roman" w:cs="Times New Roman"/>
          <w:color w:val="000000"/>
          <w:szCs w:val="24"/>
        </w:rPr>
        <w:fldChar w:fldCharType="begin" w:fldLock="1"/>
      </w:r>
      <w:r w:rsidR="00DA0630" w:rsidRPr="00465302">
        <w:rPr>
          <w:rFonts w:eastAsia="Times New Roman" w:cs="Times New Roman"/>
          <w:color w:val="000000"/>
          <w:szCs w:val="24"/>
        </w:rPr>
        <w:instrText>ADDIN CSL_CITATION {"citationItems":[{"id":"ITEM-1","itemData":{"DOI":"10.1016/j.cardiores.2004.09.032","ISSN":"00086363","abstract":"The vascular endothelial growth factor A (VEGF-A) is essential during embryonic development as inactivation of only one allele of its gene results in embryonic lethality. Up-regulation of VEGF under physiological situations allows for adaptation to hypoxic stress, to transient inflammatory processes, and to wounding. Its expression also increases all along the process of neovascularization of solid and hematological tumors. The object of this article is to focus on the transcriptional regulation of its gene. The major cis-acting sequences and trans-activating factors will be described as well as the physiological and pathological situations leading to the intervention of such sequences and factors. We will also focus on two transcription factors essential to VEGF gene transcription: the hypoxia-inducible factor-1, which is responsible for its increased by hypoxia, as well as Sp1, which is implicated in the response to various extracellular stimuli. © 2004 European Society of Cardiology. Published by Elsevier B.V. All rights reserved.","author":[{"dropping-particle":"","family":"Pagès","given":"Gilles","non-dropping-particle":"","parse-names":false,"suffix":""},{"dropping-particle":"","family":"Pouysségur","given":"Jacques","non-dropping-particle":"","parse-names":false,"suffix":""}],"container-title":"Cardiovascular Research","id":"ITEM-1","issue":"3","issued":{"date-parts":[["2005"]]},"page":"564-573","title":"Transcriptional regulation of the Vascular Endothelial Growth Factor gene - A concert of activating factors","type":"article-journal","volume":"65"},"uris":["http://www.mendeley.com/documents/?uuid=e92e33e7-db00-4e8e-80d1-6ba02f2c6647"]},{"id":"ITEM-2","itemData":{"DOI":"10.1093/cvr/cvq045","ISSN":"00086363","abstract":"The vascular system delivers oxygen and nutrients to every cell in the vertebrate organism. Hypoxia-inducible factor 1 (HIF-1) is a master regulator of hypoxic/ischaemic vascular responses, driving transcriptional activation of hundreds of genes involved in vascular reactivity, angiogenesis, arteriogenesis, and the mobilization and homing of bone marrow-derived angiogenic cells. This review will focus on the pivotal role of HIF-1 in vascular homeostasis, the involvement of HIF-1 in vascular diseases, and recent advances in targeting HIF-1 for therapy in preclinical models. © The Author 2009. For permissions please.","author":[{"dropping-particle":"","family":"Rey","given":"Sergio","non-dropping-particle":"","parse-names":false,"suffix":""},{"dropping-particle":"","family":"Semenza","given":"Gregg L.","non-dropping-particle":"","parse-names":false,"suffix":""}],"container-title":"Cardiovascular Research","id":"ITEM-2","issue":"2","issued":{"date-parts":[["2010"]]},"page":"236-242","title":"Hypoxia-inducible factor-1-dependent mechanisms of vascularization and vascular remodelling","type":"article-journal","volume":"86"},"uris":["http://www.mendeley.com/documents/?uuid=54c8a6c9-e351-484b-9415-6d1474fdab26"]},{"id":"ITEM-3","itemData":{"DOI":"10.1016/j.devcel.2006.04.018","ISSN":"1534-5807","abstract":"Hypoxia inducible factors (HIFs) regulate adaptive responses to changes in oxygen (O(2)) tension during embryogenesis, tissue ischemia, and tumorigenesis. Because HIF-deficient embryos exhibit a number of developmental defects, the precise role of HIF in early vascular morphogenesis has been uncertain. Using para-aortic splanchnopleural (P-Sp) explant cultures, we show that deletion of the HIF-beta subunit (ARNT) results in defective hematopoiesis and the inhibition of both vasculogenesis and angiogenesis. These defects are rescued upon the addition of wild-type Sca-1(+) hematopoietic cells or recombinant VEGF. Arnt(-/-) embryos exhibit reduced levels of VEGF protein and increased numbers of apoptotic hematopoietic cells. These results suggest that HIF coordinates early endothelial cell emergence and vessel development by promoting hematopoietic cell survival and paracrine growth factor production.","author":[{"dropping-particle":"","family":"Ramírez-Bergeron","given":"Diana L","non-dropping-particle":"","parse-names":false,"suffix":""},{"dropping-particle":"","family":"Runge","given":"Anja","non-dropping-particle":"","parse-names":false,"suffix":""},{"dropping-particle":"","family":"Adelman","given":"David M","non-dropping-particle":"","parse-names":false,"suffix":""},{"dropping-particle":"","family":"Gohil","given":"Mercy","non-dropping-particle":"","parse-names":false,"suffix":""},{"dropping-particle":"","family":"Simon","given":"M Celeste","non-dropping-particle":"","parse-names":false,"suffix":""}],"container-title":"Developmental cell","id":"ITEM-3","issue":"1","issued":{"date-parts":[["2006","7"]]},"language":"eng","page":"81-92","title":"HIF-dependent hematopoietic factors regulate the development of the embryonic vasculature","type":"article-journal","volume":"11"},"uris":["http://www.mendeley.com/documents/?uuid=b487b8de-d715-43b4-a8cc-3e427717aec4"]},{"id":"ITEM-4","itemData":{"DOI":"10.1002/1097-0177(20010201)220:2&lt;175::AID-DVDY1101&gt;3.0.CO;2-F","ISSN":"1058-8388","abstract":"Abstract Hypoxia is a well-known signal for angiogenesis, but the recent proposal that hypoxia exists in developing embryonic tissues and that it induces vascular development remains to be proven. In the present study, we demonstrate the presence of hypoxia in normal developing embryos by means of a hypoxia marker, pimonidazole, and its associated antibody. Our data clearly show that hypoxia marker immunoreactivity was highly detected in developing neural tubes, heart, and intersomitic mesenchyme at an early stage of organogenesis, suggesting that hypoxia may exist in the early stages of embryo development. We also found that hypoxia inducible factor-1α (HIF-1α) and vascular endothelial growth factor (VEGF) were spatiotemporally co-localized with possible hypoxic regions in embryos. Investigation of platelet endothelial cell adhesion molecule (PECAM) expression provides evidence that endothelial cells proliferate and form the vessels in the hypoxic region in developing organs. Furthermore, we found that hypoxia induced both HIF-1α and VEGF in F9 embryonic stem and differentiated cells. Thus, we suggest that hypoxia may exist widely in developing embryonic tissues and that it may act as a signal for embryonic blood vessel formation in vivo. ? 2001 Wiley-Liss, Inc.","author":[{"dropping-particle":"","family":"Lee","given":"You Mie","non-dropping-particle":"","parse-names":false,"suffix":""},{"dropping-particle":"","family":"Jeong","given":"Chul-Ho","non-dropping-particle":"","parse-names":false,"suffix":""},{"dropping-particle":"","family":"Koo","given":"Sun-Young","non-dropping-particle":"","parse-names":false,"suffix":""},{"dropping-particle":"","family":"Son","given":"Myung Jin","non-dropping-particle":"","parse-names":false,"suffix":""},{"dropping-particle":"","family":"Song","given":"Hyun Seok","non-dropping-particle":"","parse-names":false,"suffix":""},{"dropping-particle":"","family":"Bae","given":"Soo-Kyung","non-dropping-particle":"","parse-names":false,"suffix":""},{"dropping-particle":"","family":"Raleigh","given":"James A","non-dropping-particle":"","parse-names":false,"suffix":""},{"dropping-particle":"","family":"Chung","given":"Hae-Young","non-dropping-particle":"","parse-names":false,"suffix":""},{"dropping-particle":"","family":"Yoo","given":"Mi-Ae","non-dropping-particle":"","parse-names":false,"suffix":""},{"dropping-particle":"","family":"Kim","given":"Kyu-Won","non-dropping-particle":"","parse-names":false,"suffix":""}],"container-title":"Developmental Dynamics","id":"ITEM-4","issue":"2","issued":{"date-parts":[["2001","2","1"]]},"note":"doi: 10.1002/1097-0177(20010201)220:23.0.CO;2-F","page":"175-186","publisher":"John Wiley &amp; Sons, Ltd","title":"Determination of hypoxic region by hypoxia marker in developing mouse embryos in vivo: A possible signal for vessel development","type":"article-journal","volume":"220"},"uris":["http://www.mendeley.com/documents/?uuid=f74c8336-82ba-4778-8a49-8dc74337b937"]}],"mendeley":{"formattedCitation":"(Lee &lt;i&gt;et al.&lt;/i&gt;, 2001; Pagès and Pouysségur, 2005; Ramírez-Bergeron &lt;i&gt;et al.&lt;/i&gt;, 2006; Rey and Semenza, 2010)","plainTextFormattedCitation":"(Lee et al., 2001; Pagès and Pouysségur, 2005; Ramírez-Bergeron et al., 2006; Rey and Semenza, 2010)","previouslyFormattedCitation":"(Lee &lt;i&gt;et al.&lt;/i&gt;, 2001; Pagès and Pouysségur, 2005; Ramírez-Bergeron &lt;i&gt;et al.&lt;/i&gt;, 2006; Rey and Semenza, 2010)"},"properties":{"noteIndex":0},"schema":"https://github.com/citation-style-language/schema/raw/master/csl-citation.json"}</w:instrText>
      </w:r>
      <w:r w:rsidR="00DA0630" w:rsidRPr="00465302">
        <w:rPr>
          <w:rFonts w:eastAsia="Times New Roman" w:cs="Times New Roman"/>
          <w:color w:val="000000"/>
          <w:szCs w:val="24"/>
        </w:rPr>
        <w:fldChar w:fldCharType="separate"/>
      </w:r>
      <w:r w:rsidR="00DA0630" w:rsidRPr="00465302">
        <w:rPr>
          <w:rFonts w:eastAsia="Times New Roman" w:cs="Times New Roman"/>
          <w:noProof/>
          <w:color w:val="000000"/>
          <w:szCs w:val="24"/>
        </w:rPr>
        <w:t xml:space="preserve">(Lee </w:t>
      </w:r>
      <w:r w:rsidR="00DA0630" w:rsidRPr="00465302">
        <w:rPr>
          <w:rFonts w:eastAsia="Times New Roman" w:cs="Times New Roman"/>
          <w:i/>
          <w:noProof/>
          <w:color w:val="000000"/>
          <w:szCs w:val="24"/>
        </w:rPr>
        <w:t>et al.</w:t>
      </w:r>
      <w:r w:rsidR="00DA0630" w:rsidRPr="00465302">
        <w:rPr>
          <w:rFonts w:eastAsia="Times New Roman" w:cs="Times New Roman"/>
          <w:noProof/>
          <w:color w:val="000000"/>
          <w:szCs w:val="24"/>
        </w:rPr>
        <w:t xml:space="preserve">, 2001; Pagès and Pouysségur, 2005; Ramírez-Bergeron </w:t>
      </w:r>
      <w:r w:rsidR="00DA0630" w:rsidRPr="00465302">
        <w:rPr>
          <w:rFonts w:eastAsia="Times New Roman" w:cs="Times New Roman"/>
          <w:i/>
          <w:noProof/>
          <w:color w:val="000000"/>
          <w:szCs w:val="24"/>
        </w:rPr>
        <w:t>et al.</w:t>
      </w:r>
      <w:r w:rsidR="00DA0630" w:rsidRPr="00465302">
        <w:rPr>
          <w:rFonts w:eastAsia="Times New Roman" w:cs="Times New Roman"/>
          <w:noProof/>
          <w:color w:val="000000"/>
          <w:szCs w:val="24"/>
        </w:rPr>
        <w:t>, 2006; Rey and Semenza, 2010)</w:t>
      </w:r>
      <w:r w:rsidR="00DA0630" w:rsidRPr="00465302">
        <w:rPr>
          <w:rFonts w:eastAsia="Times New Roman" w:cs="Times New Roman"/>
          <w:color w:val="000000"/>
          <w:szCs w:val="24"/>
        </w:rPr>
        <w:fldChar w:fldCharType="end"/>
      </w:r>
      <w:r w:rsidR="00D519C2" w:rsidRPr="00465302">
        <w:rPr>
          <w:rFonts w:eastAsia="Times New Roman" w:cs="Times New Roman"/>
          <w:color w:val="000000"/>
          <w:szCs w:val="24"/>
        </w:rPr>
        <w:t>.</w:t>
      </w:r>
      <w:r w:rsidR="00CD5C80" w:rsidRPr="00465302">
        <w:rPr>
          <w:rFonts w:eastAsia="Times New Roman" w:cs="Times New Roman"/>
          <w:color w:val="000000"/>
          <w:szCs w:val="24"/>
        </w:rPr>
        <w:t xml:space="preserve"> </w:t>
      </w:r>
      <w:r w:rsidR="003F317C" w:rsidRPr="00465302">
        <w:rPr>
          <w:rFonts w:eastAsia="Times New Roman" w:cs="Times New Roman"/>
          <w:color w:val="000000"/>
          <w:szCs w:val="24"/>
        </w:rPr>
        <w:t>Hypoxia also induces NFE2L2 (Nrf2) expression, which in turn increases HIF1α expression resulting in increased VEGF expression</w:t>
      </w:r>
      <w:r w:rsidR="00DA0630" w:rsidRPr="00465302">
        <w:rPr>
          <w:rFonts w:eastAsia="Times New Roman" w:cs="Times New Roman"/>
          <w:color w:val="000000"/>
          <w:szCs w:val="24"/>
        </w:rPr>
        <w:t xml:space="preserve"> </w:t>
      </w:r>
      <w:r w:rsidR="00DA0630" w:rsidRPr="00465302">
        <w:rPr>
          <w:rFonts w:eastAsia="Times New Roman" w:cs="Times New Roman"/>
          <w:color w:val="000000"/>
          <w:szCs w:val="24"/>
        </w:rPr>
        <w:fldChar w:fldCharType="begin" w:fldLock="1"/>
      </w:r>
      <w:r w:rsidR="00DA0630" w:rsidRPr="00465302">
        <w:rPr>
          <w:rFonts w:eastAsia="Times New Roman" w:cs="Times New Roman"/>
          <w:color w:val="000000"/>
          <w:szCs w:val="24"/>
        </w:rPr>
        <w:instrText>ADDIN CSL_CITATION {"citationItems":[{"id":"ITEM-1","itemData":{"DOI":"10.1158/0008-5472.CAN-10-3007","ISSN":"00085472","abstract":"Transcription factor NRF2 is an important modifier of cellular responses to oxidative stress. Although its cytoprotective effects are firmly established, recent evidence suggesting important roles in cancer pathobiology has yet to be mechanistically developed. In the current study, we investigated the role of NRF2 in colon tumor angiogenesis. Stable RNAi-mediated knockdown of NRF2 in human colon cancer cells suppressed tumor growth in mouse xenograft settings with a concomitant reduction in blood vessel formation and VEGF expression. Similar antiangiogenic effects of NRF2 knockdown were documented in chick chorioallantoic membrane assays and endothelial tube formation assays. Notably, NRF2-inhibited cancer cells failed to accumulate HIF-1α protein under hypoxic conditions, limiting expression of VEGF and other HIF-1α target genes. In these cells, HIF-1α was hydroxylated but pharmacological inhibition of PHD domain-containing prolyl hydroxylases was sufficient to restore hypoxia-induced accumulation of HIF-1α. Mechanistic investigations demonstrated that reduced mitochondrial O2 consumption in NRF2-inhibited cells was probably responsible for HIF-1α degradation during hypoxia; cellular O2 consumption and ATP production were lower in NRF2 knockdown cells than in control cells. Our findings offer novel insights into how cellular responses to O2 and oxidative stress are integrated in cancer cells, and they highlight NRF2 as a candidate molecular target to control tumor angiogenesis by imposing a blockade to HIF-1α signaling. ©2011 AACR.","author":[{"dropping-particle":"","family":"Kim","given":"Tae Hyoung","non-dropping-particle":"","parse-names":false,"suffix":""},{"dropping-particle":"","family":"Hur","given":"Eu Gene","non-dropping-particle":"","parse-names":false,"suffix":""},{"dropping-particle":"","family":"Kang","given":"Su Jin","non-dropping-particle":"","parse-names":false,"suffix":""},{"dropping-particle":"","family":"Kim","given":"Jung Ae","non-dropping-particle":"","parse-names":false,"suffix":""},{"dropping-particle":"","family":"Thapa","given":"Dinesh","non-dropping-particle":"","parse-names":false,"suffix":""},{"dropping-particle":"","family":"Mie Lee","given":"You","non-dropping-particle":"","parse-names":false,"suffix":""},{"dropping-particle":"","family":"Ku","given":"Sae Kwang","non-dropping-particle":"","parse-names":false,"suffix":""},{"dropping-particle":"","family":"Jung","given":"Yunjin","non-dropping-particle":"","parse-names":false,"suffix":""},{"dropping-particle":"","family":"Kwak","given":"Mi Kyoung","non-dropping-particle":"","parse-names":false,"suffix":""}],"container-title":"Cancer Research","id":"ITEM-1","issue":"6","issued":{"date-parts":[["2011"]]},"page":"2260-2275","title":"NRF2 blockade suppresses colon tumor angiogenesis by inhibiting hypoxia-induced activation of HIF-1α","type":"article-journal","volume":"71"},"uris":["http://www.mendeley.com/documents/?uuid=70c7c271-12e1-4677-badf-de761b95ef94"]}],"mendeley":{"formattedCitation":"(Kim &lt;i&gt;et al.&lt;/i&gt;, 2011)","plainTextFormattedCitation":"(Kim et al., 2011)","previouslyFormattedCitation":"(Kim &lt;i&gt;et al.&lt;/i&gt;, 2011)"},"properties":{"noteIndex":0},"schema":"https://github.com/citation-style-language/schema/raw/master/csl-citation.json"}</w:instrText>
      </w:r>
      <w:r w:rsidR="00DA0630" w:rsidRPr="00465302">
        <w:rPr>
          <w:rFonts w:eastAsia="Times New Roman" w:cs="Times New Roman"/>
          <w:color w:val="000000"/>
          <w:szCs w:val="24"/>
        </w:rPr>
        <w:fldChar w:fldCharType="separate"/>
      </w:r>
      <w:r w:rsidR="00DA0630" w:rsidRPr="00465302">
        <w:rPr>
          <w:rFonts w:eastAsia="Times New Roman" w:cs="Times New Roman"/>
          <w:noProof/>
          <w:color w:val="000000"/>
          <w:szCs w:val="24"/>
        </w:rPr>
        <w:t xml:space="preserve">(Kim </w:t>
      </w:r>
      <w:r w:rsidR="00DA0630" w:rsidRPr="00465302">
        <w:rPr>
          <w:rFonts w:eastAsia="Times New Roman" w:cs="Times New Roman"/>
          <w:i/>
          <w:noProof/>
          <w:color w:val="000000"/>
          <w:szCs w:val="24"/>
        </w:rPr>
        <w:t>et al.</w:t>
      </w:r>
      <w:r w:rsidR="00DA0630" w:rsidRPr="00465302">
        <w:rPr>
          <w:rFonts w:eastAsia="Times New Roman" w:cs="Times New Roman"/>
          <w:noProof/>
          <w:color w:val="000000"/>
          <w:szCs w:val="24"/>
        </w:rPr>
        <w:t>, 2011)</w:t>
      </w:r>
      <w:r w:rsidR="00DA0630" w:rsidRPr="00465302">
        <w:rPr>
          <w:rFonts w:eastAsia="Times New Roman" w:cs="Times New Roman"/>
          <w:color w:val="000000"/>
          <w:szCs w:val="24"/>
        </w:rPr>
        <w:fldChar w:fldCharType="end"/>
      </w:r>
      <w:r w:rsidR="003F317C" w:rsidRPr="00465302">
        <w:rPr>
          <w:rFonts w:eastAsia="Times New Roman" w:cs="Times New Roman"/>
          <w:color w:val="000000"/>
          <w:szCs w:val="24"/>
        </w:rPr>
        <w:t>. SP1 is another hypoxia</w:t>
      </w:r>
      <w:r w:rsidR="00671F90" w:rsidRPr="00465302">
        <w:rPr>
          <w:rFonts w:eastAsia="Times New Roman" w:cs="Times New Roman"/>
          <w:color w:val="000000"/>
          <w:szCs w:val="24"/>
        </w:rPr>
        <w:t>-</w:t>
      </w:r>
      <w:r w:rsidR="003F317C" w:rsidRPr="00465302">
        <w:rPr>
          <w:rFonts w:eastAsia="Times New Roman" w:cs="Times New Roman"/>
          <w:color w:val="000000"/>
          <w:szCs w:val="24"/>
        </w:rPr>
        <w:t xml:space="preserve">induced </w:t>
      </w:r>
      <w:r w:rsidR="003F317C" w:rsidRPr="00465302">
        <w:rPr>
          <w:rFonts w:eastAsia="Times New Roman" w:cs="Times New Roman"/>
          <w:color w:val="000000"/>
          <w:szCs w:val="24"/>
        </w:rPr>
        <w:lastRenderedPageBreak/>
        <w:t>transcription factor that is a major regulator of VEGF expression. SP1</w:t>
      </w:r>
      <w:r w:rsidR="00365B97" w:rsidRPr="00465302">
        <w:rPr>
          <w:rFonts w:eastAsia="Times New Roman" w:cs="Times New Roman"/>
          <w:color w:val="000000"/>
          <w:szCs w:val="24"/>
        </w:rPr>
        <w:t>’s binding to the VEGF promotor i</w:t>
      </w:r>
      <w:r w:rsidR="00671F90" w:rsidRPr="00465302">
        <w:rPr>
          <w:rFonts w:eastAsia="Times New Roman" w:cs="Times New Roman"/>
          <w:color w:val="000000"/>
          <w:szCs w:val="24"/>
        </w:rPr>
        <w:t>s</w:t>
      </w:r>
      <w:r w:rsidR="00365B97" w:rsidRPr="00465302">
        <w:rPr>
          <w:rFonts w:eastAsia="Times New Roman" w:cs="Times New Roman"/>
          <w:color w:val="000000"/>
          <w:szCs w:val="24"/>
        </w:rPr>
        <w:t xml:space="preserve"> inhibited by interaction with the anti-angiogenic factor P53</w:t>
      </w:r>
      <w:r w:rsidR="00DA0630" w:rsidRPr="00465302">
        <w:rPr>
          <w:rFonts w:eastAsia="Times New Roman" w:cs="Times New Roman"/>
          <w:color w:val="000000"/>
          <w:szCs w:val="24"/>
        </w:rPr>
        <w:t xml:space="preserve"> </w:t>
      </w:r>
      <w:r w:rsidR="00DA0630" w:rsidRPr="00465302">
        <w:rPr>
          <w:rFonts w:eastAsia="Times New Roman" w:cs="Times New Roman"/>
          <w:color w:val="000000"/>
          <w:szCs w:val="24"/>
        </w:rPr>
        <w:fldChar w:fldCharType="begin" w:fldLock="1"/>
      </w:r>
      <w:r w:rsidR="00DA0630" w:rsidRPr="00465302">
        <w:rPr>
          <w:rFonts w:eastAsia="Times New Roman" w:cs="Times New Roman"/>
          <w:color w:val="000000"/>
          <w:szCs w:val="24"/>
        </w:rPr>
        <w:instrText>ADDIN CSL_CITATION {"citationItems":[{"id":"ITEM-1","itemData":{"DOI":"10.1016/j.cardiores.2004.09.032","ISSN":"00086363","abstract":"The vascular endothelial growth factor A (VEGF-A) is essential during embryonic development as inactivation of only one allele of its gene results in embryonic lethality. Up-regulation of VEGF under physiological situations allows for adaptation to hypoxic stress, to transient inflammatory processes, and to wounding. Its expression also increases all along the process of neovascularization of solid and hematological tumors. The object of this article is to focus on the transcriptional regulation of its gene. The major cis-acting sequences and trans-activating factors will be described as well as the physiological and pathological situations leading to the intervention of such sequences and factors. We will also focus on two transcription factors essential to VEGF gene transcription: the hypoxia-inducible factor-1, which is responsible for its increased by hypoxia, as well as Sp1, which is implicated in the response to various extracellular stimuli. © 2004 European Society of Cardiology. Published by Elsevier B.V. All rights reserved.","author":[{"dropping-particle":"","family":"Pagès","given":"Gilles","non-dropping-particle":"","parse-names":false,"suffix":""},{"dropping-particle":"","family":"Pouysségur","given":"Jacques","non-dropping-particle":"","parse-names":false,"suffix":""}],"container-title":"Cardiovascular Research","id":"ITEM-1","issue":"3","issued":{"date-parts":[["2005"]]},"page":"564-573","title":"Transcriptional regulation of the Vascular Endothelial Growth Factor gene - A concert of activating factors","type":"article-journal","volume":"65"},"uris":["http://www.mendeley.com/documents/?uuid=e92e33e7-db00-4e8e-80d1-6ba02f2c6647"]},{"id":"ITEM-2","itemData":{"DOI":"10.1007/s00109-007-0221-2","ISSN":"09462716","abstract":"The p53 tumor suppressor protein has long been recognized as the central factor protecting humans from cancer. It has been famously dubbed \"the guardian of the genome\" due to its ability to respond to genotoxic stress, such as DNA damage and other stress signals, and to protect the genome by inducing a variety of biological responses including DNA repair, cell cycle arrest, and apoptosis. However, the tumor suppressive effects of p53 go far beyond its roles in mediating these three processes. There is growing evidence that p53 also exerts its effects on multiple aspects of tumor formation, including suppression of metastasis and, as summarized in this review, inhibition of new blood vessel development (angiogenesis). The p53 protein has been shown to limit angiogenesis by at least three mechanisms: (1) interfering with central regulators of hypoxia that mediate angiogenesis, (2) inhibiting production of proangiogenic factors, and (3) directly increasing the production of endogenous angiogenesis inhibitors. The combination of these effects allows p53 to efficiently shut down the angiogenic potential of cancer cells. Inactivation of p53, which occurs in approximately half of all tumors, reverses these effects; as a consequence, tumors carrying p53 mutations appear more vascularized and are often more aggressive and correlate with poor prognosis for treatment. Thus, the loss of functional p53 during tumorigenesis likely represents an essential step in the switch to an angiogenic phenotype that is displayed by aggressive tumors. © 2007 Springer-Verlag.","author":[{"dropping-particle":"","family":"Teodoro","given":"Jose G.","non-dropping-particle":"","parse-names":false,"suffix":""},{"dropping-particle":"","family":"Evans","given":"Sara K.","non-dropping-particle":"","parse-names":false,"suffix":""},{"dropping-particle":"","family":"Green","given":"Michael R.","non-dropping-particle":"","parse-names":false,"suffix":""}],"container-title":"Journal of Molecular Medicine","id":"ITEM-2","issue":"11","issued":{"date-parts":[["2007"]]},"page":"1175-1186","title":"Inhibition of tumor angiogenesis by p53: A new role for the guardian of the genome","type":"article-journal","volume":"85"},"uris":["http://www.mendeley.com/documents/?uuid=17d326f7-665d-40dd-9880-9ddbe81da058"]}],"mendeley":{"formattedCitation":"(Pagès and Pouysségur, 2005; Teodoro, Evans and Green, 2007)","plainTextFormattedCitation":"(Pagès and Pouysségur, 2005; Teodoro, Evans and Green, 2007)","previouslyFormattedCitation":"(Pagès and Pouysségur, 2005; Teodoro, Evans and Green, 2007)"},"properties":{"noteIndex":0},"schema":"https://github.com/citation-style-language/schema/raw/master/csl-citation.json"}</w:instrText>
      </w:r>
      <w:r w:rsidR="00DA0630" w:rsidRPr="00465302">
        <w:rPr>
          <w:rFonts w:eastAsia="Times New Roman" w:cs="Times New Roman"/>
          <w:color w:val="000000"/>
          <w:szCs w:val="24"/>
        </w:rPr>
        <w:fldChar w:fldCharType="separate"/>
      </w:r>
      <w:r w:rsidR="00DA0630" w:rsidRPr="00465302">
        <w:rPr>
          <w:rFonts w:eastAsia="Times New Roman" w:cs="Times New Roman"/>
          <w:noProof/>
          <w:color w:val="000000"/>
          <w:szCs w:val="24"/>
        </w:rPr>
        <w:t>(Pagès and Pouysségur, 2005; Teodoro, Evans and Green, 2007)</w:t>
      </w:r>
      <w:r w:rsidR="00DA0630" w:rsidRPr="00465302">
        <w:rPr>
          <w:rFonts w:eastAsia="Times New Roman" w:cs="Times New Roman"/>
          <w:color w:val="000000"/>
          <w:szCs w:val="24"/>
        </w:rPr>
        <w:fldChar w:fldCharType="end"/>
      </w:r>
      <w:r w:rsidR="00365B97" w:rsidRPr="00465302">
        <w:rPr>
          <w:rFonts w:eastAsia="Times New Roman" w:cs="Times New Roman"/>
          <w:color w:val="000000"/>
          <w:szCs w:val="24"/>
        </w:rPr>
        <w:t>. P53 is speculated to exert its anti-angiogenic action by interfering with hypoxia induced regulators of angiogenesis such as Hif1α and SP1, inhibiting pro-angiogenic factors and upregulating anti-angiogenic factors</w:t>
      </w:r>
      <w:r w:rsidR="00DA0630" w:rsidRPr="00465302">
        <w:rPr>
          <w:rFonts w:eastAsia="Times New Roman" w:cs="Times New Roman"/>
          <w:color w:val="000000"/>
          <w:szCs w:val="24"/>
        </w:rPr>
        <w:t xml:space="preserve"> </w:t>
      </w:r>
      <w:r w:rsidR="00DA0630" w:rsidRPr="00465302">
        <w:rPr>
          <w:rFonts w:eastAsia="Times New Roman" w:cs="Times New Roman"/>
          <w:color w:val="000000"/>
          <w:szCs w:val="24"/>
        </w:rPr>
        <w:fldChar w:fldCharType="begin" w:fldLock="1"/>
      </w:r>
      <w:r w:rsidR="008F22D1" w:rsidRPr="00465302">
        <w:rPr>
          <w:rFonts w:eastAsia="Times New Roman" w:cs="Times New Roman"/>
          <w:color w:val="000000"/>
          <w:szCs w:val="24"/>
        </w:rPr>
        <w:instrText>ADDIN CSL_CITATION {"citationItems":[{"id":"ITEM-1","itemData":{"DOI":"10.1007/s00109-007-0221-2","ISSN":"09462716","abstract":"The p53 tumor suppressor protein has long been recognized as the central factor protecting humans from cancer. It has been famously dubbed \"the guardian of the genome\" due to its ability to respond to genotoxic stress, such as DNA damage and other stress signals, and to protect the genome by inducing a variety of biological responses including DNA repair, cell cycle arrest, and apoptosis. However, the tumor suppressive effects of p53 go far beyond its roles in mediating these three processes. There is growing evidence that p53 also exerts its effects on multiple aspects of tumor formation, including suppression of metastasis and, as summarized in this review, inhibition of new blood vessel development (angiogenesis). The p53 protein has been shown to limit angiogenesis by at least three mechanisms: (1) interfering with central regulators of hypoxia that mediate angiogenesis, (2) inhibiting production of proangiogenic factors, and (3) directly increasing the production of endogenous angiogenesis inhibitors. The combination of these effects allows p53 to efficiently shut down the angiogenic potential of cancer cells. Inactivation of p53, which occurs in approximately half of all tumors, reverses these effects; as a consequence, tumors carrying p53 mutations appear more vascularized and are often more aggressive and correlate with poor prognosis for treatment. Thus, the loss of functional p53 during tumorigenesis likely represents an essential step in the switch to an angiogenic phenotype that is displayed by aggressive tumors. © 2007 Springer-Verlag.","author":[{"dropping-particle":"","family":"Teodoro","given":"Jose G.","non-dropping-particle":"","parse-names":false,"suffix":""},{"dropping-particle":"","family":"Evans","given":"Sara K.","non-dropping-particle":"","parse-names":false,"suffix":""},{"dropping-particle":"","family":"Green","given":"Michael R.","non-dropping-particle":"","parse-names":false,"suffix":""}],"container-title":"Journal of Molecular Medicine","id":"ITEM-1","issue":"11","issued":{"date-parts":[["2007"]]},"page":"1175-1186","title":"Inhibition of tumor angiogenesis by p53: A new role for the guardian of the genome","type":"article-journal","volume":"85"},"uris":["http://www.mendeley.com/documents/?uuid=17d326f7-665d-40dd-9880-9ddbe81da058"]}],"mendeley":{"formattedCitation":"(Teodoro, Evans and Green, 2007)","plainTextFormattedCitation":"(Teodoro, Evans and Green, 2007)","previouslyFormattedCitation":"(Teodoro, Evans and Green, 2007)"},"properties":{"noteIndex":0},"schema":"https://github.com/citation-style-language/schema/raw/master/csl-citation.json"}</w:instrText>
      </w:r>
      <w:r w:rsidR="00DA0630" w:rsidRPr="00465302">
        <w:rPr>
          <w:rFonts w:eastAsia="Times New Roman" w:cs="Times New Roman"/>
          <w:color w:val="000000"/>
          <w:szCs w:val="24"/>
        </w:rPr>
        <w:fldChar w:fldCharType="separate"/>
      </w:r>
      <w:r w:rsidR="00DA0630" w:rsidRPr="00465302">
        <w:rPr>
          <w:rFonts w:eastAsia="Times New Roman" w:cs="Times New Roman"/>
          <w:noProof/>
          <w:color w:val="000000"/>
          <w:szCs w:val="24"/>
        </w:rPr>
        <w:t>(Teodoro, Evans and Green, 2007)</w:t>
      </w:r>
      <w:r w:rsidR="00DA0630" w:rsidRPr="00465302">
        <w:rPr>
          <w:rFonts w:eastAsia="Times New Roman" w:cs="Times New Roman"/>
          <w:color w:val="000000"/>
          <w:szCs w:val="24"/>
        </w:rPr>
        <w:fldChar w:fldCharType="end"/>
      </w:r>
      <w:r w:rsidR="00365B97" w:rsidRPr="00465302">
        <w:rPr>
          <w:rFonts w:eastAsia="Times New Roman" w:cs="Times New Roman"/>
          <w:color w:val="000000"/>
          <w:szCs w:val="24"/>
        </w:rPr>
        <w:t xml:space="preserve">. </w:t>
      </w:r>
      <w:r w:rsidR="00E41920" w:rsidRPr="00465302">
        <w:rPr>
          <w:rFonts w:eastAsia="Times New Roman" w:cs="Times New Roman"/>
          <w:color w:val="000000"/>
          <w:szCs w:val="24"/>
        </w:rPr>
        <w:t>P53 was another assay indicated by the vascular univariate analysis (</w:t>
      </w:r>
      <w:r w:rsidR="00E41920" w:rsidRPr="00465302">
        <w:rPr>
          <w:rFonts w:eastAsia="Times New Roman" w:cs="Times New Roman"/>
          <w:b/>
          <w:bCs/>
          <w:color w:val="000000"/>
          <w:szCs w:val="24"/>
        </w:rPr>
        <w:t>Figure 3.8</w:t>
      </w:r>
      <w:r w:rsidR="00E41920" w:rsidRPr="00465302">
        <w:rPr>
          <w:rFonts w:eastAsia="Times New Roman" w:cs="Times New Roman"/>
          <w:color w:val="000000"/>
          <w:szCs w:val="24"/>
        </w:rPr>
        <w:t xml:space="preserve">) </w:t>
      </w:r>
      <w:r w:rsidR="00871114" w:rsidRPr="00465302">
        <w:rPr>
          <w:rFonts w:eastAsia="Times New Roman" w:cs="Times New Roman"/>
          <w:color w:val="000000"/>
          <w:szCs w:val="24"/>
        </w:rPr>
        <w:t xml:space="preserve">Taken together, our data suggest that both PPARα and RAR exert </w:t>
      </w:r>
      <w:r w:rsidR="00671F90" w:rsidRPr="00465302">
        <w:rPr>
          <w:rFonts w:eastAsia="Times New Roman" w:cs="Times New Roman"/>
          <w:color w:val="000000"/>
          <w:szCs w:val="24"/>
        </w:rPr>
        <w:t xml:space="preserve">a </w:t>
      </w:r>
      <w:r w:rsidR="00871114" w:rsidRPr="00465302">
        <w:rPr>
          <w:rFonts w:eastAsia="Times New Roman" w:cs="Times New Roman"/>
          <w:color w:val="000000"/>
          <w:szCs w:val="24"/>
        </w:rPr>
        <w:t xml:space="preserve">regulatory effect on VEGF </w:t>
      </w:r>
      <w:r w:rsidR="004D1CC2" w:rsidRPr="00465302">
        <w:rPr>
          <w:rFonts w:eastAsia="Times New Roman" w:cs="Times New Roman"/>
          <w:color w:val="000000"/>
          <w:szCs w:val="24"/>
        </w:rPr>
        <w:t>and thus angiogenesis</w:t>
      </w:r>
      <w:r w:rsidR="00871114" w:rsidRPr="00465302">
        <w:rPr>
          <w:rFonts w:eastAsia="Times New Roman" w:cs="Times New Roman"/>
          <w:color w:val="000000"/>
          <w:szCs w:val="24"/>
        </w:rPr>
        <w:t xml:space="preserve"> through the regulation of transcriptional factors NFκB, SP1</w:t>
      </w:r>
      <w:r w:rsidR="00671F90" w:rsidRPr="00465302">
        <w:rPr>
          <w:rFonts w:eastAsia="Times New Roman" w:cs="Times New Roman"/>
          <w:color w:val="000000"/>
          <w:szCs w:val="24"/>
        </w:rPr>
        <w:t>,</w:t>
      </w:r>
      <w:r w:rsidR="00871114" w:rsidRPr="00465302">
        <w:rPr>
          <w:rFonts w:eastAsia="Times New Roman" w:cs="Times New Roman"/>
          <w:color w:val="000000"/>
          <w:szCs w:val="24"/>
        </w:rPr>
        <w:t xml:space="preserve"> and HIF1α which are known transcriptional regulators </w:t>
      </w:r>
      <w:r w:rsidR="00337FEB">
        <w:rPr>
          <w:rFonts w:eastAsia="Times New Roman" w:cs="Times New Roman"/>
          <w:color w:val="000000"/>
          <w:szCs w:val="24"/>
        </w:rPr>
        <w:t>o</w:t>
      </w:r>
      <w:r w:rsidR="00871114" w:rsidRPr="00465302">
        <w:rPr>
          <w:rFonts w:eastAsia="Times New Roman" w:cs="Times New Roman"/>
          <w:color w:val="000000"/>
          <w:szCs w:val="24"/>
        </w:rPr>
        <w:t>f VEGF</w:t>
      </w:r>
      <w:r w:rsidR="00365B97" w:rsidRPr="00465302">
        <w:rPr>
          <w:rFonts w:eastAsia="Times New Roman" w:cs="Times New Roman"/>
          <w:color w:val="000000"/>
          <w:szCs w:val="24"/>
        </w:rPr>
        <w:t xml:space="preserve"> and these transcriptional factors can also be regulated by other hypoxia</w:t>
      </w:r>
      <w:r w:rsidR="00671F90" w:rsidRPr="00465302">
        <w:rPr>
          <w:rFonts w:eastAsia="Times New Roman" w:cs="Times New Roman"/>
          <w:color w:val="000000"/>
          <w:szCs w:val="24"/>
        </w:rPr>
        <w:t>-</w:t>
      </w:r>
      <w:r w:rsidR="00365B97" w:rsidRPr="00465302">
        <w:rPr>
          <w:rFonts w:eastAsia="Times New Roman" w:cs="Times New Roman"/>
          <w:color w:val="000000"/>
          <w:szCs w:val="24"/>
        </w:rPr>
        <w:t>induced factors such as Nrf2 and P53</w:t>
      </w:r>
      <w:r w:rsidR="00871114" w:rsidRPr="00465302">
        <w:rPr>
          <w:rFonts w:eastAsia="Times New Roman" w:cs="Times New Roman"/>
          <w:color w:val="000000"/>
          <w:szCs w:val="24"/>
        </w:rPr>
        <w:t>.</w:t>
      </w:r>
      <w:r w:rsidRPr="00465302">
        <w:rPr>
          <w:rFonts w:eastAsia="Times New Roman" w:cs="Times New Roman"/>
          <w:color w:val="000000"/>
          <w:szCs w:val="24"/>
        </w:rPr>
        <w:t xml:space="preserve"> </w:t>
      </w:r>
    </w:p>
    <w:p w14:paraId="15724B98" w14:textId="40C6FDCB" w:rsidR="00A5237A" w:rsidRPr="00465302" w:rsidRDefault="005E411C" w:rsidP="00317481">
      <w:pPr>
        <w:pStyle w:val="Heading3"/>
        <w:rPr>
          <w:rFonts w:eastAsia="Times New Roman"/>
        </w:rPr>
      </w:pPr>
      <w:bookmarkStart w:id="69" w:name="_Toc39502062"/>
      <w:r w:rsidRPr="00465302">
        <w:rPr>
          <w:rFonts w:eastAsia="Times New Roman"/>
        </w:rPr>
        <w:t xml:space="preserve">3.3.2 </w:t>
      </w:r>
      <w:r w:rsidR="00A5237A" w:rsidRPr="00465302">
        <w:rPr>
          <w:rFonts w:eastAsia="Times New Roman"/>
        </w:rPr>
        <w:t xml:space="preserve">Prediction of </w:t>
      </w:r>
      <w:r w:rsidR="001C795B" w:rsidRPr="00465302">
        <w:rPr>
          <w:rFonts w:eastAsia="Times New Roman"/>
        </w:rPr>
        <w:t>V</w:t>
      </w:r>
      <w:r w:rsidR="00A5237A" w:rsidRPr="00465302">
        <w:rPr>
          <w:rFonts w:eastAsia="Times New Roman"/>
        </w:rPr>
        <w:t xml:space="preserve">ascular </w:t>
      </w:r>
      <w:r w:rsidR="001C795B" w:rsidRPr="00465302">
        <w:rPr>
          <w:rFonts w:eastAsia="Times New Roman"/>
        </w:rPr>
        <w:t>T</w:t>
      </w:r>
      <w:r w:rsidR="00A5237A" w:rsidRPr="00465302">
        <w:rPr>
          <w:rFonts w:eastAsia="Times New Roman"/>
        </w:rPr>
        <w:t xml:space="preserve">oxicity of </w:t>
      </w:r>
      <w:r w:rsidR="001C795B" w:rsidRPr="00465302">
        <w:rPr>
          <w:rFonts w:eastAsia="Times New Roman"/>
        </w:rPr>
        <w:t>N</w:t>
      </w:r>
      <w:r w:rsidR="00A5237A" w:rsidRPr="00465302">
        <w:rPr>
          <w:rFonts w:eastAsia="Times New Roman"/>
        </w:rPr>
        <w:t xml:space="preserve">ew </w:t>
      </w:r>
      <w:r w:rsidR="001C795B" w:rsidRPr="00465302">
        <w:rPr>
          <w:rFonts w:eastAsia="Times New Roman"/>
        </w:rPr>
        <w:t>C</w:t>
      </w:r>
      <w:r w:rsidR="00A5237A" w:rsidRPr="00465302">
        <w:rPr>
          <w:rFonts w:eastAsia="Times New Roman"/>
        </w:rPr>
        <w:t>ompounds</w:t>
      </w:r>
      <w:bookmarkEnd w:id="69"/>
    </w:p>
    <w:p w14:paraId="5CCAC6E1" w14:textId="56A48F04" w:rsidR="00A5237A" w:rsidRPr="004A6CDF" w:rsidRDefault="0042111F" w:rsidP="00242745">
      <w:pPr>
        <w:spacing w:before="0" w:line="480" w:lineRule="auto"/>
        <w:jc w:val="both"/>
        <w:rPr>
          <w:rFonts w:eastAsia="Times New Roman" w:cs="Times New Roman"/>
          <w:szCs w:val="24"/>
        </w:rPr>
      </w:pPr>
      <w:r w:rsidRPr="00465302">
        <w:rPr>
          <w:rFonts w:cs="Times New Roman"/>
          <w:color w:val="000000"/>
          <w:szCs w:val="24"/>
        </w:rPr>
        <w:t xml:space="preserve">Based on the </w:t>
      </w:r>
      <w:r w:rsidRPr="00465302">
        <w:rPr>
          <w:rFonts w:cs="Times New Roman"/>
          <w:i/>
          <w:color w:val="000000"/>
          <w:szCs w:val="24"/>
        </w:rPr>
        <w:t>in vitro</w:t>
      </w:r>
      <w:r w:rsidRPr="00465302">
        <w:rPr>
          <w:rFonts w:cs="Times New Roman"/>
          <w:color w:val="000000"/>
          <w:szCs w:val="24"/>
        </w:rPr>
        <w:t xml:space="preserve"> assay targets, the identified VDCs affect multiple pathways of </w:t>
      </w:r>
      <w:r w:rsidR="00A54E02" w:rsidRPr="00465302">
        <w:rPr>
          <w:rFonts w:cs="Times New Roman"/>
          <w:color w:val="000000"/>
          <w:szCs w:val="24"/>
        </w:rPr>
        <w:t xml:space="preserve">which </w:t>
      </w:r>
      <w:r w:rsidR="009A02CD" w:rsidRPr="00465302">
        <w:rPr>
          <w:rFonts w:cs="Times New Roman"/>
          <w:color w:val="000000"/>
          <w:szCs w:val="24"/>
        </w:rPr>
        <w:t>many are known to be involved in vascular development</w:t>
      </w:r>
      <w:r w:rsidRPr="00465302">
        <w:rPr>
          <w:rFonts w:cs="Times New Roman"/>
          <w:color w:val="000000"/>
          <w:szCs w:val="24"/>
        </w:rPr>
        <w:t xml:space="preserve">. We hypothesized that if a compound affects these </w:t>
      </w:r>
      <w:r w:rsidR="009A02CD" w:rsidRPr="00465302">
        <w:rPr>
          <w:rFonts w:cs="Times New Roman"/>
          <w:color w:val="000000"/>
          <w:szCs w:val="24"/>
        </w:rPr>
        <w:t>vascular</w:t>
      </w:r>
      <w:r w:rsidRPr="00465302">
        <w:rPr>
          <w:rFonts w:cs="Times New Roman"/>
          <w:color w:val="000000"/>
          <w:szCs w:val="24"/>
        </w:rPr>
        <w:t xml:space="preserve"> </w:t>
      </w:r>
      <w:r w:rsidRPr="00465302">
        <w:rPr>
          <w:rFonts w:cs="Times New Roman"/>
          <w:i/>
          <w:color w:val="000000"/>
          <w:szCs w:val="24"/>
        </w:rPr>
        <w:t>in vitro</w:t>
      </w:r>
      <w:r w:rsidRPr="00465302">
        <w:rPr>
          <w:rFonts w:cs="Times New Roman"/>
          <w:color w:val="000000"/>
          <w:szCs w:val="24"/>
        </w:rPr>
        <w:t xml:space="preserve"> endpoints, then it could potentially be a</w:t>
      </w:r>
      <w:r w:rsidR="009A02CD" w:rsidRPr="00465302">
        <w:rPr>
          <w:rFonts w:cs="Times New Roman"/>
          <w:color w:val="000000"/>
          <w:szCs w:val="24"/>
        </w:rPr>
        <w:t xml:space="preserve"> specific</w:t>
      </w:r>
      <w:r w:rsidRPr="00465302">
        <w:rPr>
          <w:rFonts w:cs="Times New Roman"/>
          <w:color w:val="000000"/>
          <w:szCs w:val="24"/>
        </w:rPr>
        <w:t xml:space="preserve"> </w:t>
      </w:r>
      <w:r w:rsidR="009A02CD" w:rsidRPr="00465302">
        <w:rPr>
          <w:rFonts w:cs="Times New Roman"/>
          <w:color w:val="000000"/>
          <w:szCs w:val="24"/>
        </w:rPr>
        <w:t>ISV-VDC</w:t>
      </w:r>
      <w:r w:rsidRPr="00465302">
        <w:rPr>
          <w:rFonts w:cs="Times New Roman"/>
          <w:color w:val="000000"/>
          <w:szCs w:val="24"/>
        </w:rPr>
        <w:t xml:space="preserve"> </w:t>
      </w:r>
      <w:r w:rsidRPr="00465302">
        <w:rPr>
          <w:rFonts w:cs="Times New Roman"/>
          <w:i/>
          <w:color w:val="000000"/>
          <w:szCs w:val="24"/>
        </w:rPr>
        <w:t>in vivo</w:t>
      </w:r>
      <w:r w:rsidRPr="00465302">
        <w:rPr>
          <w:rFonts w:cs="Times New Roman"/>
          <w:color w:val="000000"/>
          <w:szCs w:val="24"/>
        </w:rPr>
        <w:t xml:space="preserve">. </w:t>
      </w:r>
      <w:r w:rsidR="007F2930" w:rsidRPr="00465302">
        <w:rPr>
          <w:rFonts w:cs="Times New Roman"/>
          <w:color w:val="000000"/>
          <w:szCs w:val="24"/>
        </w:rPr>
        <w:t xml:space="preserve">To rank </w:t>
      </w:r>
      <w:r w:rsidRPr="00465302">
        <w:rPr>
          <w:rFonts w:cs="Times New Roman"/>
          <w:color w:val="000000"/>
          <w:szCs w:val="24"/>
        </w:rPr>
        <w:t xml:space="preserve">ToxCast </w:t>
      </w:r>
      <w:r w:rsidR="007F2930" w:rsidRPr="00465302">
        <w:rPr>
          <w:rFonts w:cs="Times New Roman"/>
          <w:color w:val="000000"/>
          <w:szCs w:val="24"/>
        </w:rPr>
        <w:t xml:space="preserve">compounds, </w:t>
      </w:r>
      <w:r w:rsidR="009A02CD" w:rsidRPr="00465302">
        <w:rPr>
          <w:rFonts w:cs="Times New Roman"/>
          <w:color w:val="000000"/>
          <w:szCs w:val="24"/>
        </w:rPr>
        <w:t xml:space="preserve">the nineteen </w:t>
      </w:r>
      <w:r w:rsidRPr="00465302">
        <w:rPr>
          <w:rFonts w:cs="Times New Roman"/>
          <w:color w:val="000000"/>
          <w:szCs w:val="24"/>
        </w:rPr>
        <w:t xml:space="preserve">assays were used. All the ToxCast Phase I and Phase II compounds were ranked based on their bioactivity </w:t>
      </w:r>
      <w:r w:rsidR="009A02CD" w:rsidRPr="00465302">
        <w:rPr>
          <w:rFonts w:cs="Times New Roman"/>
          <w:color w:val="000000"/>
          <w:szCs w:val="24"/>
        </w:rPr>
        <w:t>for</w:t>
      </w:r>
      <w:r w:rsidRPr="00465302">
        <w:rPr>
          <w:rFonts w:cs="Times New Roman"/>
          <w:color w:val="000000"/>
          <w:szCs w:val="24"/>
        </w:rPr>
        <w:t xml:space="preserve"> the </w:t>
      </w:r>
      <w:r w:rsidRPr="00465302">
        <w:rPr>
          <w:rFonts w:cs="Times New Roman"/>
          <w:i/>
          <w:color w:val="000000"/>
          <w:szCs w:val="24"/>
        </w:rPr>
        <w:t>in vitro</w:t>
      </w:r>
      <w:r w:rsidRPr="00465302">
        <w:rPr>
          <w:rFonts w:cs="Times New Roman"/>
          <w:color w:val="000000"/>
          <w:szCs w:val="24"/>
        </w:rPr>
        <w:t xml:space="preserve"> endpoints that correlated with zebrafish </w:t>
      </w:r>
      <w:r w:rsidR="009A02CD" w:rsidRPr="00465302">
        <w:rPr>
          <w:rFonts w:cs="Times New Roman"/>
          <w:color w:val="000000"/>
          <w:szCs w:val="24"/>
        </w:rPr>
        <w:t>VDC</w:t>
      </w:r>
      <w:r w:rsidRPr="00465302">
        <w:rPr>
          <w:rFonts w:cs="Times New Roman"/>
          <w:color w:val="000000"/>
          <w:szCs w:val="24"/>
        </w:rPr>
        <w:t xml:space="preserve">s. </w:t>
      </w:r>
      <w:r w:rsidR="00A5237A" w:rsidRPr="00465302">
        <w:rPr>
          <w:rFonts w:eastAsia="Times New Roman" w:cs="Times New Roman"/>
          <w:color w:val="000000"/>
          <w:szCs w:val="24"/>
        </w:rPr>
        <w:t xml:space="preserve">The top </w:t>
      </w:r>
      <w:r w:rsidR="0062652F">
        <w:rPr>
          <w:rFonts w:eastAsia="Times New Roman" w:cs="Times New Roman"/>
          <w:color w:val="000000"/>
          <w:szCs w:val="24"/>
        </w:rPr>
        <w:t>five</w:t>
      </w:r>
      <w:r w:rsidR="00A5237A" w:rsidRPr="00465302">
        <w:rPr>
          <w:rFonts w:eastAsia="Times New Roman" w:cs="Times New Roman"/>
          <w:color w:val="000000"/>
          <w:szCs w:val="24"/>
        </w:rPr>
        <w:t xml:space="preserve"> ranked compounds that have not yet been tested for ISV-VDC effects</w:t>
      </w:r>
      <w:r w:rsidR="007F2930" w:rsidRPr="00465302">
        <w:rPr>
          <w:rFonts w:eastAsia="Times New Roman" w:cs="Times New Roman"/>
          <w:color w:val="000000"/>
          <w:szCs w:val="24"/>
        </w:rPr>
        <w:t>, but</w:t>
      </w:r>
      <w:r w:rsidR="00A5237A" w:rsidRPr="00465302">
        <w:rPr>
          <w:rFonts w:eastAsia="Times New Roman" w:cs="Times New Roman"/>
          <w:color w:val="000000"/>
          <w:szCs w:val="24"/>
        </w:rPr>
        <w:t xml:space="preserve"> will be tested in both zebrafish and HUVEC assays and the results will be compared to </w:t>
      </w:r>
      <w:r w:rsidR="0062652F">
        <w:rPr>
          <w:rFonts w:eastAsia="Times New Roman" w:cs="Times New Roman"/>
          <w:color w:val="000000"/>
          <w:szCs w:val="24"/>
        </w:rPr>
        <w:t>two</w:t>
      </w:r>
      <w:r w:rsidR="00A5237A" w:rsidRPr="00465302">
        <w:rPr>
          <w:rFonts w:eastAsia="Times New Roman" w:cs="Times New Roman"/>
          <w:color w:val="000000"/>
          <w:szCs w:val="24"/>
        </w:rPr>
        <w:t xml:space="preserve"> compounds predicted to be non-VDCs. In conclusion, we have now ranked ToxCast compounds based on vascular disruption capacity, and this ranking list can be used to prioritize chemicals for further testing in small animal organisms or rodents. More importantly, we suggest a pipeline for </w:t>
      </w:r>
      <w:r w:rsidR="00F9340B" w:rsidRPr="00465302">
        <w:rPr>
          <w:rFonts w:eastAsia="Times New Roman" w:cs="Times New Roman"/>
          <w:color w:val="000000"/>
          <w:szCs w:val="24"/>
        </w:rPr>
        <w:t xml:space="preserve">the </w:t>
      </w:r>
      <w:r w:rsidR="00A5237A" w:rsidRPr="00465302">
        <w:rPr>
          <w:rFonts w:eastAsia="Times New Roman" w:cs="Times New Roman"/>
          <w:color w:val="000000"/>
          <w:szCs w:val="24"/>
        </w:rPr>
        <w:t xml:space="preserve">identification and prediction of toxic compounds. By using a low-to-medium </w:t>
      </w:r>
      <w:r w:rsidR="00A5237A" w:rsidRPr="00465302">
        <w:rPr>
          <w:rFonts w:eastAsia="Times New Roman" w:cs="Times New Roman"/>
          <w:color w:val="000000"/>
          <w:szCs w:val="24"/>
        </w:rPr>
        <w:lastRenderedPageBreak/>
        <w:t xml:space="preserve">throughput </w:t>
      </w:r>
      <w:r w:rsidR="00A5237A" w:rsidRPr="00465302">
        <w:rPr>
          <w:rFonts w:eastAsia="Times New Roman" w:cs="Times New Roman"/>
          <w:i/>
          <w:iCs/>
          <w:color w:val="000000"/>
          <w:szCs w:val="24"/>
        </w:rPr>
        <w:t>in vivo</w:t>
      </w:r>
      <w:r w:rsidR="00A5237A" w:rsidRPr="00465302">
        <w:rPr>
          <w:rFonts w:eastAsia="Times New Roman" w:cs="Times New Roman"/>
          <w:color w:val="000000"/>
          <w:szCs w:val="24"/>
        </w:rPr>
        <w:t xml:space="preserve"> assay or complex </w:t>
      </w:r>
      <w:r w:rsidR="00A5237A" w:rsidRPr="00465302">
        <w:rPr>
          <w:rFonts w:eastAsia="Times New Roman" w:cs="Times New Roman"/>
          <w:i/>
          <w:iCs/>
          <w:color w:val="000000"/>
          <w:szCs w:val="24"/>
        </w:rPr>
        <w:t>in vitro</w:t>
      </w:r>
      <w:r w:rsidR="00A5237A" w:rsidRPr="00465302">
        <w:rPr>
          <w:rFonts w:eastAsia="Times New Roman" w:cs="Times New Roman"/>
          <w:color w:val="000000"/>
          <w:szCs w:val="24"/>
        </w:rPr>
        <w:t xml:space="preserve"> assay to screen a subset of chemicals, a phenotype-specific profile of correlating ToxCast assays can be obtained and further used to rank and predict toxicants tested in the Tox21 project. We propose that using such a pipeline in combination with increasing the number of chemicals tested in Tox21 will significantly speed up prioritization for further testing of the large number </w:t>
      </w:r>
      <w:r w:rsidR="006A3A9C" w:rsidRPr="00465302">
        <w:rPr>
          <w:rFonts w:eastAsia="Times New Roman" w:cs="Times New Roman"/>
          <w:color w:val="000000"/>
          <w:szCs w:val="24"/>
        </w:rPr>
        <w:t xml:space="preserve">of </w:t>
      </w:r>
      <w:r w:rsidR="00A5237A" w:rsidRPr="00465302">
        <w:rPr>
          <w:rFonts w:eastAsia="Times New Roman" w:cs="Times New Roman"/>
          <w:color w:val="000000"/>
          <w:szCs w:val="24"/>
        </w:rPr>
        <w:t>chemicals present in our environment.</w:t>
      </w:r>
    </w:p>
    <w:p w14:paraId="6A3C9C93" w14:textId="77777777" w:rsidR="00A5237A" w:rsidRPr="004A6CDF" w:rsidRDefault="00A5237A" w:rsidP="00A5237A">
      <w:pPr>
        <w:jc w:val="both"/>
        <w:rPr>
          <w:rFonts w:cs="Times New Roman"/>
        </w:rPr>
      </w:pPr>
    </w:p>
    <w:p w14:paraId="253D4DB8" w14:textId="77777777" w:rsidR="0069328F" w:rsidRDefault="0069328F">
      <w:pPr>
        <w:pStyle w:val="Heading2"/>
      </w:pPr>
    </w:p>
    <w:p w14:paraId="6577DA31" w14:textId="77777777" w:rsidR="0069328F" w:rsidRDefault="0069328F">
      <w:pPr>
        <w:pStyle w:val="Heading2"/>
      </w:pPr>
    </w:p>
    <w:p w14:paraId="0C34B6D7" w14:textId="37AAD6E1" w:rsidR="00E307C6" w:rsidRDefault="00E307C6" w:rsidP="00A5237A">
      <w:pPr>
        <w:jc w:val="both"/>
        <w:rPr>
          <w:szCs w:val="24"/>
        </w:rPr>
      </w:pPr>
    </w:p>
    <w:p w14:paraId="30023DB5" w14:textId="7DDF74BA" w:rsidR="00AE23C6" w:rsidRDefault="00AE23C6" w:rsidP="00A5237A">
      <w:pPr>
        <w:jc w:val="both"/>
        <w:rPr>
          <w:szCs w:val="24"/>
        </w:rPr>
      </w:pPr>
    </w:p>
    <w:p w14:paraId="008E01AE" w14:textId="62E3184C" w:rsidR="00A5237A" w:rsidRDefault="00A5237A" w:rsidP="00A5237A">
      <w:pPr>
        <w:jc w:val="both"/>
        <w:rPr>
          <w:szCs w:val="24"/>
        </w:rPr>
      </w:pPr>
    </w:p>
    <w:p w14:paraId="3D27FC45" w14:textId="4205AE25" w:rsidR="00A5237A" w:rsidRDefault="00A5237A" w:rsidP="00A5237A">
      <w:pPr>
        <w:jc w:val="both"/>
        <w:rPr>
          <w:szCs w:val="24"/>
        </w:rPr>
      </w:pPr>
    </w:p>
    <w:p w14:paraId="6EF69B6E" w14:textId="77777777" w:rsidR="00A5237A" w:rsidRDefault="00A5237A" w:rsidP="00A5237A">
      <w:pPr>
        <w:jc w:val="both"/>
        <w:rPr>
          <w:szCs w:val="24"/>
        </w:rPr>
      </w:pPr>
    </w:p>
    <w:p w14:paraId="0F9DE8FC" w14:textId="1122BD88" w:rsidR="00AE23C6" w:rsidRDefault="00AE23C6" w:rsidP="00A5237A">
      <w:pPr>
        <w:jc w:val="both"/>
        <w:rPr>
          <w:szCs w:val="24"/>
        </w:rPr>
      </w:pPr>
    </w:p>
    <w:p w14:paraId="7CCDC36C" w14:textId="7CCF0F33" w:rsidR="00A5237A" w:rsidRDefault="00A5237A" w:rsidP="00A5237A">
      <w:pPr>
        <w:jc w:val="both"/>
        <w:rPr>
          <w:szCs w:val="24"/>
        </w:rPr>
      </w:pPr>
    </w:p>
    <w:p w14:paraId="2E87193B" w14:textId="0FDFB019" w:rsidR="00A5237A" w:rsidRDefault="00A5237A" w:rsidP="00A5237A">
      <w:pPr>
        <w:jc w:val="both"/>
        <w:rPr>
          <w:szCs w:val="24"/>
        </w:rPr>
      </w:pPr>
    </w:p>
    <w:p w14:paraId="13736363" w14:textId="4CB87833" w:rsidR="00A5237A" w:rsidRDefault="00A5237A" w:rsidP="00A5237A">
      <w:pPr>
        <w:jc w:val="both"/>
        <w:rPr>
          <w:szCs w:val="24"/>
        </w:rPr>
      </w:pPr>
    </w:p>
    <w:p w14:paraId="5BE80EF2" w14:textId="7092529F" w:rsidR="00A5237A" w:rsidRDefault="00A5237A" w:rsidP="00A5237A">
      <w:pPr>
        <w:jc w:val="both"/>
        <w:rPr>
          <w:szCs w:val="24"/>
        </w:rPr>
      </w:pPr>
    </w:p>
    <w:p w14:paraId="38788F81" w14:textId="04261784" w:rsidR="00A5237A" w:rsidRDefault="00A5237A" w:rsidP="00A5237A">
      <w:pPr>
        <w:jc w:val="both"/>
        <w:rPr>
          <w:szCs w:val="24"/>
        </w:rPr>
      </w:pPr>
    </w:p>
    <w:p w14:paraId="4460D9A7" w14:textId="4612D478" w:rsidR="00A5237A" w:rsidRDefault="00A5237A" w:rsidP="00A5237A">
      <w:pPr>
        <w:jc w:val="both"/>
        <w:rPr>
          <w:szCs w:val="24"/>
        </w:rPr>
      </w:pPr>
    </w:p>
    <w:p w14:paraId="5B6DCD5E" w14:textId="1E6C7DD2" w:rsidR="00A5237A" w:rsidRDefault="00A5237A" w:rsidP="00A5237A">
      <w:pPr>
        <w:jc w:val="both"/>
        <w:rPr>
          <w:szCs w:val="24"/>
        </w:rPr>
      </w:pPr>
    </w:p>
    <w:p w14:paraId="4F05B9CE" w14:textId="29B5E06A" w:rsidR="00E044A7" w:rsidRDefault="00E044A7" w:rsidP="00A5237A">
      <w:pPr>
        <w:jc w:val="both"/>
        <w:rPr>
          <w:szCs w:val="24"/>
        </w:rPr>
      </w:pPr>
    </w:p>
    <w:p w14:paraId="416F0E69" w14:textId="5C88AC0F" w:rsidR="00E044A7" w:rsidRDefault="00E044A7" w:rsidP="00A5237A">
      <w:pPr>
        <w:jc w:val="both"/>
        <w:rPr>
          <w:szCs w:val="24"/>
        </w:rPr>
      </w:pPr>
    </w:p>
    <w:p w14:paraId="023D9418" w14:textId="4E430A31" w:rsidR="00E044A7" w:rsidRDefault="00E044A7" w:rsidP="00A5237A">
      <w:pPr>
        <w:jc w:val="both"/>
        <w:rPr>
          <w:szCs w:val="24"/>
        </w:rPr>
      </w:pPr>
    </w:p>
    <w:p w14:paraId="7CEACED7" w14:textId="77777777" w:rsidR="00E044A7" w:rsidRDefault="00E044A7" w:rsidP="00A5237A">
      <w:pPr>
        <w:jc w:val="both"/>
        <w:rPr>
          <w:szCs w:val="24"/>
        </w:rPr>
      </w:pPr>
    </w:p>
    <w:p w14:paraId="7F35C7B9" w14:textId="77777777" w:rsidR="00E044A7" w:rsidRDefault="00E044A7" w:rsidP="00A5237A">
      <w:pPr>
        <w:jc w:val="both"/>
        <w:rPr>
          <w:szCs w:val="24"/>
        </w:rPr>
      </w:pPr>
    </w:p>
    <w:p w14:paraId="5EAD17F8" w14:textId="77777777" w:rsidR="00414FF8" w:rsidRPr="00AE23C6" w:rsidRDefault="00414FF8" w:rsidP="00A5237A">
      <w:pPr>
        <w:jc w:val="both"/>
        <w:rPr>
          <w:szCs w:val="24"/>
        </w:rPr>
      </w:pPr>
    </w:p>
    <w:p w14:paraId="5D56FD97" w14:textId="7C4C7467" w:rsidR="00E307C6" w:rsidRPr="00D70616" w:rsidRDefault="00AD7256" w:rsidP="00003E36">
      <w:pPr>
        <w:pStyle w:val="Heading1"/>
      </w:pPr>
      <w:bookmarkStart w:id="70" w:name="_Toc39502063"/>
      <w:r w:rsidRPr="00D70616">
        <w:t xml:space="preserve">CHAPTER 4: </w:t>
      </w:r>
      <w:r>
        <w:t>MATERIAL</w:t>
      </w:r>
      <w:r w:rsidR="00337FEB">
        <w:t>S</w:t>
      </w:r>
      <w:r>
        <w:t xml:space="preserve"> AND METHODS</w:t>
      </w:r>
      <w:bookmarkEnd w:id="70"/>
    </w:p>
    <w:p w14:paraId="6D4B7F7E" w14:textId="1E4C5D3A" w:rsidR="00E307C6" w:rsidRDefault="00E307C6" w:rsidP="00A5237A">
      <w:pPr>
        <w:jc w:val="both"/>
      </w:pPr>
    </w:p>
    <w:p w14:paraId="72A1449F" w14:textId="2FD27DB3" w:rsidR="00A5237A" w:rsidRDefault="00A5237A" w:rsidP="00A5237A">
      <w:pPr>
        <w:jc w:val="both"/>
      </w:pPr>
    </w:p>
    <w:p w14:paraId="392D1245" w14:textId="77777777" w:rsidR="00A5237A" w:rsidRDefault="00A5237A" w:rsidP="00A5237A">
      <w:pPr>
        <w:jc w:val="both"/>
      </w:pPr>
    </w:p>
    <w:p w14:paraId="0466E55C" w14:textId="77777777" w:rsidR="00E307C6" w:rsidRDefault="00E307C6" w:rsidP="00A5237A">
      <w:pPr>
        <w:jc w:val="both"/>
      </w:pPr>
    </w:p>
    <w:p w14:paraId="7A79B324" w14:textId="77777777" w:rsidR="00E307C6" w:rsidRDefault="00E307C6" w:rsidP="00A5237A">
      <w:pPr>
        <w:jc w:val="both"/>
      </w:pPr>
    </w:p>
    <w:p w14:paraId="29DA592D" w14:textId="77777777" w:rsidR="00E307C6" w:rsidRDefault="00E307C6" w:rsidP="00A5237A">
      <w:pPr>
        <w:jc w:val="both"/>
      </w:pPr>
    </w:p>
    <w:p w14:paraId="00012664" w14:textId="77777777" w:rsidR="00E307C6" w:rsidRDefault="00E307C6" w:rsidP="00A5237A">
      <w:pPr>
        <w:jc w:val="both"/>
      </w:pPr>
    </w:p>
    <w:p w14:paraId="472A6E85" w14:textId="6D8D4863" w:rsidR="00E307C6" w:rsidRDefault="00E307C6" w:rsidP="00A5237A">
      <w:pPr>
        <w:jc w:val="both"/>
      </w:pPr>
    </w:p>
    <w:p w14:paraId="5FB91FA8" w14:textId="77777777" w:rsidR="00A54E02" w:rsidRDefault="00A54E02">
      <w:pPr>
        <w:spacing w:before="0" w:after="160" w:line="259" w:lineRule="auto"/>
        <w:rPr>
          <w:rFonts w:eastAsiaTheme="majorEastAsia" w:cs="Times New Roman"/>
          <w:b/>
          <w:color w:val="0E101A"/>
          <w:sz w:val="28"/>
          <w:szCs w:val="28"/>
        </w:rPr>
      </w:pPr>
      <w:r>
        <w:br w:type="page"/>
      </w:r>
    </w:p>
    <w:p w14:paraId="6CFA6D56" w14:textId="4CC2941E" w:rsidR="00364732" w:rsidRPr="00465302" w:rsidRDefault="00140CD7">
      <w:pPr>
        <w:pStyle w:val="Heading2"/>
      </w:pPr>
      <w:bookmarkStart w:id="71" w:name="_Toc39502064"/>
      <w:r w:rsidRPr="00465302">
        <w:lastRenderedPageBreak/>
        <w:t>4.1 ZEBRAFISH LINE, HUSBANDRY AND BREEDING</w:t>
      </w:r>
      <w:bookmarkEnd w:id="71"/>
    </w:p>
    <w:p w14:paraId="5E417B3E" w14:textId="27E78DF9" w:rsidR="00364732" w:rsidRPr="00465302" w:rsidRDefault="00364732" w:rsidP="00242745">
      <w:pPr>
        <w:autoSpaceDE w:val="0"/>
        <w:autoSpaceDN w:val="0"/>
        <w:adjustRightInd w:val="0"/>
        <w:spacing w:before="0" w:line="480" w:lineRule="auto"/>
        <w:jc w:val="both"/>
        <w:rPr>
          <w:rFonts w:cs="Times New Roman"/>
          <w:szCs w:val="24"/>
        </w:rPr>
      </w:pPr>
      <w:r w:rsidRPr="00465302">
        <w:rPr>
          <w:rFonts w:cs="Times New Roman"/>
          <w:szCs w:val="24"/>
        </w:rPr>
        <w:t>Zebrafish were reared and maintained according to the protocols approved by the Institutional Animal Care and Use Committees at the University of Houston and Indiana University. The fish were housed at 28.5</w:t>
      </w:r>
      <w:r w:rsidR="003C7A73">
        <w:rPr>
          <w:rFonts w:cs="Times New Roman"/>
          <w:szCs w:val="24"/>
        </w:rPr>
        <w:t xml:space="preserve"> </w:t>
      </w:r>
      <w:r w:rsidRPr="00465302">
        <w:rPr>
          <w:rFonts w:cs="Times New Roman"/>
          <w:szCs w:val="24"/>
        </w:rPr>
        <w:t xml:space="preserve">°C on 14h/10h light/dark cycles. </w:t>
      </w:r>
      <w:r w:rsidR="00B52A7A" w:rsidRPr="00465302">
        <w:rPr>
          <w:rFonts w:cs="Times New Roman"/>
          <w:szCs w:val="24"/>
        </w:rPr>
        <w:t xml:space="preserve">For </w:t>
      </w:r>
      <w:r w:rsidR="006A3A9C" w:rsidRPr="00465302">
        <w:rPr>
          <w:rFonts w:cs="Times New Roman"/>
          <w:szCs w:val="24"/>
        </w:rPr>
        <w:t>the PLLD project</w:t>
      </w:r>
      <w:r w:rsidR="00B52A7A" w:rsidRPr="00465302">
        <w:rPr>
          <w:rFonts w:cs="Times New Roman"/>
          <w:szCs w:val="24"/>
        </w:rPr>
        <w:t>, w</w:t>
      </w:r>
      <w:r w:rsidRPr="00465302">
        <w:rPr>
          <w:rFonts w:cs="Times New Roman"/>
          <w:szCs w:val="24"/>
        </w:rPr>
        <w:t xml:space="preserve">e used transgenic fish line </w:t>
      </w:r>
      <w:r w:rsidRPr="00465302">
        <w:rPr>
          <w:rFonts w:cs="Times New Roman"/>
          <w:color w:val="auto"/>
          <w:szCs w:val="24"/>
        </w:rPr>
        <w:t xml:space="preserve">GW57A </w:t>
      </w:r>
      <w:r w:rsidRPr="00465302">
        <w:rPr>
          <w:rFonts w:cs="Times New Roman"/>
          <w:color w:val="auto"/>
          <w:szCs w:val="24"/>
        </w:rPr>
        <w:fldChar w:fldCharType="begin" w:fldLock="1"/>
      </w:r>
      <w:r w:rsidRPr="00465302">
        <w:rPr>
          <w:rFonts w:cs="Times New Roman"/>
          <w:color w:val="auto"/>
          <w:szCs w:val="24"/>
        </w:rPr>
        <w:instrText>ADDIN CSL_CITATION {"citationItems":[{"id":"ITEM-1","itemData":{"DOI":"10.1089/zeb.2011.0718","ISSN":"1545-8547","abstract":"Abstract Our first Zebrafish Enhancer TRAP lines database (ZETRAP) generated a few years ago was a web-based system informing the scientific community about the developmental, genetic, and genomic aspects of transgenic zebrafish lines expressing the cytosolic version of EGFP. These transgenic lines were obtained in a primary screen using Tol2 transposon-mediated transgenesis. Following that, several hundreds transgenics were generated by a systematic ?rejump? of the transposon from the two distinct genomic sites. This collection was expanded further by generation of transgenics expressing the membrane-tethered version of a novel red protein KillerRed. These KR transgenics are useful not only to complement the cytosolic GFP in compound GFP/KR transgenics for improved bioimaging. They also could be used to affect cells physiology by tissue-specific optogenetic generation of reactive oxygen species. We have compiled the genomic data and expression patterns of these novel ET transgenic lines in an updated online database?the Zebrafish Enhancer TRAP lines database version 2.0 (ZETRAP 2.0). This improved and expanded version contains the sequence of regions flanking the insertion sites, links to genes in zebrafish genome, and confocal images of embryos/larvae of these transgenics.","author":[{"dropping-particle":"","family":"Kondrychyn","given":"Igor","non-dropping-particle":"","parse-names":false,"suffix":""},{"dropping-particle":"","family":"Teh","given":"Cathleen","non-dropping-particle":"","parse-names":false,"suffix":""},{"dropping-particle":"","family":"Garcia-Lecea","given":"Marta","non-dropping-particle":"","parse-names":false,"suffix":""},{"dropping-particle":"","family":"Guan","given":"Youxin","non-dropping-particle":"","parse-names":false,"suffix":""},{"dropping-particle":"","family":"Kang","given":"Ann","non-dropping-particle":"","parse-names":false,"suffix":""},{"dropping-particle":"","family":"Korzh","given":"Vladimir","non-dropping-particle":"","parse-names":false,"suffix":""}],"container-title":"Zebrafish","id":"ITEM-1","issue":"4","issued":{"date-parts":[["2011","12","1"]]},"note":"doi: 10.1089/zeb.2011.0718","page":"181-182","publisher":"Mary Ann Liebert, Inc., publishers","title":"Zebrafish Enhancer TRAP Transgenic Line Database ZETRAP 2.0","type":"article-journal","volume":"8"},"uris":["http://www.mendeley.com/documents/?uuid=503fc903-02f2-4cf4-b868-d9d2680dc6c9"]}],"mendeley":{"formattedCitation":"(Kondrychyn &lt;i&gt;et al.&lt;/i&gt;, 2011)","plainTextFormattedCitation":"(Kondrychyn et al., 2011)","previouslyFormattedCitation":"(Kondrychyn &lt;i&gt;et al.&lt;/i&gt;, 2011)"},"properties":{"noteIndex":0},"schema":"https://github.com/citation-style-language/schema/raw/master/csl-citation.json"}</w:instrText>
      </w:r>
      <w:r w:rsidRPr="00465302">
        <w:rPr>
          <w:rFonts w:cs="Times New Roman"/>
          <w:color w:val="auto"/>
          <w:szCs w:val="24"/>
        </w:rPr>
        <w:fldChar w:fldCharType="separate"/>
      </w:r>
      <w:r w:rsidRPr="00465302">
        <w:rPr>
          <w:rFonts w:cs="Times New Roman"/>
          <w:noProof/>
          <w:color w:val="auto"/>
          <w:szCs w:val="24"/>
        </w:rPr>
        <w:t xml:space="preserve">(Kondrychyn </w:t>
      </w:r>
      <w:r w:rsidRPr="00465302">
        <w:rPr>
          <w:rFonts w:cs="Times New Roman"/>
          <w:i/>
          <w:noProof/>
          <w:color w:val="auto"/>
          <w:szCs w:val="24"/>
        </w:rPr>
        <w:t>et al.</w:t>
      </w:r>
      <w:r w:rsidRPr="00465302">
        <w:rPr>
          <w:rFonts w:cs="Times New Roman"/>
          <w:noProof/>
          <w:color w:val="auto"/>
          <w:szCs w:val="24"/>
        </w:rPr>
        <w:t>, 2011)</w:t>
      </w:r>
      <w:r w:rsidRPr="00465302">
        <w:rPr>
          <w:rFonts w:cs="Times New Roman"/>
          <w:color w:val="auto"/>
          <w:szCs w:val="24"/>
        </w:rPr>
        <w:fldChar w:fldCharType="end"/>
      </w:r>
      <w:r w:rsidRPr="00465302">
        <w:rPr>
          <w:rFonts w:cs="Times New Roman"/>
          <w:szCs w:val="24"/>
        </w:rPr>
        <w:t xml:space="preserve"> (Vladimir Korzh, Institute of Molecular and Cell Biology (IMCB), Singapore) (referred to here as </w:t>
      </w:r>
      <w:r w:rsidR="009A0B96">
        <w:rPr>
          <w:rFonts w:cs="Times New Roman"/>
          <w:i/>
          <w:iCs/>
          <w:szCs w:val="24"/>
        </w:rPr>
        <w:t>T</w:t>
      </w:r>
      <w:r w:rsidRPr="009A0B96">
        <w:rPr>
          <w:rFonts w:cs="Times New Roman"/>
          <w:i/>
          <w:iCs/>
          <w:szCs w:val="24"/>
        </w:rPr>
        <w:t>g</w:t>
      </w:r>
      <w:r w:rsidR="009A0B96" w:rsidRPr="009A0B96">
        <w:rPr>
          <w:rFonts w:cs="Times New Roman"/>
          <w:i/>
          <w:iCs/>
          <w:szCs w:val="24"/>
        </w:rPr>
        <w:t xml:space="preserve"> </w:t>
      </w:r>
      <w:r w:rsidRPr="00DD79FA">
        <w:rPr>
          <w:rFonts w:cs="Times New Roman"/>
          <w:i/>
          <w:iCs/>
          <w:szCs w:val="24"/>
        </w:rPr>
        <w:t>(neuromast:GFP)</w:t>
      </w:r>
      <w:r w:rsidRPr="00465302">
        <w:rPr>
          <w:rFonts w:cs="Times New Roman"/>
          <w:szCs w:val="24"/>
        </w:rPr>
        <w:t xml:space="preserve">), which has a random transgenic insertion that drives GFP expression in the mature neuromasts. We also used </w:t>
      </w:r>
      <w:r w:rsidR="009A0B96">
        <w:rPr>
          <w:rFonts w:cs="Times New Roman"/>
          <w:i/>
          <w:szCs w:val="24"/>
        </w:rPr>
        <w:t>T</w:t>
      </w:r>
      <w:r w:rsidRPr="009A0B96">
        <w:rPr>
          <w:rFonts w:cs="Times New Roman"/>
          <w:i/>
          <w:szCs w:val="24"/>
        </w:rPr>
        <w:t>g</w:t>
      </w:r>
      <w:r w:rsidR="009A0B96" w:rsidRPr="009A0B96">
        <w:rPr>
          <w:rFonts w:cs="Times New Roman"/>
          <w:i/>
          <w:szCs w:val="24"/>
        </w:rPr>
        <w:t> </w:t>
      </w:r>
      <w:r w:rsidRPr="00DD79FA">
        <w:rPr>
          <w:rFonts w:cs="Times New Roman"/>
          <w:i/>
          <w:szCs w:val="24"/>
        </w:rPr>
        <w:t>(cldnb:gfp)</w:t>
      </w:r>
      <w:r w:rsidRPr="00465302">
        <w:rPr>
          <w:rFonts w:cs="Times New Roman"/>
          <w:szCs w:val="24"/>
        </w:rPr>
        <w:t xml:space="preserve">, expressing GFP in </w:t>
      </w:r>
      <w:r w:rsidRPr="00465302">
        <w:rPr>
          <w:rFonts w:cs="Times New Roman"/>
          <w:color w:val="auto"/>
          <w:szCs w:val="24"/>
        </w:rPr>
        <w:t xml:space="preserve">neuromasts </w:t>
      </w:r>
      <w:r w:rsidRPr="00465302">
        <w:rPr>
          <w:rFonts w:cs="Times New Roman"/>
          <w:color w:val="auto"/>
          <w:szCs w:val="24"/>
        </w:rPr>
        <w:fldChar w:fldCharType="begin" w:fldLock="1"/>
      </w:r>
      <w:r w:rsidRPr="00465302">
        <w:rPr>
          <w:rFonts w:cs="Times New Roman"/>
          <w:color w:val="auto"/>
          <w:szCs w:val="24"/>
        </w:rPr>
        <w:instrText>ADDIN CSL_CITATION {"citationItems":[{"id":"ITEM-1","itemData":{"DOI":"10.1016/j.devcel.2006.02.019","ISSN":"1534-5807","author":[{"dropping-particle":"","family":"Haas","given":"Petra","non-dropping-particle":"","parse-names":false,"suffix":""},{"dropping-particle":"","family":"Gilmour","given":"Darren","non-dropping-particle":"","parse-names":false,"suffix":""}],"container-title":"Developmental Cell","id":"ITEM-1","issue":"5","issued":{"date-parts":[["2006","5","1"]]},"note":"doi: 10.1016/j.devcel.2006.02.019","page":"673-680","publisher":"Elsevier","title":"Chemokine Signaling Mediates Self-Organizing Tissue Migration in the Zebrafish Lateral Line","type":"article-journal","volume":"10"},"uris":["http://www.mendeley.com/documents/?uuid=60f51d58-7c3f-4986-a97c-749e538e9ff9"]}],"mendeley":{"formattedCitation":"(Haas and Gilmour, 2006)","plainTextFormattedCitation":"(Haas and Gilmour, 2006)","previouslyFormattedCitation":"(Haas and Gilmour, 2006)"},"properties":{"noteIndex":0},"schema":"https://github.com/citation-style-language/schema/raw/master/csl-citation.json"}</w:instrText>
      </w:r>
      <w:r w:rsidRPr="00465302">
        <w:rPr>
          <w:rFonts w:cs="Times New Roman"/>
          <w:color w:val="auto"/>
          <w:szCs w:val="24"/>
        </w:rPr>
        <w:fldChar w:fldCharType="separate"/>
      </w:r>
      <w:r w:rsidRPr="00465302">
        <w:rPr>
          <w:rFonts w:cs="Times New Roman"/>
          <w:noProof/>
          <w:color w:val="auto"/>
          <w:szCs w:val="24"/>
        </w:rPr>
        <w:t>(Haas and Gilmour, 2006)</w:t>
      </w:r>
      <w:r w:rsidRPr="00465302">
        <w:rPr>
          <w:rFonts w:cs="Times New Roman"/>
          <w:color w:val="auto"/>
          <w:szCs w:val="24"/>
        </w:rPr>
        <w:fldChar w:fldCharType="end"/>
      </w:r>
      <w:r w:rsidRPr="00465302">
        <w:rPr>
          <w:rFonts w:cs="Times New Roman"/>
          <w:color w:val="auto"/>
          <w:szCs w:val="24"/>
        </w:rPr>
        <w:t xml:space="preserve">. </w:t>
      </w:r>
      <w:r w:rsidR="00B52A7A" w:rsidRPr="00465302">
        <w:rPr>
          <w:rFonts w:cs="Times New Roman"/>
          <w:color w:val="auto"/>
          <w:szCs w:val="24"/>
        </w:rPr>
        <w:t xml:space="preserve">For </w:t>
      </w:r>
      <w:r w:rsidR="006A3A9C" w:rsidRPr="00465302">
        <w:rPr>
          <w:rFonts w:cs="Times New Roman"/>
          <w:szCs w:val="24"/>
        </w:rPr>
        <w:t>the VDC project</w:t>
      </w:r>
      <w:r w:rsidR="00B52A7A" w:rsidRPr="00465302">
        <w:rPr>
          <w:rFonts w:cs="Times New Roman"/>
          <w:szCs w:val="24"/>
        </w:rPr>
        <w:t xml:space="preserve">, </w:t>
      </w:r>
      <w:r w:rsidR="00B52A7A" w:rsidRPr="00465302">
        <w:rPr>
          <w:rFonts w:eastAsia="Times New Roman" w:cs="Times New Roman"/>
          <w:color w:val="000000"/>
          <w:szCs w:val="24"/>
        </w:rPr>
        <w:t xml:space="preserve">We used transgenic fish line </w:t>
      </w:r>
      <w:r w:rsidR="00B52A7A" w:rsidRPr="00465302">
        <w:rPr>
          <w:rFonts w:eastAsia="Times New Roman" w:cs="Times New Roman"/>
          <w:i/>
          <w:iCs/>
          <w:color w:val="000000"/>
          <w:szCs w:val="24"/>
        </w:rPr>
        <w:t>(kdrl:EGFP)mitfa</w:t>
      </w:r>
      <w:r w:rsidR="00B52A7A" w:rsidRPr="00465302">
        <w:rPr>
          <w:rFonts w:eastAsia="Times New Roman" w:cs="Times New Roman"/>
          <w:i/>
          <w:iCs/>
          <w:color w:val="000000"/>
          <w:szCs w:val="24"/>
          <w:vertAlign w:val="superscript"/>
        </w:rPr>
        <w:t xml:space="preserve">b692/b692 </w:t>
      </w:r>
      <w:r w:rsidR="00B52A7A" w:rsidRPr="00465302">
        <w:rPr>
          <w:rFonts w:eastAsia="Times New Roman" w:cs="Times New Roman"/>
          <w:color w:val="000000"/>
          <w:szCs w:val="24"/>
        </w:rPr>
        <w:t>expressing GFP in the vasculature as described previously</w:t>
      </w:r>
      <w:r w:rsidR="008F22D1" w:rsidRPr="00465302">
        <w:rPr>
          <w:rFonts w:eastAsia="Times New Roman" w:cs="Times New Roman"/>
          <w:color w:val="000000"/>
          <w:szCs w:val="24"/>
        </w:rPr>
        <w:t xml:space="preserve"> </w:t>
      </w:r>
      <w:r w:rsidR="008F22D1" w:rsidRPr="00465302">
        <w:rPr>
          <w:rFonts w:eastAsia="Times New Roman" w:cs="Times New Roman"/>
          <w:color w:val="000000"/>
          <w:szCs w:val="24"/>
        </w:rPr>
        <w:fldChar w:fldCharType="begin" w:fldLock="1"/>
      </w:r>
      <w:r w:rsidR="008F22D1" w:rsidRPr="00465302">
        <w:rPr>
          <w:rFonts w:eastAsia="Times New Roman" w:cs="Times New Roman"/>
          <w:color w:val="000000"/>
          <w:szCs w:val="24"/>
        </w:rPr>
        <w:instrText>ADDIN CSL_CITATION {"citationItems":[{"id":"ITEM-1","itemData":{"DOI":"10.1016/j.reprotox.2016.11.005","ISSN":"0890-6238","author":[{"dropping-particle":"","family":"McCollum","given":"Catherine W","non-dropping-particle":"","parse-names":false,"suffix":""},{"dropping-particle":"","family":"Conde-Vancells","given":"Javier","non-dropping-particle":"","parse-names":false,"suffix":""},{"dropping-particle":"","family":"Hans","given":"Charu","non-dropping-particle":"","parse-names":false,"suffix":""},{"dropping-particle":"","family":"Vazquez-Chantada","given":"Mercedes","non-dropping-particle":"","parse-names":false,"suffix":""},{"dropping-particle":"","family":"Kleinstreuer","given":"Nicole","non-dropping-particle":"","parse-names":false,"suffix":""},{"dropping-particle":"","family":"Tal","given":"Tamara","non-dropping-particle":"","parse-names":false,"suffix":""},{"dropping-particle":"","family":"Knudsen","given":"Thomas","non-dropping-particle":"","parse-names":false,"suffix":""},{"dropping-particle":"","family":"Shah","given":"Shishir S","non-dropping-particle":"","parse-names":false,"suffix":""},{"dropping-particle":"","family":"Merchant","given":"Fatima A","non-dropping-particle":"","parse-names":false,"suffix":""},{"dropping-particle":"","family":"Finnell","given":"Richard H","non-dropping-particle":"","parse-names":false,"suffix":""},{"dropping-particle":"","family":"Gustafsson","given":"Jan-Åke","non-dropping-particle":"","parse-names":false,"suffix":""},{"dropping-particle":"","family":"Cabrera","given":"Robert","non-dropping-particle":"","parse-names":false,"suffix":""},{"dropping-particle":"","family":"Bondesson","given":"Maria","non-dropping-particle":"","parse-names":false,"suffix":""}],"container-title":"Reproductive toxicology (Elmsford, N.Y.)","id":"ITEM-1","issued":{"date-parts":[["2017","6"]]},"page":"60—69","title":"Identification of vascular disruptor compounds by analysis in zebrafish embryos and mouse embryonic endothelial cells","type":"article-journal","volume":"70"},"uris":["http://www.mendeley.com/documents/?uuid=11b1d565-0574-4e91-bd55-30399b5993f2"]}],"mendeley":{"formattedCitation":"(McCollum &lt;i&gt;et al.&lt;/i&gt;, 2017)","plainTextFormattedCitation":"(McCollum et al., 2017)","previouslyFormattedCitation":"(McCollum &lt;i&gt;et al.&lt;/i&gt;, 2017)"},"properties":{"noteIndex":0},"schema":"https://github.com/citation-style-language/schema/raw/master/csl-citation.json"}</w:instrText>
      </w:r>
      <w:r w:rsidR="008F22D1" w:rsidRPr="00465302">
        <w:rPr>
          <w:rFonts w:eastAsia="Times New Roman" w:cs="Times New Roman"/>
          <w:color w:val="000000"/>
          <w:szCs w:val="24"/>
        </w:rPr>
        <w:fldChar w:fldCharType="separate"/>
      </w:r>
      <w:r w:rsidR="008F22D1" w:rsidRPr="00465302">
        <w:rPr>
          <w:rFonts w:eastAsia="Times New Roman" w:cs="Times New Roman"/>
          <w:noProof/>
          <w:color w:val="000000"/>
          <w:szCs w:val="24"/>
        </w:rPr>
        <w:t xml:space="preserve">(McCollum </w:t>
      </w:r>
      <w:r w:rsidR="008F22D1" w:rsidRPr="00465302">
        <w:rPr>
          <w:rFonts w:eastAsia="Times New Roman" w:cs="Times New Roman"/>
          <w:i/>
          <w:noProof/>
          <w:color w:val="000000"/>
          <w:szCs w:val="24"/>
        </w:rPr>
        <w:t>et al.</w:t>
      </w:r>
      <w:r w:rsidR="008F22D1" w:rsidRPr="00465302">
        <w:rPr>
          <w:rFonts w:eastAsia="Times New Roman" w:cs="Times New Roman"/>
          <w:noProof/>
          <w:color w:val="000000"/>
          <w:szCs w:val="24"/>
        </w:rPr>
        <w:t>, 2017)</w:t>
      </w:r>
      <w:r w:rsidR="008F22D1" w:rsidRPr="00465302">
        <w:rPr>
          <w:rFonts w:eastAsia="Times New Roman" w:cs="Times New Roman"/>
          <w:color w:val="000000"/>
          <w:szCs w:val="24"/>
        </w:rPr>
        <w:fldChar w:fldCharType="end"/>
      </w:r>
      <w:r w:rsidR="00B52A7A" w:rsidRPr="00465302">
        <w:rPr>
          <w:rFonts w:eastAsia="Times New Roman" w:cs="Times New Roman"/>
          <w:color w:val="000000"/>
          <w:szCs w:val="24"/>
        </w:rPr>
        <w:t>. For all zebrafish lines, n</w:t>
      </w:r>
      <w:r w:rsidRPr="00465302">
        <w:rPr>
          <w:rFonts w:cs="Times New Roman"/>
          <w:szCs w:val="24"/>
        </w:rPr>
        <w:t xml:space="preserve">atural breeding was used to produce embryos and the collected embryos were kept in Embryo media (E3; </w:t>
      </w:r>
      <w:r w:rsidRPr="00465302">
        <w:rPr>
          <w:rFonts w:cs="Times New Roman"/>
          <w:szCs w:val="24"/>
          <w:lang w:bidi="si-LK"/>
        </w:rPr>
        <w:t>5 mM NaCl, 172 0.17 mMKCl, 0.33 mM CaCl2, 0.33mM MgSO4</w:t>
      </w:r>
      <w:r w:rsidRPr="00465302">
        <w:rPr>
          <w:rFonts w:cs="Times New Roman"/>
          <w:szCs w:val="24"/>
        </w:rPr>
        <w:t>) at 28.5</w:t>
      </w:r>
      <w:r w:rsidR="003C7A73">
        <w:rPr>
          <w:rFonts w:cs="Times New Roman"/>
          <w:szCs w:val="24"/>
        </w:rPr>
        <w:t xml:space="preserve"> </w:t>
      </w:r>
      <w:r w:rsidRPr="00465302">
        <w:rPr>
          <w:rFonts w:cs="Times New Roman"/>
          <w:szCs w:val="24"/>
          <w:vertAlign w:val="superscript"/>
        </w:rPr>
        <w:t>o</w:t>
      </w:r>
      <w:r w:rsidRPr="00465302">
        <w:rPr>
          <w:rFonts w:cs="Times New Roman"/>
          <w:szCs w:val="24"/>
        </w:rPr>
        <w:t>C.</w:t>
      </w:r>
    </w:p>
    <w:p w14:paraId="1121F53C" w14:textId="7FCB502E" w:rsidR="00364732" w:rsidRPr="00465302" w:rsidRDefault="00140CD7">
      <w:pPr>
        <w:pStyle w:val="Heading2"/>
      </w:pPr>
      <w:bookmarkStart w:id="72" w:name="_Toc39502065"/>
      <w:r w:rsidRPr="00465302">
        <w:t>4.2 CHEMICALS</w:t>
      </w:r>
      <w:bookmarkEnd w:id="72"/>
    </w:p>
    <w:p w14:paraId="7A27F97D" w14:textId="6172DA52" w:rsidR="00B52A7A" w:rsidRPr="00465302" w:rsidRDefault="00B52A7A" w:rsidP="00242745">
      <w:pPr>
        <w:spacing w:before="0" w:after="0" w:line="480" w:lineRule="auto"/>
        <w:jc w:val="both"/>
        <w:rPr>
          <w:rFonts w:eastAsia="Times New Roman" w:cs="Times New Roman"/>
          <w:color w:val="000000"/>
          <w:szCs w:val="24"/>
        </w:rPr>
      </w:pPr>
      <w:r w:rsidRPr="00465302">
        <w:rPr>
          <w:rFonts w:eastAsia="Times New Roman" w:cs="Times New Roman"/>
          <w:color w:val="000000"/>
          <w:szCs w:val="24"/>
        </w:rPr>
        <w:t>ToxCast Phase I and Phase II libraries (</w:t>
      </w:r>
      <w:hyperlink r:id="rId36" w:history="1">
        <w:r w:rsidRPr="00465302">
          <w:rPr>
            <w:rStyle w:val="Hyperlink"/>
            <w:rFonts w:eastAsia="Times New Roman" w:cs="Times New Roman"/>
            <w:color w:val="4472C4" w:themeColor="accent5"/>
            <w:szCs w:val="24"/>
          </w:rPr>
          <w:t>http://www.epa.gov/ncct/toxcast/chemicals.html</w:t>
        </w:r>
        <w:r w:rsidRPr="00465302">
          <w:rPr>
            <w:rStyle w:val="Hyperlink"/>
            <w:rFonts w:eastAsia="Times New Roman" w:cs="Times New Roman"/>
            <w:color w:val="auto"/>
            <w:szCs w:val="24"/>
          </w:rPr>
          <w:t>)</w:t>
        </w:r>
      </w:hyperlink>
      <w:r w:rsidRPr="00465302">
        <w:rPr>
          <w:rFonts w:eastAsia="Times New Roman" w:cs="Times New Roman"/>
          <w:color w:val="000000"/>
          <w:szCs w:val="24"/>
        </w:rPr>
        <w:t xml:space="preserve"> were provided from the National Center for Computational Toxicology of the US EPA under a Material Transfer Agreement. For </w:t>
      </w:r>
      <w:r w:rsidR="006A3A9C" w:rsidRPr="00465302">
        <w:rPr>
          <w:rFonts w:eastAsia="Times New Roman" w:cs="Times New Roman"/>
          <w:color w:val="000000"/>
          <w:szCs w:val="24"/>
        </w:rPr>
        <w:t>the PLLD project</w:t>
      </w:r>
      <w:r w:rsidRPr="00465302">
        <w:rPr>
          <w:rFonts w:eastAsia="Times New Roman" w:cs="Times New Roman"/>
          <w:color w:val="000000"/>
          <w:szCs w:val="24"/>
        </w:rPr>
        <w:t xml:space="preserve">, </w:t>
      </w:r>
      <w:r w:rsidR="007F2930" w:rsidRPr="00465302">
        <w:rPr>
          <w:rFonts w:eastAsia="Times New Roman" w:cs="Times New Roman"/>
          <w:color w:val="000000"/>
          <w:szCs w:val="24"/>
        </w:rPr>
        <w:t>t</w:t>
      </w:r>
      <w:r w:rsidRPr="00465302">
        <w:rPr>
          <w:rFonts w:eastAsia="Times New Roman" w:cs="Times New Roman"/>
          <w:color w:val="000000"/>
          <w:szCs w:val="24"/>
        </w:rPr>
        <w:t xml:space="preserve">he serotonin modular compounds were used to assist for PLLD effects. These compounds were </w:t>
      </w:r>
      <w:r w:rsidR="002138EA">
        <w:rPr>
          <w:rFonts w:eastAsia="Times New Roman" w:cs="Times New Roman"/>
          <w:color w:val="000000"/>
          <w:szCs w:val="24"/>
        </w:rPr>
        <w:t>m</w:t>
      </w:r>
      <w:r w:rsidRPr="00465302">
        <w:rPr>
          <w:rFonts w:eastAsia="Times New Roman" w:cs="Times New Roman"/>
          <w:color w:val="000000"/>
          <w:szCs w:val="24"/>
        </w:rPr>
        <w:t xml:space="preserve">ethylene </w:t>
      </w:r>
      <w:r w:rsidR="002138EA">
        <w:rPr>
          <w:rFonts w:eastAsia="Times New Roman" w:cs="Times New Roman"/>
          <w:color w:val="000000"/>
          <w:szCs w:val="24"/>
        </w:rPr>
        <w:t>b</w:t>
      </w:r>
      <w:r w:rsidRPr="00465302">
        <w:rPr>
          <w:rFonts w:eastAsia="Times New Roman" w:cs="Times New Roman"/>
          <w:color w:val="000000"/>
          <w:szCs w:val="24"/>
        </w:rPr>
        <w:t>lue and 4-Chloro-DL-phenylalanine (</w:t>
      </w:r>
      <w:r w:rsidR="007F2930" w:rsidRPr="00465302">
        <w:rPr>
          <w:rFonts w:eastAsia="Times New Roman" w:cs="Times New Roman"/>
          <w:color w:val="000000"/>
          <w:szCs w:val="24"/>
        </w:rPr>
        <w:t>P</w:t>
      </w:r>
      <w:r w:rsidRPr="00465302">
        <w:rPr>
          <w:rFonts w:eastAsia="Times New Roman" w:cs="Times New Roman"/>
          <w:color w:val="000000"/>
          <w:szCs w:val="24"/>
        </w:rPr>
        <w:t>CPA) purchased from Alfa Aesar (Haverhill, MA); Fluoxetine hydrochloride and N-Methyl-N-propargyl-3-(2,4-dichlorophenoxy) propylamine hydrochloride (Clorgyline) purchased from Sigma-Aldrich (St. Louis, MO). The stock solutions were prepared in dH</w:t>
      </w:r>
      <w:r w:rsidRPr="00465302">
        <w:rPr>
          <w:rFonts w:eastAsia="Times New Roman" w:cs="Times New Roman"/>
          <w:color w:val="000000"/>
          <w:szCs w:val="24"/>
          <w:vertAlign w:val="subscript"/>
        </w:rPr>
        <w:t>2</w:t>
      </w:r>
      <w:r w:rsidRPr="00465302">
        <w:rPr>
          <w:rFonts w:eastAsia="Times New Roman" w:cs="Times New Roman"/>
          <w:color w:val="000000"/>
          <w:szCs w:val="24"/>
        </w:rPr>
        <w:t xml:space="preserve">O. For </w:t>
      </w:r>
      <w:r w:rsidR="006A3A9C" w:rsidRPr="00465302">
        <w:rPr>
          <w:rFonts w:eastAsia="Times New Roman" w:cs="Times New Roman"/>
          <w:color w:val="000000"/>
          <w:szCs w:val="24"/>
        </w:rPr>
        <w:t>the VDC project</w:t>
      </w:r>
      <w:r w:rsidRPr="00465302">
        <w:rPr>
          <w:rFonts w:eastAsia="Times New Roman" w:cs="Times New Roman"/>
          <w:color w:val="000000"/>
          <w:szCs w:val="24"/>
        </w:rPr>
        <w:t xml:space="preserve">, the </w:t>
      </w:r>
      <w:r w:rsidR="002138EA">
        <w:rPr>
          <w:rFonts w:eastAsia="Times New Roman" w:cs="Times New Roman"/>
          <w:color w:val="000000"/>
          <w:szCs w:val="24"/>
        </w:rPr>
        <w:t>five</w:t>
      </w:r>
      <w:r w:rsidRPr="00465302">
        <w:rPr>
          <w:rFonts w:eastAsia="Times New Roman" w:cs="Times New Roman"/>
          <w:color w:val="000000"/>
          <w:szCs w:val="24"/>
        </w:rPr>
        <w:t xml:space="preserve"> most potent compounds found to cause ISV effect were selected for in-depth studies. </w:t>
      </w:r>
      <w:r w:rsidRPr="00465302">
        <w:rPr>
          <w:rFonts w:eastAsia="Times New Roman" w:cs="Times New Roman"/>
          <w:szCs w:val="24"/>
        </w:rPr>
        <w:t xml:space="preserve">These compounds were fenpyroximate </w:t>
      </w:r>
      <w:r w:rsidRPr="00465302">
        <w:rPr>
          <w:rFonts w:eastAsia="Times New Roman" w:cs="Times New Roman"/>
          <w:color w:val="000000"/>
          <w:szCs w:val="24"/>
        </w:rPr>
        <w:t xml:space="preserve">(CAS # 111812-58-9), pyraclostrobin (CAS # 175013-18-0), </w:t>
      </w:r>
      <w:r w:rsidRPr="00465302">
        <w:rPr>
          <w:rFonts w:eastAsia="Times New Roman" w:cs="Times New Roman"/>
          <w:color w:val="000000"/>
          <w:szCs w:val="24"/>
        </w:rPr>
        <w:lastRenderedPageBreak/>
        <w:t xml:space="preserve">pyridaben (CAS # 96489-71-3), rotenone (CAS # 83-79-4) and trifloxystrobin (CAS # 141517-21-7). The compounds were purchased from Sigma-Aldrich (St. Louis, MO). The stock solutions were </w:t>
      </w:r>
      <w:r w:rsidR="006B5C1B" w:rsidRPr="00465302">
        <w:rPr>
          <w:rFonts w:eastAsia="Times New Roman" w:cs="Times New Roman"/>
          <w:color w:val="000000"/>
          <w:szCs w:val="24"/>
        </w:rPr>
        <w:t>prepared</w:t>
      </w:r>
      <w:r w:rsidRPr="00465302">
        <w:rPr>
          <w:rFonts w:eastAsia="Times New Roman" w:cs="Times New Roman"/>
          <w:color w:val="000000"/>
          <w:szCs w:val="24"/>
        </w:rPr>
        <w:t xml:space="preserve"> and appropriate dilutions were made in DMSO (Sigma-Aldrich, St. Louis, MO). </w:t>
      </w:r>
    </w:p>
    <w:p w14:paraId="7A252078" w14:textId="3A6490DA" w:rsidR="00364732" w:rsidRPr="00465302" w:rsidRDefault="00140CD7">
      <w:pPr>
        <w:pStyle w:val="Heading2"/>
      </w:pPr>
      <w:bookmarkStart w:id="73" w:name="_Toc39502066"/>
      <w:r w:rsidRPr="00465302">
        <w:t>4.3 CHEMICAL EXPOSURES IN ZEBRAFISH</w:t>
      </w:r>
      <w:bookmarkEnd w:id="73"/>
    </w:p>
    <w:p w14:paraId="7D5BA010" w14:textId="2832B51B" w:rsidR="00364732" w:rsidRPr="00465302" w:rsidRDefault="00B52A7A" w:rsidP="00242745">
      <w:pPr>
        <w:spacing w:before="0" w:line="480" w:lineRule="auto"/>
        <w:jc w:val="both"/>
        <w:rPr>
          <w:rFonts w:cs="Times New Roman"/>
          <w:szCs w:val="24"/>
        </w:rPr>
      </w:pPr>
      <w:r w:rsidRPr="00465302">
        <w:rPr>
          <w:rFonts w:cs="Times New Roman"/>
          <w:szCs w:val="24"/>
        </w:rPr>
        <w:t xml:space="preserve">For </w:t>
      </w:r>
      <w:r w:rsidR="006A3A9C" w:rsidRPr="00465302">
        <w:rPr>
          <w:rFonts w:cs="Times New Roman"/>
          <w:szCs w:val="24"/>
        </w:rPr>
        <w:t>PLLD project</w:t>
      </w:r>
      <w:r w:rsidRPr="00465302">
        <w:rPr>
          <w:rFonts w:cs="Times New Roman"/>
          <w:szCs w:val="24"/>
        </w:rPr>
        <w:t>, we first</w:t>
      </w:r>
      <w:r w:rsidR="00364732" w:rsidRPr="00465302">
        <w:rPr>
          <w:rFonts w:cs="Times New Roman"/>
          <w:szCs w:val="24"/>
        </w:rPr>
        <w:t xml:space="preserve"> performed </w:t>
      </w:r>
      <w:r w:rsidR="006449F1" w:rsidRPr="00465302">
        <w:rPr>
          <w:rFonts w:cs="Times New Roman"/>
          <w:szCs w:val="24"/>
        </w:rPr>
        <w:t>the high throughput</w:t>
      </w:r>
      <w:r w:rsidR="00364732" w:rsidRPr="00465302">
        <w:rPr>
          <w:rFonts w:cs="Times New Roman"/>
          <w:szCs w:val="24"/>
        </w:rPr>
        <w:t xml:space="preserve"> screen for the ToxCast Phase I chemicals with the </w:t>
      </w:r>
      <w:r w:rsidR="009A0B96">
        <w:rPr>
          <w:rFonts w:cs="Times New Roman"/>
          <w:i/>
          <w:iCs/>
          <w:szCs w:val="24"/>
        </w:rPr>
        <w:t>T</w:t>
      </w:r>
      <w:r w:rsidR="00364732" w:rsidRPr="009A0B96">
        <w:rPr>
          <w:rFonts w:cs="Times New Roman"/>
          <w:i/>
          <w:iCs/>
          <w:szCs w:val="24"/>
        </w:rPr>
        <w:t>g</w:t>
      </w:r>
      <w:r w:rsidR="009A0B96" w:rsidRPr="009A0B96">
        <w:rPr>
          <w:rFonts w:cs="Times New Roman"/>
          <w:i/>
          <w:iCs/>
          <w:szCs w:val="24"/>
        </w:rPr>
        <w:t> </w:t>
      </w:r>
      <w:r w:rsidR="00364732" w:rsidRPr="00DD79FA">
        <w:rPr>
          <w:rFonts w:cs="Times New Roman"/>
          <w:i/>
          <w:iCs/>
          <w:szCs w:val="24"/>
        </w:rPr>
        <w:t>(neuromast:GFP)</w:t>
      </w:r>
      <w:r w:rsidR="00364732" w:rsidRPr="00465302">
        <w:rPr>
          <w:rFonts w:cs="Times New Roman"/>
          <w:szCs w:val="24"/>
        </w:rPr>
        <w:t xml:space="preserve"> fish line, which allows for visualization of the developed neuromasts. Harvested embryos were manually sorted and placed in 96 well plates, </w:t>
      </w:r>
      <w:r w:rsidR="003C7A73">
        <w:rPr>
          <w:rFonts w:cs="Times New Roman"/>
          <w:szCs w:val="24"/>
        </w:rPr>
        <w:t>one</w:t>
      </w:r>
      <w:r w:rsidR="00364732" w:rsidRPr="00465302">
        <w:rPr>
          <w:rFonts w:cs="Times New Roman"/>
          <w:szCs w:val="24"/>
        </w:rPr>
        <w:t xml:space="preserve"> embryo per well in 100 µl of E3, and were treated from approximately </w:t>
      </w:r>
      <w:r w:rsidR="003C7A73">
        <w:rPr>
          <w:rFonts w:cs="Times New Roman"/>
          <w:szCs w:val="24"/>
        </w:rPr>
        <w:t>four</w:t>
      </w:r>
      <w:r w:rsidR="00364732" w:rsidRPr="00465302">
        <w:rPr>
          <w:rFonts w:cs="Times New Roman"/>
          <w:szCs w:val="24"/>
        </w:rPr>
        <w:t xml:space="preserve"> hpf with chemicals at 0.2, 2 and 20 µM (n=3/concentration) unless otherwise noted (Appendix Table 1). Test agents were added to wells containing embryos using a Tecan Evo 200 (Tecan, Männedorf, Switzerland) fitted with a pin tool assembly (V&amp;P Scientific, San Diego, CA). All test agents were diluted in DMSO (Sigma-Aldrich, St. Louis, MO) and the final concentration of the vehicle in the assay wells was 0.1%.  Embryos were kept at 28.5</w:t>
      </w:r>
      <w:r w:rsidR="00F320D1">
        <w:rPr>
          <w:rFonts w:cs="Times New Roman"/>
          <w:szCs w:val="24"/>
        </w:rPr>
        <w:t xml:space="preserve"> </w:t>
      </w:r>
      <w:r w:rsidR="00364732" w:rsidRPr="00465302">
        <w:rPr>
          <w:rFonts w:cs="Times New Roman"/>
          <w:szCs w:val="24"/>
        </w:rPr>
        <w:t xml:space="preserve">°C in the treatment media for </w:t>
      </w:r>
      <w:r w:rsidR="00F320D1">
        <w:rPr>
          <w:rFonts w:cs="Times New Roman"/>
          <w:szCs w:val="24"/>
        </w:rPr>
        <w:t>four</w:t>
      </w:r>
      <w:r w:rsidR="00364732" w:rsidRPr="00465302">
        <w:rPr>
          <w:rFonts w:cs="Times New Roman"/>
          <w:szCs w:val="24"/>
        </w:rPr>
        <w:t xml:space="preserve"> days without chemical renewal. </w:t>
      </w:r>
    </w:p>
    <w:p w14:paraId="3F188B69" w14:textId="3C5A8588" w:rsidR="00364732" w:rsidRPr="00465302" w:rsidRDefault="006449F1" w:rsidP="00364732">
      <w:pPr>
        <w:spacing w:line="480" w:lineRule="auto"/>
        <w:jc w:val="both"/>
        <w:rPr>
          <w:rFonts w:cs="Times New Roman"/>
          <w:szCs w:val="24"/>
        </w:rPr>
      </w:pPr>
      <w:r w:rsidRPr="00465302">
        <w:rPr>
          <w:rFonts w:cs="Times New Roman"/>
          <w:szCs w:val="24"/>
        </w:rPr>
        <w:t>In</w:t>
      </w:r>
      <w:r w:rsidR="004906EB" w:rsidRPr="00465302">
        <w:rPr>
          <w:rFonts w:cs="Times New Roman"/>
          <w:szCs w:val="24"/>
        </w:rPr>
        <w:t xml:space="preserve"> </w:t>
      </w:r>
      <w:r w:rsidR="006A3A9C" w:rsidRPr="00465302">
        <w:rPr>
          <w:rFonts w:cs="Times New Roman"/>
          <w:szCs w:val="24"/>
        </w:rPr>
        <w:t>the PLLD project</w:t>
      </w:r>
      <w:r w:rsidR="004906EB" w:rsidRPr="00465302">
        <w:rPr>
          <w:rFonts w:cs="Times New Roman"/>
          <w:szCs w:val="24"/>
        </w:rPr>
        <w:t xml:space="preserve">, </w:t>
      </w:r>
      <w:r w:rsidRPr="00465302">
        <w:rPr>
          <w:rFonts w:cs="Times New Roman"/>
          <w:szCs w:val="24"/>
        </w:rPr>
        <w:t xml:space="preserve">for follow-up experiments, </w:t>
      </w:r>
      <w:r w:rsidR="004906EB" w:rsidRPr="00465302">
        <w:rPr>
          <w:rFonts w:cs="Times New Roman"/>
          <w:szCs w:val="24"/>
        </w:rPr>
        <w:t>a</w:t>
      </w:r>
      <w:r w:rsidR="00364732" w:rsidRPr="00465302">
        <w:rPr>
          <w:rFonts w:cs="Times New Roman"/>
          <w:szCs w:val="24"/>
        </w:rPr>
        <w:t xml:space="preserve">ctive agents identified from the initial screen (Appendix Table 2) were validated in a low-throughput manner with higher numbers of replicates. The compounds that showed PLL disruptor effects at one concentration but were lethal at the other two doses used for HTS were also re-screened at lower doses. The same fish line, conditions and chemical concentrations as HTS were maintained unless otherwise noted (Appendix Table 2), except the embryos were placed in </w:t>
      </w:r>
      <w:r w:rsidR="00F320D1">
        <w:rPr>
          <w:rFonts w:cs="Times New Roman"/>
          <w:szCs w:val="24"/>
        </w:rPr>
        <w:t>six</w:t>
      </w:r>
      <w:r w:rsidR="00364732" w:rsidRPr="00465302">
        <w:rPr>
          <w:rFonts w:cs="Times New Roman"/>
          <w:szCs w:val="24"/>
        </w:rPr>
        <w:t xml:space="preserve"> well plates (n=20/concentration/well) and treated in 3 ml of </w:t>
      </w:r>
      <w:r w:rsidR="00364732" w:rsidRPr="00465302">
        <w:rPr>
          <w:rFonts w:cs="Times New Roman"/>
          <w:szCs w:val="24"/>
        </w:rPr>
        <w:lastRenderedPageBreak/>
        <w:t xml:space="preserve">E3. The compounds identified as validated hits in the follow-up screen were designated as PLL disruptors. </w:t>
      </w:r>
    </w:p>
    <w:p w14:paraId="574A4EB7" w14:textId="411066C4" w:rsidR="004906EB" w:rsidRPr="00465302" w:rsidRDefault="00045646" w:rsidP="00364732">
      <w:pPr>
        <w:spacing w:line="480" w:lineRule="auto"/>
        <w:jc w:val="both"/>
        <w:rPr>
          <w:rFonts w:cs="Times New Roman"/>
          <w:szCs w:val="24"/>
        </w:rPr>
      </w:pPr>
      <w:r w:rsidRPr="00465302">
        <w:rPr>
          <w:rFonts w:cs="Times New Roman"/>
          <w:szCs w:val="24"/>
        </w:rPr>
        <w:t xml:space="preserve">To test </w:t>
      </w:r>
      <w:r w:rsidR="006449F1" w:rsidRPr="00465302">
        <w:rPr>
          <w:rFonts w:cs="Times New Roman"/>
          <w:szCs w:val="24"/>
        </w:rPr>
        <w:t>the predicted compound</w:t>
      </w:r>
      <w:r w:rsidR="00F03E6D" w:rsidRPr="00465302">
        <w:rPr>
          <w:rFonts w:cs="Times New Roman"/>
          <w:szCs w:val="24"/>
        </w:rPr>
        <w:t>s</w:t>
      </w:r>
      <w:r w:rsidR="006449F1" w:rsidRPr="00465302">
        <w:rPr>
          <w:rFonts w:cs="Times New Roman"/>
          <w:szCs w:val="24"/>
        </w:rPr>
        <w:t xml:space="preserve"> in</w:t>
      </w:r>
      <w:r w:rsidR="006A3A9C" w:rsidRPr="00465302">
        <w:rPr>
          <w:rFonts w:cs="Times New Roman"/>
          <w:szCs w:val="24"/>
        </w:rPr>
        <w:t xml:space="preserve"> the PLLD project</w:t>
      </w:r>
      <w:r w:rsidR="004906EB" w:rsidRPr="00465302">
        <w:rPr>
          <w:rFonts w:cs="Times New Roman"/>
          <w:szCs w:val="24"/>
        </w:rPr>
        <w:t xml:space="preserve">, </w:t>
      </w:r>
      <w:r w:rsidR="006449F1" w:rsidRPr="00465302">
        <w:rPr>
          <w:rFonts w:cs="Times New Roman"/>
          <w:szCs w:val="24"/>
        </w:rPr>
        <w:t xml:space="preserve">the same methodology was used </w:t>
      </w:r>
      <w:r w:rsidR="004906EB" w:rsidRPr="00465302">
        <w:rPr>
          <w:rFonts w:cs="Times New Roman"/>
          <w:szCs w:val="24"/>
        </w:rPr>
        <w:t>as the low-throughput screen.</w:t>
      </w:r>
      <w:r w:rsidR="006449F1" w:rsidRPr="00465302">
        <w:rPr>
          <w:rFonts w:cs="Times New Roman"/>
          <w:szCs w:val="24"/>
        </w:rPr>
        <w:t xml:space="preserve"> Appendix </w:t>
      </w:r>
      <w:r w:rsidR="00603737" w:rsidRPr="00465302">
        <w:rPr>
          <w:rFonts w:cs="Times New Roman"/>
          <w:szCs w:val="24"/>
        </w:rPr>
        <w:t>T</w:t>
      </w:r>
      <w:r w:rsidR="006449F1" w:rsidRPr="00465302">
        <w:rPr>
          <w:rFonts w:cs="Times New Roman"/>
          <w:szCs w:val="24"/>
        </w:rPr>
        <w:t>able 8 shows the treatment concentrations for these compounds.</w:t>
      </w:r>
    </w:p>
    <w:p w14:paraId="2BA90FE4" w14:textId="25722CFF" w:rsidR="00364732" w:rsidRPr="00465302" w:rsidRDefault="006A3A9C" w:rsidP="00364732">
      <w:pPr>
        <w:pStyle w:val="NoSpacing"/>
        <w:spacing w:line="480" w:lineRule="auto"/>
        <w:contextualSpacing/>
        <w:jc w:val="both"/>
        <w:rPr>
          <w:rFonts w:cs="Times New Roman"/>
          <w:szCs w:val="24"/>
        </w:rPr>
      </w:pPr>
      <w:r w:rsidRPr="00465302">
        <w:rPr>
          <w:rFonts w:cs="Times New Roman"/>
        </w:rPr>
        <w:t>To</w:t>
      </w:r>
      <w:r w:rsidR="00364732" w:rsidRPr="00465302">
        <w:rPr>
          <w:rFonts w:cs="Times New Roman"/>
        </w:rPr>
        <w:t xml:space="preserve"> test serotonin pathway modulators</w:t>
      </w:r>
      <w:r w:rsidR="006449F1" w:rsidRPr="00465302">
        <w:rPr>
          <w:rFonts w:cs="Times New Roman"/>
        </w:rPr>
        <w:t xml:space="preserve"> in </w:t>
      </w:r>
      <w:r w:rsidRPr="00465302">
        <w:rPr>
          <w:rFonts w:cs="Times New Roman"/>
        </w:rPr>
        <w:t>the PLLD project</w:t>
      </w:r>
      <w:r w:rsidR="00364732" w:rsidRPr="00465302">
        <w:rPr>
          <w:rFonts w:cs="Times New Roman"/>
        </w:rPr>
        <w:t xml:space="preserve">, </w:t>
      </w:r>
      <w:r w:rsidR="00364732" w:rsidRPr="00465302">
        <w:rPr>
          <w:rFonts w:cs="Times New Roman"/>
          <w:szCs w:val="24"/>
        </w:rPr>
        <w:t xml:space="preserve">embryos were manually sorted and placed in </w:t>
      </w:r>
      <w:r w:rsidR="00F320D1">
        <w:rPr>
          <w:rFonts w:cs="Times New Roman"/>
          <w:szCs w:val="24"/>
        </w:rPr>
        <w:t>six</w:t>
      </w:r>
      <w:r w:rsidR="00364732" w:rsidRPr="00465302">
        <w:rPr>
          <w:rFonts w:cs="Times New Roman"/>
          <w:szCs w:val="24"/>
        </w:rPr>
        <w:t xml:space="preserve"> well plates, 20 embryos per well in </w:t>
      </w:r>
      <w:r w:rsidR="000F0745">
        <w:rPr>
          <w:rFonts w:cs="Times New Roman"/>
          <w:szCs w:val="24"/>
        </w:rPr>
        <w:t>3</w:t>
      </w:r>
      <w:r w:rsidR="00364732" w:rsidRPr="00465302">
        <w:rPr>
          <w:rFonts w:cs="Times New Roman"/>
          <w:szCs w:val="24"/>
        </w:rPr>
        <w:t xml:space="preserve"> mL of E3 per well, and were treated from approximately </w:t>
      </w:r>
      <w:r w:rsidR="003C7A73">
        <w:rPr>
          <w:rFonts w:cs="Times New Roman"/>
          <w:szCs w:val="24"/>
        </w:rPr>
        <w:t>four</w:t>
      </w:r>
      <w:r w:rsidR="00364732" w:rsidRPr="00465302">
        <w:rPr>
          <w:rFonts w:cs="Times New Roman"/>
          <w:szCs w:val="24"/>
        </w:rPr>
        <w:t xml:space="preserve"> hpf with increasing concentrations (Appendix Table 4) of either methylene blue, </w:t>
      </w:r>
      <w:r w:rsidR="007F2930" w:rsidRPr="00465302">
        <w:rPr>
          <w:rFonts w:cs="Times New Roman"/>
          <w:szCs w:val="24"/>
        </w:rPr>
        <w:t>P</w:t>
      </w:r>
      <w:r w:rsidR="00364732" w:rsidRPr="00465302">
        <w:rPr>
          <w:rFonts w:cs="Times New Roman"/>
          <w:szCs w:val="24"/>
        </w:rPr>
        <w:t>CPA, fluoxetine or clorgyline (n=20/concentration). All test agents were diluted in E3 and embryos were kept at 28.5</w:t>
      </w:r>
      <w:r w:rsidR="00F320D1">
        <w:rPr>
          <w:rFonts w:cs="Times New Roman"/>
          <w:szCs w:val="24"/>
        </w:rPr>
        <w:t xml:space="preserve"> </w:t>
      </w:r>
      <w:r w:rsidR="00364732" w:rsidRPr="00465302">
        <w:rPr>
          <w:rFonts w:cs="Times New Roman"/>
          <w:szCs w:val="24"/>
        </w:rPr>
        <w:t xml:space="preserve">°C in the treatment media for </w:t>
      </w:r>
      <w:r w:rsidR="000F0745">
        <w:rPr>
          <w:rFonts w:cs="Times New Roman"/>
          <w:szCs w:val="24"/>
        </w:rPr>
        <w:t>four</w:t>
      </w:r>
      <w:r w:rsidR="00364732" w:rsidRPr="00465302">
        <w:rPr>
          <w:rFonts w:cs="Times New Roman"/>
          <w:szCs w:val="24"/>
        </w:rPr>
        <w:t xml:space="preserve"> days without chemical renewal. </w:t>
      </w:r>
    </w:p>
    <w:p w14:paraId="04DF89CF" w14:textId="5A020806" w:rsidR="004906EB" w:rsidRPr="00465302" w:rsidRDefault="004906EB" w:rsidP="006449F1">
      <w:pPr>
        <w:spacing w:after="0" w:line="480" w:lineRule="auto"/>
        <w:jc w:val="both"/>
        <w:rPr>
          <w:rFonts w:eastAsia="Times New Roman" w:cs="Times New Roman"/>
          <w:color w:val="auto"/>
          <w:szCs w:val="24"/>
        </w:rPr>
      </w:pPr>
      <w:r w:rsidRPr="00465302">
        <w:rPr>
          <w:rFonts w:eastAsia="Times New Roman" w:cs="Times New Roman"/>
          <w:color w:val="000000"/>
          <w:szCs w:val="24"/>
        </w:rPr>
        <w:t xml:space="preserve">In </w:t>
      </w:r>
      <w:r w:rsidR="00641EDA" w:rsidRPr="00465302">
        <w:rPr>
          <w:rFonts w:eastAsia="Times New Roman" w:cs="Times New Roman"/>
          <w:color w:val="000000"/>
          <w:szCs w:val="24"/>
        </w:rPr>
        <w:t>the VDC project</w:t>
      </w:r>
      <w:r w:rsidRPr="00465302">
        <w:rPr>
          <w:rFonts w:eastAsia="Times New Roman" w:cs="Times New Roman"/>
          <w:color w:val="000000"/>
          <w:szCs w:val="24"/>
        </w:rPr>
        <w:t xml:space="preserve">, </w:t>
      </w:r>
      <w:r w:rsidR="00641EDA" w:rsidRPr="00465302">
        <w:rPr>
          <w:rFonts w:eastAsia="Times New Roman" w:cs="Times New Roman"/>
          <w:color w:val="000000"/>
          <w:szCs w:val="24"/>
        </w:rPr>
        <w:t>to</w:t>
      </w:r>
      <w:r w:rsidRPr="00465302">
        <w:rPr>
          <w:rFonts w:eastAsia="Times New Roman" w:cs="Times New Roman"/>
          <w:color w:val="000000"/>
          <w:szCs w:val="24"/>
        </w:rPr>
        <w:t xml:space="preserve"> determin</w:t>
      </w:r>
      <w:r w:rsidR="00641EDA" w:rsidRPr="00465302">
        <w:rPr>
          <w:rFonts w:eastAsia="Times New Roman" w:cs="Times New Roman"/>
          <w:color w:val="000000"/>
          <w:szCs w:val="24"/>
        </w:rPr>
        <w:t>e</w:t>
      </w:r>
      <w:r w:rsidRPr="00465302">
        <w:rPr>
          <w:rFonts w:eastAsia="Times New Roman" w:cs="Times New Roman"/>
          <w:color w:val="000000"/>
          <w:szCs w:val="24"/>
        </w:rPr>
        <w:t xml:space="preserve"> dose-response curves for the </w:t>
      </w:r>
      <w:r w:rsidR="00F320D1">
        <w:rPr>
          <w:rFonts w:eastAsia="Times New Roman" w:cs="Times New Roman"/>
          <w:color w:val="000000"/>
          <w:szCs w:val="24"/>
        </w:rPr>
        <w:t>five</w:t>
      </w:r>
      <w:r w:rsidRPr="00465302">
        <w:rPr>
          <w:rFonts w:eastAsia="Times New Roman" w:cs="Times New Roman"/>
          <w:color w:val="000000"/>
          <w:szCs w:val="24"/>
        </w:rPr>
        <w:t xml:space="preserve"> most potent ISV-VDCs, </w:t>
      </w:r>
      <w:r w:rsidRPr="00DD79FA">
        <w:rPr>
          <w:rFonts w:eastAsia="Times New Roman" w:cs="Times New Roman"/>
          <w:i/>
          <w:iCs/>
          <w:color w:val="000000"/>
          <w:szCs w:val="24"/>
        </w:rPr>
        <w:t>Tg</w:t>
      </w:r>
      <w:r w:rsidR="009A0B96" w:rsidRPr="009A0B96">
        <w:rPr>
          <w:rFonts w:eastAsia="Times New Roman" w:cs="Times New Roman"/>
          <w:i/>
          <w:iCs/>
          <w:color w:val="000000"/>
          <w:szCs w:val="24"/>
        </w:rPr>
        <w:t> </w:t>
      </w:r>
      <w:r w:rsidRPr="009A0B96">
        <w:rPr>
          <w:rFonts w:eastAsia="Times New Roman" w:cs="Times New Roman"/>
          <w:i/>
          <w:iCs/>
          <w:color w:val="000000"/>
          <w:szCs w:val="24"/>
        </w:rPr>
        <w:t>(kdrl:EGFP)mitfa</w:t>
      </w:r>
      <w:r w:rsidRPr="009A0B96">
        <w:rPr>
          <w:rFonts w:eastAsia="Times New Roman" w:cs="Times New Roman"/>
          <w:i/>
          <w:iCs/>
          <w:color w:val="000000"/>
          <w:szCs w:val="24"/>
          <w:vertAlign w:val="superscript"/>
        </w:rPr>
        <w:t>b692/b692</w:t>
      </w:r>
      <w:r w:rsidRPr="00465302">
        <w:rPr>
          <w:rFonts w:eastAsia="Times New Roman" w:cs="Times New Roman"/>
          <w:color w:val="000000"/>
          <w:szCs w:val="24"/>
        </w:rPr>
        <w:t xml:space="preserve"> embryos were collected and placed in </w:t>
      </w:r>
      <w:r w:rsidR="000F0745">
        <w:rPr>
          <w:rFonts w:eastAsia="Times New Roman" w:cs="Times New Roman"/>
          <w:color w:val="000000"/>
          <w:szCs w:val="24"/>
        </w:rPr>
        <w:t>six</w:t>
      </w:r>
      <w:r w:rsidRPr="00465302">
        <w:rPr>
          <w:rFonts w:eastAsia="Times New Roman" w:cs="Times New Roman"/>
          <w:color w:val="000000"/>
          <w:szCs w:val="24"/>
        </w:rPr>
        <w:t xml:space="preserve"> well plates (n=20/well) in </w:t>
      </w:r>
      <w:r w:rsidR="000F0745">
        <w:rPr>
          <w:rFonts w:eastAsia="Times New Roman" w:cs="Times New Roman"/>
          <w:color w:val="000000"/>
          <w:szCs w:val="24"/>
        </w:rPr>
        <w:t>3</w:t>
      </w:r>
      <w:r w:rsidRPr="00465302">
        <w:rPr>
          <w:rFonts w:eastAsia="Times New Roman" w:cs="Times New Roman"/>
          <w:color w:val="000000"/>
          <w:szCs w:val="24"/>
        </w:rPr>
        <w:t xml:space="preserve"> ml of embryo media (E3; 5 mM NaCl, 0.17 mM KCl, 0.33 mM CaCl</w:t>
      </w:r>
      <w:r w:rsidRPr="00465302">
        <w:rPr>
          <w:rFonts w:eastAsia="Times New Roman" w:cs="Times New Roman"/>
          <w:color w:val="000000"/>
          <w:szCs w:val="24"/>
          <w:vertAlign w:val="subscript"/>
        </w:rPr>
        <w:t>2</w:t>
      </w:r>
      <w:r w:rsidRPr="00465302">
        <w:rPr>
          <w:rFonts w:eastAsia="Times New Roman" w:cs="Times New Roman"/>
          <w:color w:val="000000"/>
          <w:szCs w:val="24"/>
        </w:rPr>
        <w:t>, 0.33 mM MgSO</w:t>
      </w:r>
      <w:r w:rsidRPr="00465302">
        <w:rPr>
          <w:rFonts w:eastAsia="Times New Roman" w:cs="Times New Roman"/>
          <w:color w:val="000000"/>
          <w:szCs w:val="24"/>
          <w:vertAlign w:val="subscript"/>
        </w:rPr>
        <w:t>4</w:t>
      </w:r>
      <w:r w:rsidRPr="00465302">
        <w:rPr>
          <w:rFonts w:eastAsia="Times New Roman" w:cs="Times New Roman"/>
          <w:color w:val="000000"/>
          <w:szCs w:val="24"/>
        </w:rPr>
        <w:t>) at 28.5</w:t>
      </w:r>
      <w:r w:rsidR="0088273D">
        <w:rPr>
          <w:rFonts w:eastAsia="Times New Roman" w:cs="Times New Roman"/>
          <w:color w:val="000000"/>
          <w:szCs w:val="24"/>
        </w:rPr>
        <w:t> </w:t>
      </w:r>
      <w:r w:rsidRPr="00465302">
        <w:rPr>
          <w:rFonts w:eastAsia="Times New Roman" w:cs="Times New Roman"/>
          <w:color w:val="000000"/>
          <w:szCs w:val="24"/>
          <w:vertAlign w:val="superscript"/>
        </w:rPr>
        <w:t>o</w:t>
      </w:r>
      <w:r w:rsidRPr="00465302">
        <w:rPr>
          <w:rFonts w:eastAsia="Times New Roman" w:cs="Times New Roman"/>
          <w:color w:val="000000"/>
          <w:szCs w:val="24"/>
        </w:rPr>
        <w:t xml:space="preserve">C. Embryos were treated approximately at </w:t>
      </w:r>
      <w:r w:rsidR="000F0745">
        <w:rPr>
          <w:rFonts w:eastAsia="Times New Roman" w:cs="Times New Roman"/>
          <w:color w:val="000000"/>
          <w:szCs w:val="24"/>
        </w:rPr>
        <w:t>three</w:t>
      </w:r>
      <w:r w:rsidRPr="00465302">
        <w:rPr>
          <w:rFonts w:eastAsia="Times New Roman" w:cs="Times New Roman"/>
          <w:color w:val="000000"/>
          <w:szCs w:val="24"/>
        </w:rPr>
        <w:t xml:space="preserve"> hpf</w:t>
      </w:r>
      <w:bookmarkStart w:id="74" w:name="_GoBack"/>
      <w:bookmarkEnd w:id="74"/>
      <w:r w:rsidRPr="00465302">
        <w:rPr>
          <w:rFonts w:eastAsia="Times New Roman" w:cs="Times New Roman"/>
          <w:color w:val="000000"/>
          <w:szCs w:val="24"/>
        </w:rPr>
        <w:t xml:space="preserve">. The final concentration of the vehicle (DMSO) was 0.1% and the embryos were maintained in the treatment until </w:t>
      </w:r>
      <w:r w:rsidR="000F0745">
        <w:rPr>
          <w:rFonts w:eastAsia="Times New Roman" w:cs="Times New Roman"/>
          <w:color w:val="000000"/>
          <w:szCs w:val="24"/>
        </w:rPr>
        <w:t>four</w:t>
      </w:r>
      <w:r w:rsidRPr="00465302">
        <w:rPr>
          <w:rFonts w:eastAsia="Times New Roman" w:cs="Times New Roman"/>
          <w:color w:val="000000"/>
          <w:szCs w:val="24"/>
        </w:rPr>
        <w:t xml:space="preserve"> dpf without renewal of E3 or compounds. The VEGFR2 inhibitor PTK787 (Sigma-Aldrich, St. Louis, MO) was used as a positive control</w:t>
      </w:r>
      <w:r w:rsidR="008F22D1" w:rsidRPr="00465302">
        <w:rPr>
          <w:rFonts w:eastAsia="Times New Roman" w:cs="Times New Roman"/>
          <w:color w:val="000000"/>
          <w:szCs w:val="24"/>
        </w:rPr>
        <w:t xml:space="preserve"> </w:t>
      </w:r>
      <w:r w:rsidR="008F22D1" w:rsidRPr="00465302">
        <w:rPr>
          <w:rFonts w:eastAsia="Times New Roman" w:cs="Times New Roman"/>
          <w:color w:val="000000"/>
          <w:szCs w:val="24"/>
        </w:rPr>
        <w:fldChar w:fldCharType="begin" w:fldLock="1"/>
      </w:r>
      <w:r w:rsidR="008F22D1" w:rsidRPr="00465302">
        <w:rPr>
          <w:rFonts w:eastAsia="Times New Roman" w:cs="Times New Roman"/>
          <w:color w:val="000000"/>
          <w:szCs w:val="24"/>
        </w:rPr>
        <w:instrText>ADDIN CSL_CITATION {"citationItems":[{"id":"ITEM-1","itemData":{"DOI":"10.1016/J.REPROTOX.2014.05.014","ISSN":"0890-6238","abstract":"Proper formation of the vascular system is necessary for embryogenesis, and chemical disruption of vascular development may be a key event driving developmental toxicity. In order to test the effect of environmental chemicals on this critical process, we evaluated a quantitative assay in transgenic zebrafish using angiogenesis inhibitors that target VEGFR2 (PTK787) or EGFR (AG1478). Both PTK787 and AG1478 exposure impaired intersegmental vessel (ISV) sprouting, while AG1478 also produced caudal and pectoral fin defects at concentrations below those necessary to blunt ISV morphogenesis. The functional consequences of vessel toxicity during early development included decreased body length and survival in juvenile cohorts developmentally exposed to inhibitor concentrations sufficient to completely block ISV sprouting angiogenesis. These data show that concentration-dependent disruption of the presumed targets for these inhibitors produce adverse outcomes at advanced life stages.","author":[{"dropping-particle":"","family":"Tal","given":"T.L.","non-dropping-particle":"","parse-names":false,"suffix":""},{"dropping-particle":"","family":"McCollum","given":"C.W.","non-dropping-particle":"","parse-names":false,"suffix":""},{"dropping-particle":"","family":"Harris","given":"P.S.","non-dropping-particle":"","parse-names":false,"suffix":""},{"dropping-particle":"","family":"Olin","given":"J.","non-dropping-particle":"","parse-names":false,"suffix":""},{"dropping-particle":"","family":"Kleinstreuer","given":"N.","non-dropping-particle":"","parse-names":false,"suffix":""},{"dropping-particle":"","family":"Wood","given":"C.E.","non-dropping-particle":"","parse-names":false,"suffix":""},{"dropping-particle":"","family":"Hans","given":"C.","non-dropping-particle":"","parse-names":false,"suffix":""},{"dropping-particle":"","family":"Shah","given":"S.","non-dropping-particle":"","parse-names":false,"suffix":""},{"dropping-particle":"","family":"Merchant","given":"F.A.","non-dropping-particle":"","parse-names":false,"suffix":""},{"dropping-particle":"","family":"Bondesson","given":"M.","non-dropping-particle":"","parse-names":false,"suffix":""},{"dropping-particle":"","family":"Knudsen","given":"T.B.","non-dropping-particle":"","parse-names":false,"suffix":""},{"dropping-particle":"","family":"Padilla","given":"S.","non-dropping-particle":"","parse-names":false,"suffix":""},{"dropping-particle":"","family":"Hemmer","given":"M.J.","non-dropping-particle":"","parse-names":false,"suffix":""}],"container-title":"Reproductive Toxicology","id":"ITEM-1","issued":{"date-parts":[["2014","9","1"]]},"page":"51-61","publisher":"Pergamon","title":"Immediate and long-term consequences of vascular toxicity during zebrafish development","type":"article-journal","volume":"48"},"uris":["http://www.mendeley.com/documents/?uuid=51ed8355-4d7c-311a-87d3-470fd8a7b1ad"]}],"mendeley":{"formattedCitation":"(Tal &lt;i&gt;et al.&lt;/i&gt;, 2014)","plainTextFormattedCitation":"(Tal et al., 2014)","previouslyFormattedCitation":"(Tal &lt;i&gt;et al.&lt;/i&gt;, 2014)"},"properties":{"noteIndex":0},"schema":"https://github.com/citation-style-language/schema/raw/master/csl-citation.json"}</w:instrText>
      </w:r>
      <w:r w:rsidR="008F22D1" w:rsidRPr="00465302">
        <w:rPr>
          <w:rFonts w:eastAsia="Times New Roman" w:cs="Times New Roman"/>
          <w:color w:val="000000"/>
          <w:szCs w:val="24"/>
        </w:rPr>
        <w:fldChar w:fldCharType="separate"/>
      </w:r>
      <w:r w:rsidR="008F22D1" w:rsidRPr="00465302">
        <w:rPr>
          <w:rFonts w:eastAsia="Times New Roman" w:cs="Times New Roman"/>
          <w:noProof/>
          <w:color w:val="000000"/>
          <w:szCs w:val="24"/>
        </w:rPr>
        <w:t xml:space="preserve">(Tal </w:t>
      </w:r>
      <w:r w:rsidR="008F22D1" w:rsidRPr="00465302">
        <w:rPr>
          <w:rFonts w:eastAsia="Times New Roman" w:cs="Times New Roman"/>
          <w:i/>
          <w:noProof/>
          <w:color w:val="000000"/>
          <w:szCs w:val="24"/>
        </w:rPr>
        <w:t>et al.</w:t>
      </w:r>
      <w:r w:rsidR="008F22D1" w:rsidRPr="00465302">
        <w:rPr>
          <w:rFonts w:eastAsia="Times New Roman" w:cs="Times New Roman"/>
          <w:noProof/>
          <w:color w:val="000000"/>
          <w:szCs w:val="24"/>
        </w:rPr>
        <w:t>, 2014)</w:t>
      </w:r>
      <w:r w:rsidR="008F22D1" w:rsidRPr="00465302">
        <w:rPr>
          <w:rFonts w:eastAsia="Times New Roman" w:cs="Times New Roman"/>
          <w:color w:val="000000"/>
          <w:szCs w:val="24"/>
        </w:rPr>
        <w:fldChar w:fldCharType="end"/>
      </w:r>
      <w:r w:rsidRPr="00465302">
        <w:rPr>
          <w:rFonts w:eastAsia="Times New Roman" w:cs="Times New Roman"/>
          <w:color w:val="000000"/>
          <w:szCs w:val="24"/>
        </w:rPr>
        <w:t>.</w:t>
      </w:r>
    </w:p>
    <w:p w14:paraId="3B63F22B" w14:textId="1B1CA1A6" w:rsidR="00364732" w:rsidRPr="00465302" w:rsidRDefault="00140CD7">
      <w:pPr>
        <w:pStyle w:val="Heading2"/>
      </w:pPr>
      <w:bookmarkStart w:id="75" w:name="_Toc39502067"/>
      <w:r w:rsidRPr="00465302">
        <w:t>4.4 ZEBRAFISH FLUORESCENCE IMAGING</w:t>
      </w:r>
      <w:bookmarkEnd w:id="75"/>
    </w:p>
    <w:p w14:paraId="47969F57" w14:textId="1AFAB416" w:rsidR="00364732" w:rsidRPr="00465302" w:rsidRDefault="00FC616E" w:rsidP="00364732">
      <w:pPr>
        <w:pStyle w:val="NoSpacing"/>
        <w:spacing w:line="480" w:lineRule="auto"/>
        <w:contextualSpacing/>
        <w:jc w:val="both"/>
        <w:rPr>
          <w:rFonts w:cs="Times New Roman"/>
          <w:szCs w:val="24"/>
        </w:rPr>
      </w:pPr>
      <w:r w:rsidRPr="00465302">
        <w:rPr>
          <w:rFonts w:cs="Times New Roman"/>
          <w:szCs w:val="24"/>
        </w:rPr>
        <w:t>To</w:t>
      </w:r>
      <w:r w:rsidR="00364732" w:rsidRPr="00465302">
        <w:rPr>
          <w:rFonts w:cs="Times New Roman"/>
          <w:szCs w:val="24"/>
        </w:rPr>
        <w:t xml:space="preserve"> imag</w:t>
      </w:r>
      <w:r w:rsidRPr="00465302">
        <w:rPr>
          <w:rFonts w:cs="Times New Roman"/>
          <w:szCs w:val="24"/>
        </w:rPr>
        <w:t>e</w:t>
      </w:r>
      <w:r w:rsidR="00364732" w:rsidRPr="00465302">
        <w:rPr>
          <w:rFonts w:cs="Times New Roman"/>
          <w:szCs w:val="24"/>
        </w:rPr>
        <w:t xml:space="preserve"> the initial </w:t>
      </w:r>
      <w:r w:rsidR="00AF0958" w:rsidRPr="00465302">
        <w:rPr>
          <w:rFonts w:cs="Times New Roman"/>
          <w:szCs w:val="24"/>
        </w:rPr>
        <w:t xml:space="preserve">HTS </w:t>
      </w:r>
      <w:r w:rsidR="00364732" w:rsidRPr="00465302">
        <w:rPr>
          <w:rFonts w:cs="Times New Roman"/>
          <w:szCs w:val="24"/>
        </w:rPr>
        <w:t>screen</w:t>
      </w:r>
      <w:r w:rsidR="00AF0958" w:rsidRPr="00465302">
        <w:rPr>
          <w:rFonts w:cs="Times New Roman"/>
          <w:szCs w:val="24"/>
        </w:rPr>
        <w:t xml:space="preserve"> in </w:t>
      </w:r>
      <w:r w:rsidRPr="00465302">
        <w:rPr>
          <w:rFonts w:cs="Times New Roman"/>
          <w:szCs w:val="24"/>
        </w:rPr>
        <w:t>the PLLD project</w:t>
      </w:r>
      <w:r w:rsidR="00364732" w:rsidRPr="00465302">
        <w:rPr>
          <w:rFonts w:cs="Times New Roman"/>
          <w:szCs w:val="24"/>
        </w:rPr>
        <w:t xml:space="preserve">, the embryos were anesthetized at </w:t>
      </w:r>
      <w:r w:rsidR="003C7A73">
        <w:rPr>
          <w:rFonts w:cs="Times New Roman"/>
          <w:szCs w:val="24"/>
        </w:rPr>
        <w:t>four</w:t>
      </w:r>
      <w:r w:rsidR="00364732" w:rsidRPr="00465302">
        <w:rPr>
          <w:rFonts w:cs="Times New Roman"/>
          <w:szCs w:val="24"/>
        </w:rPr>
        <w:t xml:space="preserve"> dpf by directly dispensing 4 µL of </w:t>
      </w:r>
      <w:r w:rsidR="00364732" w:rsidRPr="00465302">
        <w:t>0.04%</w:t>
      </w:r>
      <w:r w:rsidR="00364732" w:rsidRPr="00465302">
        <w:rPr>
          <w:rFonts w:cs="Times New Roman"/>
          <w:szCs w:val="24"/>
        </w:rPr>
        <w:t xml:space="preserve"> MS-222 (Western Chemical Inc., Ferndale, WA) to the individual wells using a Thermo Multidrop Combi (Thermo Scientific, Waltham, MA). Lateral </w:t>
      </w:r>
      <w:r w:rsidR="00364732" w:rsidRPr="00465302">
        <w:rPr>
          <w:rFonts w:cs="Times New Roman"/>
          <w:szCs w:val="24"/>
        </w:rPr>
        <w:lastRenderedPageBreak/>
        <w:t xml:space="preserve">fluorescence images of the embryos were taken with a GE Healthcare IN Cell 6000 Analyzer (GE Healthcare, Little Chalfont, United Kingdom) automated inverted microscope using a 4x/0.20NA objective. Four fields were collected from each well with a 5% overlap and then computationally stitched together to form a single image that covered the entire well. </w:t>
      </w:r>
    </w:p>
    <w:p w14:paraId="786BACA9" w14:textId="1EDB64AB" w:rsidR="00364732" w:rsidRPr="00465302" w:rsidRDefault="00FC616E" w:rsidP="00364732">
      <w:pPr>
        <w:spacing w:line="480" w:lineRule="auto"/>
        <w:jc w:val="both"/>
        <w:rPr>
          <w:rFonts w:cs="Times New Roman"/>
          <w:szCs w:val="24"/>
        </w:rPr>
      </w:pPr>
      <w:r w:rsidRPr="00465302">
        <w:rPr>
          <w:rFonts w:cs="Times New Roman"/>
          <w:szCs w:val="24"/>
        </w:rPr>
        <w:t>In</w:t>
      </w:r>
      <w:r w:rsidR="00364732" w:rsidRPr="00465302">
        <w:rPr>
          <w:rFonts w:cs="Times New Roman"/>
          <w:szCs w:val="24"/>
        </w:rPr>
        <w:t xml:space="preserve"> the follow-up screen</w:t>
      </w:r>
      <w:r w:rsidR="009E5CD8" w:rsidRPr="00465302">
        <w:rPr>
          <w:rFonts w:cs="Times New Roman"/>
          <w:szCs w:val="24"/>
        </w:rPr>
        <w:t xml:space="preserve">, </w:t>
      </w:r>
      <w:r w:rsidR="00364732" w:rsidRPr="00465302">
        <w:rPr>
          <w:rFonts w:cs="Times New Roman"/>
          <w:szCs w:val="24"/>
        </w:rPr>
        <w:t>serotonin experiments</w:t>
      </w:r>
      <w:r w:rsidR="009E5CD8" w:rsidRPr="00465302">
        <w:rPr>
          <w:rFonts w:cs="Times New Roman"/>
          <w:szCs w:val="24"/>
        </w:rPr>
        <w:t xml:space="preserve"> and prediction experiments</w:t>
      </w:r>
      <w:r w:rsidR="00364732" w:rsidRPr="00465302">
        <w:rPr>
          <w:rFonts w:cs="Times New Roman"/>
          <w:szCs w:val="24"/>
        </w:rPr>
        <w:t xml:space="preserve">, the embryos were anesthetized and manually transferred to 96 well plates at </w:t>
      </w:r>
      <w:r w:rsidR="003C7A73">
        <w:rPr>
          <w:rFonts w:cs="Times New Roman"/>
          <w:szCs w:val="24"/>
        </w:rPr>
        <w:t>four</w:t>
      </w:r>
      <w:r w:rsidR="00364732" w:rsidRPr="00465302">
        <w:rPr>
          <w:rFonts w:cs="Times New Roman"/>
          <w:szCs w:val="24"/>
        </w:rPr>
        <w:t xml:space="preserve"> dpf and laterally imaged using fluorescence microscopy (inverted Olympus 1X51 microscope equipped with the cellSens Dimension software, 4X objective, and Olympus XM10 camera (Olympus, Center Valley, PA)</w:t>
      </w:r>
      <w:r w:rsidR="00364732" w:rsidRPr="00465302">
        <w:rPr>
          <w:rFonts w:cs="Times New Roman"/>
          <w:color w:val="FF0000"/>
          <w:szCs w:val="24"/>
        </w:rPr>
        <w:t xml:space="preserve"> </w:t>
      </w:r>
      <w:r w:rsidR="00364732" w:rsidRPr="00465302">
        <w:rPr>
          <w:rFonts w:cs="Times New Roman"/>
          <w:szCs w:val="24"/>
        </w:rPr>
        <w:t>or Leica DMi8 automated fluorescence microscope equipped with the Leica LASX software, Leica DFC9000 GT camera using a 5X objective</w:t>
      </w:r>
      <w:r w:rsidR="00364732" w:rsidRPr="00465302">
        <w:t>)</w:t>
      </w:r>
      <w:r w:rsidR="00364732" w:rsidRPr="00465302">
        <w:rPr>
          <w:rFonts w:cs="Times New Roman"/>
          <w:szCs w:val="24"/>
        </w:rPr>
        <w:t xml:space="preserve">. </w:t>
      </w:r>
    </w:p>
    <w:p w14:paraId="3C779B20" w14:textId="77777777" w:rsidR="00276FEF" w:rsidRPr="00465302" w:rsidRDefault="00364732" w:rsidP="00276FEF">
      <w:pPr>
        <w:spacing w:after="0" w:line="480" w:lineRule="auto"/>
        <w:jc w:val="both"/>
        <w:rPr>
          <w:rFonts w:cs="Times New Roman"/>
          <w:szCs w:val="24"/>
        </w:rPr>
      </w:pPr>
      <w:r w:rsidRPr="00465302">
        <w:rPr>
          <w:rFonts w:cs="Times New Roman"/>
          <w:szCs w:val="24"/>
        </w:rPr>
        <w:t xml:space="preserve">Time-lapse imaging was performed on a Nikon A1S Confocal microscope (Nikon Instruments Inc., Melville, NY) over a span of 56 h. </w:t>
      </w:r>
    </w:p>
    <w:p w14:paraId="061EBB63" w14:textId="293557E2" w:rsidR="00364732" w:rsidRPr="00465302" w:rsidRDefault="00140CD7">
      <w:pPr>
        <w:pStyle w:val="Heading2"/>
        <w:rPr>
          <w:szCs w:val="24"/>
        </w:rPr>
      </w:pPr>
      <w:bookmarkStart w:id="76" w:name="_Toc39502068"/>
      <w:r w:rsidRPr="00465302">
        <w:t>4.5 ZEBRAFISH DATA ANALYSIS</w:t>
      </w:r>
      <w:bookmarkEnd w:id="76"/>
      <w:r w:rsidRPr="00465302">
        <w:t xml:space="preserve"> </w:t>
      </w:r>
    </w:p>
    <w:p w14:paraId="64076C86" w14:textId="3AA1ECC3" w:rsidR="00364732" w:rsidRPr="00465302" w:rsidRDefault="000C621C" w:rsidP="00242745">
      <w:pPr>
        <w:spacing w:before="0" w:line="480" w:lineRule="auto"/>
        <w:jc w:val="both"/>
        <w:rPr>
          <w:rFonts w:cs="Times New Roman"/>
          <w:color w:val="FF0000"/>
          <w:szCs w:val="24"/>
        </w:rPr>
      </w:pPr>
      <w:r w:rsidRPr="00465302">
        <w:rPr>
          <w:rFonts w:cs="Times New Roman"/>
          <w:szCs w:val="24"/>
        </w:rPr>
        <w:t>In the PLLD project</w:t>
      </w:r>
      <w:r w:rsidR="006449F1" w:rsidRPr="00465302">
        <w:rPr>
          <w:rFonts w:cs="Times New Roman"/>
          <w:szCs w:val="24"/>
        </w:rPr>
        <w:t>, a</w:t>
      </w:r>
      <w:r w:rsidR="00364732" w:rsidRPr="00465302">
        <w:rPr>
          <w:rFonts w:cs="Times New Roman"/>
          <w:szCs w:val="24"/>
        </w:rPr>
        <w:t xml:space="preserve">ll the images were visually analyzed to identify the chemicals that altered the number of PLL neuromasts as compared to vehicle treated embryos. The criteria used to identify active compounds in the HTS were compounds that reduced PLL neuromasts: in a dose response pattern; in </w:t>
      </w:r>
      <w:r w:rsidR="000F0745">
        <w:rPr>
          <w:rFonts w:cs="Times New Roman"/>
          <w:szCs w:val="24"/>
        </w:rPr>
        <w:t>two</w:t>
      </w:r>
      <w:r w:rsidR="00364732" w:rsidRPr="00465302">
        <w:rPr>
          <w:rFonts w:cs="Times New Roman"/>
          <w:szCs w:val="24"/>
        </w:rPr>
        <w:t xml:space="preserve"> or </w:t>
      </w:r>
      <w:r w:rsidR="000F0745">
        <w:rPr>
          <w:rFonts w:cs="Times New Roman"/>
          <w:szCs w:val="24"/>
        </w:rPr>
        <w:t>three</w:t>
      </w:r>
      <w:r w:rsidR="00364732" w:rsidRPr="00465302">
        <w:rPr>
          <w:rFonts w:cs="Times New Roman"/>
          <w:szCs w:val="24"/>
        </w:rPr>
        <w:t xml:space="preserve"> embryos (out of </w:t>
      </w:r>
      <w:r w:rsidR="003C7A73">
        <w:rPr>
          <w:rFonts w:cs="Times New Roman"/>
          <w:szCs w:val="24"/>
        </w:rPr>
        <w:t>three</w:t>
      </w:r>
      <w:r w:rsidR="00364732" w:rsidRPr="00465302">
        <w:rPr>
          <w:rFonts w:cs="Times New Roman"/>
          <w:szCs w:val="24"/>
        </w:rPr>
        <w:t xml:space="preserve"> replicates) at </w:t>
      </w:r>
      <w:r w:rsidR="000F0745">
        <w:rPr>
          <w:rFonts w:cs="Times New Roman"/>
          <w:szCs w:val="24"/>
        </w:rPr>
        <w:t>two</w:t>
      </w:r>
      <w:r w:rsidR="00364732" w:rsidRPr="00465302">
        <w:rPr>
          <w:rFonts w:cs="Times New Roman"/>
          <w:szCs w:val="24"/>
        </w:rPr>
        <w:t xml:space="preserve"> or </w:t>
      </w:r>
      <w:r w:rsidR="000F0745">
        <w:rPr>
          <w:rFonts w:cs="Times New Roman"/>
          <w:szCs w:val="24"/>
        </w:rPr>
        <w:t>three</w:t>
      </w:r>
      <w:r w:rsidR="00364732" w:rsidRPr="00465302">
        <w:rPr>
          <w:rFonts w:cs="Times New Roman"/>
          <w:szCs w:val="24"/>
        </w:rPr>
        <w:t xml:space="preserve"> concentrations; or in at least </w:t>
      </w:r>
      <w:r w:rsidR="000F0745">
        <w:rPr>
          <w:rFonts w:cs="Times New Roman"/>
          <w:szCs w:val="24"/>
        </w:rPr>
        <w:t>one</w:t>
      </w:r>
      <w:r w:rsidR="00364732" w:rsidRPr="00465302">
        <w:rPr>
          <w:rFonts w:cs="Times New Roman"/>
          <w:szCs w:val="24"/>
        </w:rPr>
        <w:t xml:space="preserve"> embryo across all </w:t>
      </w:r>
      <w:r w:rsidR="000F0745">
        <w:rPr>
          <w:rFonts w:cs="Times New Roman"/>
          <w:szCs w:val="24"/>
        </w:rPr>
        <w:t>three</w:t>
      </w:r>
      <w:r w:rsidR="00364732" w:rsidRPr="00465302">
        <w:rPr>
          <w:rFonts w:cs="Times New Roman"/>
          <w:szCs w:val="24"/>
        </w:rPr>
        <w:t xml:space="preserve"> concentrations. For the follow-up screening</w:t>
      </w:r>
      <w:r w:rsidR="009E5CD8" w:rsidRPr="00465302">
        <w:rPr>
          <w:rFonts w:cs="Times New Roman"/>
          <w:szCs w:val="24"/>
        </w:rPr>
        <w:t>, serotonin modulator treatments, and predicted PLLD treatments,</w:t>
      </w:r>
      <w:r w:rsidR="00364732" w:rsidRPr="00465302">
        <w:rPr>
          <w:rFonts w:cs="Times New Roman"/>
          <w:szCs w:val="24"/>
        </w:rPr>
        <w:t xml:space="preserve"> we considered a chemical as a PLL disruptor if it decreased the number of PLL neuromasts in a dose dependent manner</w:t>
      </w:r>
      <w:r w:rsidR="00364732" w:rsidRPr="00465302">
        <w:rPr>
          <w:rFonts w:cs="Times New Roman"/>
          <w:color w:val="auto"/>
          <w:szCs w:val="24"/>
        </w:rPr>
        <w:t xml:space="preserve">. </w:t>
      </w:r>
      <w:r w:rsidR="009E5CD8" w:rsidRPr="00465302">
        <w:rPr>
          <w:rFonts w:cs="Times New Roman"/>
          <w:color w:val="auto"/>
          <w:szCs w:val="24"/>
        </w:rPr>
        <w:t xml:space="preserve">All </w:t>
      </w:r>
      <w:r w:rsidR="009E5CD8" w:rsidRPr="00465302">
        <w:rPr>
          <w:rFonts w:eastAsia="Times New Roman" w:cs="Times New Roman"/>
          <w:color w:val="auto"/>
          <w:szCs w:val="24"/>
        </w:rPr>
        <w:t>dose</w:t>
      </w:r>
      <w:r w:rsidR="009E5CD8" w:rsidRPr="00465302">
        <w:rPr>
          <w:rFonts w:eastAsia="Times New Roman" w:cs="Times New Roman"/>
          <w:color w:val="000000"/>
          <w:szCs w:val="24"/>
        </w:rPr>
        <w:t xml:space="preserve">-response graphs were plotted using GraphPad Prism version 7 (GraphPad Software, La Jolla, </w:t>
      </w:r>
      <w:r w:rsidR="009E5CD8" w:rsidRPr="00465302">
        <w:rPr>
          <w:rFonts w:eastAsia="Times New Roman" w:cs="Times New Roman"/>
          <w:color w:val="000000"/>
          <w:szCs w:val="24"/>
        </w:rPr>
        <w:lastRenderedPageBreak/>
        <w:t>CA).  The percentage of affected embryos by exposure to the predicted PLLDs were compared to that of the controls using un-paired Student’s t-test (95% CI). The mean percentage of affected control (DMSO) embryos was used as a cut-off value. </w:t>
      </w:r>
    </w:p>
    <w:p w14:paraId="7CB54DD8" w14:textId="73C46B2F" w:rsidR="006449F1" w:rsidRPr="00465302" w:rsidRDefault="006449F1" w:rsidP="006449F1">
      <w:pPr>
        <w:spacing w:after="0" w:line="480" w:lineRule="auto"/>
        <w:jc w:val="both"/>
        <w:rPr>
          <w:rFonts w:eastAsia="Times New Roman" w:cs="Times New Roman"/>
          <w:color w:val="auto"/>
          <w:szCs w:val="24"/>
        </w:rPr>
      </w:pPr>
      <w:r w:rsidRPr="00465302">
        <w:rPr>
          <w:rFonts w:eastAsia="Times New Roman" w:cs="Times New Roman"/>
          <w:color w:val="000000"/>
          <w:szCs w:val="24"/>
        </w:rPr>
        <w:t xml:space="preserve">In </w:t>
      </w:r>
      <w:r w:rsidR="000C621C" w:rsidRPr="00465302">
        <w:rPr>
          <w:rFonts w:eastAsia="Times New Roman" w:cs="Times New Roman"/>
          <w:color w:val="000000"/>
          <w:szCs w:val="24"/>
        </w:rPr>
        <w:t>the VDC project</w:t>
      </w:r>
      <w:r w:rsidRPr="00465302">
        <w:rPr>
          <w:rFonts w:eastAsia="Times New Roman" w:cs="Times New Roman"/>
          <w:color w:val="000000"/>
          <w:szCs w:val="24"/>
        </w:rPr>
        <w:t xml:space="preserve">, images of zebrafish larvae were visually analyzed for the ISV effects. The percentage effect for each concentration of chemicals was calculated from at least three independent experiments and the dose-response curves were plotted using GraphPad Prism version 7 (GraphPad Software, La Jolla, CA).  </w:t>
      </w:r>
    </w:p>
    <w:p w14:paraId="527849BC" w14:textId="28273851" w:rsidR="006449F1" w:rsidRPr="00465302" w:rsidRDefault="000C621C" w:rsidP="006449F1">
      <w:pPr>
        <w:spacing w:after="0" w:line="480" w:lineRule="auto"/>
        <w:jc w:val="both"/>
        <w:rPr>
          <w:rFonts w:eastAsia="Times New Roman" w:cs="Times New Roman"/>
          <w:color w:val="000000"/>
          <w:szCs w:val="24"/>
        </w:rPr>
      </w:pPr>
      <w:r w:rsidRPr="00465302">
        <w:rPr>
          <w:rFonts w:eastAsia="Times New Roman" w:cs="Times New Roman"/>
          <w:color w:val="000000"/>
          <w:szCs w:val="24"/>
        </w:rPr>
        <w:t>To</w:t>
      </w:r>
      <w:r w:rsidR="006449F1" w:rsidRPr="00465302">
        <w:rPr>
          <w:rFonts w:eastAsia="Times New Roman" w:cs="Times New Roman"/>
          <w:color w:val="000000"/>
          <w:szCs w:val="24"/>
        </w:rPr>
        <w:t xml:space="preserve"> quantif</w:t>
      </w:r>
      <w:r w:rsidRPr="00465302">
        <w:rPr>
          <w:rFonts w:eastAsia="Times New Roman" w:cs="Times New Roman"/>
          <w:color w:val="000000"/>
          <w:szCs w:val="24"/>
        </w:rPr>
        <w:t>y</w:t>
      </w:r>
      <w:r w:rsidR="006449F1" w:rsidRPr="00465302">
        <w:rPr>
          <w:rFonts w:eastAsia="Times New Roman" w:cs="Times New Roman"/>
          <w:color w:val="000000"/>
          <w:szCs w:val="24"/>
        </w:rPr>
        <w:t xml:space="preserve"> network formation in the HUVEC assay</w:t>
      </w:r>
      <w:r w:rsidR="009E5CD8" w:rsidRPr="00465302">
        <w:rPr>
          <w:rFonts w:eastAsia="Times New Roman" w:cs="Times New Roman"/>
          <w:color w:val="000000"/>
          <w:szCs w:val="24"/>
        </w:rPr>
        <w:t xml:space="preserve"> in chapter 3</w:t>
      </w:r>
      <w:r w:rsidR="006449F1" w:rsidRPr="00465302">
        <w:rPr>
          <w:rFonts w:eastAsia="Times New Roman" w:cs="Times New Roman"/>
          <w:color w:val="000000"/>
          <w:szCs w:val="24"/>
        </w:rPr>
        <w:t xml:space="preserve">, Avi files were extracted as image sequences and analyzed with a customized version of Angiogenesis Analyzer </w:t>
      </w:r>
      <w:hyperlink r:id="rId37" w:history="1">
        <w:r w:rsidR="006449F1" w:rsidRPr="00465302">
          <w:rPr>
            <w:rStyle w:val="Hyperlink"/>
            <w:rFonts w:eastAsia="Times New Roman"/>
            <w:szCs w:val="24"/>
          </w:rPr>
          <w:t>https://imagej.nih.gov/ij/macros/toolsets/Angiogenesis%20Analyzer.txt</w:t>
        </w:r>
      </w:hyperlink>
      <w:r w:rsidR="006449F1" w:rsidRPr="00465302">
        <w:rPr>
          <w:rFonts w:eastAsia="Times New Roman" w:cs="Times New Roman"/>
          <w:color w:val="000000"/>
          <w:szCs w:val="24"/>
        </w:rPr>
        <w:t xml:space="preserve"> programmed for ImageJ software (</w:t>
      </w:r>
      <w:hyperlink r:id="rId38" w:history="1">
        <w:r w:rsidR="006449F1" w:rsidRPr="00465302">
          <w:rPr>
            <w:rStyle w:val="Hyperlink"/>
            <w:rFonts w:eastAsia="Times New Roman"/>
            <w:szCs w:val="24"/>
          </w:rPr>
          <w:t>https://imagej.nih.gov/ij/</w:t>
        </w:r>
      </w:hyperlink>
      <w:r w:rsidR="006449F1" w:rsidRPr="00465302">
        <w:rPr>
          <w:rFonts w:eastAsia="Times New Roman" w:cs="Times New Roman"/>
          <w:color w:val="000000"/>
          <w:szCs w:val="24"/>
        </w:rPr>
        <w:t>).The statistical analysis of HUVEC vascular networks was performed with three replicates using Student’s t-test.</w:t>
      </w:r>
    </w:p>
    <w:p w14:paraId="32882A91" w14:textId="7AAA7041" w:rsidR="008637CA" w:rsidRPr="00465302" w:rsidRDefault="00140CD7">
      <w:pPr>
        <w:pStyle w:val="Heading2"/>
        <w:rPr>
          <w:sz w:val="27"/>
          <w:szCs w:val="27"/>
        </w:rPr>
      </w:pPr>
      <w:bookmarkStart w:id="77" w:name="_Toc39502069"/>
      <w:r w:rsidRPr="00465302">
        <w:rPr>
          <w:sz w:val="27"/>
          <w:szCs w:val="27"/>
        </w:rPr>
        <w:t>4.6 UNIVARIATE CORRELATION ANALYSIS AND TOXPI SIGNATURES</w:t>
      </w:r>
      <w:bookmarkEnd w:id="77"/>
    </w:p>
    <w:p w14:paraId="2CD5DC36" w14:textId="56643A9C" w:rsidR="008637CA" w:rsidRPr="00465302" w:rsidRDefault="008637CA" w:rsidP="00242745">
      <w:pPr>
        <w:spacing w:before="0" w:line="480" w:lineRule="auto"/>
        <w:jc w:val="both"/>
        <w:rPr>
          <w:rFonts w:cs="Times New Roman"/>
          <w:szCs w:val="24"/>
        </w:rPr>
      </w:pPr>
      <w:r w:rsidRPr="00465302">
        <w:rPr>
          <w:rFonts w:cs="Times New Roman"/>
          <w:szCs w:val="24"/>
        </w:rPr>
        <w:t xml:space="preserve">Univariate correlation analysis was used to associate the zebrafish PLLDs and VDCs separately to ToxCast </w:t>
      </w:r>
      <w:r w:rsidRPr="00465302">
        <w:rPr>
          <w:rFonts w:cs="Times New Roman"/>
          <w:i/>
          <w:iCs/>
          <w:szCs w:val="24"/>
        </w:rPr>
        <w:t>in vitro</w:t>
      </w:r>
      <w:r w:rsidRPr="00465302">
        <w:rPr>
          <w:rFonts w:cs="Times New Roman"/>
          <w:szCs w:val="24"/>
        </w:rPr>
        <w:t xml:space="preserve"> assay data</w:t>
      </w:r>
      <w:r w:rsidR="008F22D1" w:rsidRPr="00465302">
        <w:rPr>
          <w:rFonts w:cs="Times New Roman"/>
          <w:szCs w:val="24"/>
        </w:rPr>
        <w:t xml:space="preserve"> </w:t>
      </w:r>
      <w:r w:rsidR="008F22D1" w:rsidRPr="00465302">
        <w:rPr>
          <w:rFonts w:cs="Times New Roman"/>
          <w:szCs w:val="24"/>
        </w:rPr>
        <w:fldChar w:fldCharType="begin" w:fldLock="1"/>
      </w:r>
      <w:r w:rsidR="008F22D1" w:rsidRPr="00465302">
        <w:rPr>
          <w:rFonts w:cs="Times New Roman"/>
          <w:szCs w:val="24"/>
        </w:rPr>
        <w:instrText>ADDIN CSL_CITATION {"citationItems":[{"id":"ITEM-1","itemData":{"DOI":"10.1289/ehp.0901392","ISSN":"00916765","abstract":"Background: Chemical toxicity testing is being transformed by advances in biology and computer modeling, concerns over animal use, and the thousands of environmental chemicals lacking toxicity data. The U.S. Environmental Protection Agency's ToxCast program aims to address these concerns by screening and prioritizing chemicals for potential human toxicity using in vitro assays and in silico approaches. Objectives: This project aims to evaluate the use of in vitro assays for understanding the types of molecular and pathway perturbations caused by environmental chemicals and to build initial prioritization models of in vivo toxicity. Methods: We tested 309 mostly pesticide active chemicals in 467 assays across nine technologies, including high-throughput cell-free assays and cell-based assays, in multiple human primary cells and cell lines plus rat primary hepatocytes. Both individual and composite scores for effects on genes and pathways were analyzed. Results: Chemicals displayed a broad spectrum of activity at the molecular and pathway levels. We saw many expected interactions, including endocrine and xenobiotic metabolism enzyme activity. Chemicals ranged in promiscuity across pathways, from no activity to affecting dozens of pathways. We found a statistically significant inverse association between the number of pathways perturbed by a chemical at low in vitro concentrations and the lowest in vivo dose at which a chemical causes toxicity. We also found associations between a small set of in vitro assays and rodent liver lesion formation. Conclusions: This approach promises to provide meaningful data on the thousands of untested environmental chemicals and to guide targeted testing of environmental contaminants.","author":[{"dropping-particle":"","family":"Judson","given":"Richard S.","non-dropping-particle":"","parse-names":false,"suffix":""},{"dropping-particle":"","family":"Houck","given":"Keith A.","non-dropping-particle":"","parse-names":false,"suffix":""},{"dropping-particle":"","family":"Kavlock","given":"Robert J.","non-dropping-particle":"","parse-names":false,"suffix":""},{"dropping-particle":"","family":"Knudsen","given":"Thomas B.","non-dropping-particle":"","parse-names":false,"suffix":""},{"dropping-particle":"","family":"Martin","given":"Matthew T.","non-dropping-particle":"","parse-names":false,"suffix":""},{"dropping-particle":"","family":"Mortensen","given":"Holly M.","non-dropping-particle":"","parse-names":false,"suffix":""},{"dropping-particle":"","family":"Reif","given":"David M.","non-dropping-particle":"","parse-names":false,"suffix":""},{"dropping-particle":"","family":"Rotroff","given":"Daniel M.","non-dropping-particle":"","parse-names":false,"suffix":""},{"dropping-particle":"","family":"Shah","given":"Imran","non-dropping-particle":"","parse-names":false,"suffix":""},{"dropping-particle":"","family":"Richard","given":"Ann M.","non-dropping-particle":"","parse-names":false,"suffix":""},{"dropping-particle":"","family":"Dix","given":"David J.","non-dropping-particle":"","parse-names":false,"suffix":""}],"container-title":"Environmental Health Perspectives","id":"ITEM-1","issue":"4","issued":{"date-parts":[["2010"]]},"page":"485-492","title":"In vitro screening of environmental chemicals for targeted testing prioritization: The toxcast project","type":"article-journal","volume":"118"},"uris":["http://www.mendeley.com/documents/?uuid=3bb70142-ff0e-43e5-9911-56204f4cecc0"]}],"mendeley":{"formattedCitation":"(Judson &lt;i&gt;et al.&lt;/i&gt;, 2010)","plainTextFormattedCitation":"(Judson et al., 2010)","previouslyFormattedCitation":"(Judson &lt;i&gt;et al.&lt;/i&gt;, 2010)"},"properties":{"noteIndex":0},"schema":"https://github.com/citation-style-language/schema/raw/master/csl-citation.json"}</w:instrText>
      </w:r>
      <w:r w:rsidR="008F22D1" w:rsidRPr="00465302">
        <w:rPr>
          <w:rFonts w:cs="Times New Roman"/>
          <w:szCs w:val="24"/>
        </w:rPr>
        <w:fldChar w:fldCharType="separate"/>
      </w:r>
      <w:r w:rsidR="008F22D1" w:rsidRPr="00465302">
        <w:rPr>
          <w:rFonts w:cs="Times New Roman"/>
          <w:noProof/>
          <w:szCs w:val="24"/>
        </w:rPr>
        <w:t xml:space="preserve">(Judson </w:t>
      </w:r>
      <w:r w:rsidR="008F22D1" w:rsidRPr="00465302">
        <w:rPr>
          <w:rFonts w:cs="Times New Roman"/>
          <w:i/>
          <w:noProof/>
          <w:szCs w:val="24"/>
        </w:rPr>
        <w:t>et al.</w:t>
      </w:r>
      <w:r w:rsidR="008F22D1" w:rsidRPr="00465302">
        <w:rPr>
          <w:rFonts w:cs="Times New Roman"/>
          <w:noProof/>
          <w:szCs w:val="24"/>
        </w:rPr>
        <w:t>, 2010)</w:t>
      </w:r>
      <w:r w:rsidR="008F22D1" w:rsidRPr="00465302">
        <w:rPr>
          <w:rFonts w:cs="Times New Roman"/>
          <w:szCs w:val="24"/>
        </w:rPr>
        <w:fldChar w:fldCharType="end"/>
      </w:r>
      <w:r w:rsidRPr="00465302">
        <w:rPr>
          <w:rFonts w:cs="Times New Roman"/>
          <w:szCs w:val="24"/>
        </w:rPr>
        <w:t xml:space="preserve">. Data for over 900 different </w:t>
      </w:r>
      <w:r w:rsidRPr="00465302">
        <w:rPr>
          <w:rFonts w:cs="Times New Roman"/>
          <w:i/>
          <w:szCs w:val="24"/>
        </w:rPr>
        <w:t>in vitro</w:t>
      </w:r>
      <w:r w:rsidRPr="00465302">
        <w:rPr>
          <w:rFonts w:cs="Times New Roman"/>
          <w:szCs w:val="24"/>
        </w:rPr>
        <w:t xml:space="preserve"> assays have been collected for all the ToxCast Phase I chemicals, including AC</w:t>
      </w:r>
      <w:r w:rsidRPr="00465302">
        <w:rPr>
          <w:rFonts w:cs="Times New Roman"/>
          <w:szCs w:val="24"/>
          <w:vertAlign w:val="subscript"/>
        </w:rPr>
        <w:t>50</w:t>
      </w:r>
      <w:r w:rsidRPr="00465302">
        <w:rPr>
          <w:rFonts w:cs="Times New Roman"/>
          <w:szCs w:val="24"/>
        </w:rPr>
        <w:t>s; the concentrations at half-maximal response. Data for each of these assays were compared with the zebrafish PLLDs and VDCs. We examined hit correspondence (</w:t>
      </w:r>
      <w:r w:rsidRPr="00465302">
        <w:rPr>
          <w:rFonts w:cs="Times New Roman"/>
          <w:i/>
          <w:szCs w:val="24"/>
        </w:rPr>
        <w:t>in vitro</w:t>
      </w:r>
      <w:r w:rsidRPr="00465302">
        <w:rPr>
          <w:rFonts w:cs="Times New Roman"/>
          <w:szCs w:val="24"/>
        </w:rPr>
        <w:t xml:space="preserve"> assay activity correlated with zebrafish activity) using a chi-squared test. Associations were retained if true positives ≥5 for PLLDs and ≥3 for VDCs (chemicals positive for both zebrafish PLLDs or VDCs and </w:t>
      </w:r>
      <w:r w:rsidRPr="00465302">
        <w:rPr>
          <w:rFonts w:cs="Times New Roman"/>
          <w:i/>
          <w:iCs/>
          <w:szCs w:val="24"/>
        </w:rPr>
        <w:t>in vitro</w:t>
      </w:r>
      <w:r w:rsidRPr="00465302">
        <w:rPr>
          <w:rFonts w:cs="Times New Roman"/>
          <w:szCs w:val="24"/>
        </w:rPr>
        <w:t xml:space="preserve"> assays) with the chi-squared p-value being &lt;0.05. The AC</w:t>
      </w:r>
      <w:r w:rsidRPr="00465302">
        <w:rPr>
          <w:rFonts w:cs="Times New Roman"/>
          <w:szCs w:val="24"/>
          <w:vertAlign w:val="subscript"/>
        </w:rPr>
        <w:t>50</w:t>
      </w:r>
      <w:r w:rsidRPr="00465302">
        <w:rPr>
          <w:rFonts w:cs="Times New Roman"/>
          <w:szCs w:val="24"/>
        </w:rPr>
        <w:t xml:space="preserve"> values for each PLLD or VDC for each identified </w:t>
      </w:r>
      <w:r w:rsidRPr="00465302">
        <w:rPr>
          <w:rFonts w:cs="Times New Roman"/>
          <w:szCs w:val="24"/>
        </w:rPr>
        <w:lastRenderedPageBreak/>
        <w:t xml:space="preserve">assay/end point were downloaded from EPA’s </w:t>
      </w:r>
      <w:r w:rsidRPr="00465302">
        <w:rPr>
          <w:rFonts w:cs="Times New Roman"/>
          <w:bCs/>
          <w:szCs w:val="24"/>
        </w:rPr>
        <w:t>iCSS ToxCast Dashboar</w:t>
      </w:r>
      <w:r w:rsidRPr="00465302">
        <w:rPr>
          <w:rFonts w:cs="Times New Roman"/>
          <w:szCs w:val="24"/>
        </w:rPr>
        <w:t>d (</w:t>
      </w:r>
      <w:hyperlink r:id="rId39" w:history="1">
        <w:r w:rsidRPr="00465302">
          <w:rPr>
            <w:rStyle w:val="Hyperlink"/>
            <w:rFonts w:cs="Times New Roman"/>
            <w:szCs w:val="24"/>
          </w:rPr>
          <w:t>https://comptox.epa.gov/dashboard/</w:t>
        </w:r>
      </w:hyperlink>
      <w:r w:rsidRPr="00465302">
        <w:rPr>
          <w:rFonts w:cs="Times New Roman"/>
          <w:szCs w:val="24"/>
        </w:rPr>
        <w:t xml:space="preserve">) and fed to the ToxPi program </w:t>
      </w:r>
      <w:r w:rsidR="00973196" w:rsidRPr="00465302">
        <w:rPr>
          <w:rFonts w:cs="Times New Roman"/>
          <w:szCs w:val="24"/>
        </w:rPr>
        <w:t>V2</w:t>
      </w:r>
      <w:r w:rsidRPr="00465302">
        <w:rPr>
          <w:rFonts w:cs="Times New Roman"/>
          <w:szCs w:val="24"/>
        </w:rPr>
        <w:t>.</w:t>
      </w:r>
      <w:r w:rsidR="00973196" w:rsidRPr="00465302">
        <w:rPr>
          <w:rFonts w:cs="Times New Roman"/>
          <w:szCs w:val="24"/>
        </w:rPr>
        <w:t>2</w:t>
      </w:r>
      <w:r w:rsidRPr="00465302">
        <w:rPr>
          <w:rFonts w:cs="Times New Roman"/>
          <w:szCs w:val="24"/>
        </w:rPr>
        <w:t xml:space="preserve"> to generate separated ToxPi profiles for the PLLDs and VDC. Visually, ToxPi is represented as component slices of a unit circle, with each slice representing information on a retained </w:t>
      </w:r>
      <w:r w:rsidRPr="00465302">
        <w:rPr>
          <w:rFonts w:cs="Times New Roman"/>
          <w:i/>
          <w:szCs w:val="24"/>
        </w:rPr>
        <w:t xml:space="preserve">in vitro </w:t>
      </w:r>
      <w:r w:rsidRPr="00465302">
        <w:rPr>
          <w:rFonts w:cs="Times New Roman"/>
          <w:szCs w:val="24"/>
        </w:rPr>
        <w:t>assay that correlated to the PLLDs and VDCs.</w:t>
      </w:r>
      <w:r w:rsidRPr="00465302">
        <w:rPr>
          <w:rFonts w:cs="Times New Roman"/>
          <w:i/>
          <w:szCs w:val="24"/>
        </w:rPr>
        <w:t xml:space="preserve"> In vitro</w:t>
      </w:r>
      <w:r w:rsidRPr="00465302">
        <w:rPr>
          <w:rFonts w:cs="Times New Roman"/>
          <w:szCs w:val="24"/>
        </w:rPr>
        <w:t xml:space="preserve"> assays retained for ToxPi profiles were equally weighed.</w:t>
      </w:r>
    </w:p>
    <w:p w14:paraId="236DCDCC" w14:textId="77777777" w:rsidR="008637CA" w:rsidRPr="00465302" w:rsidRDefault="008637CA" w:rsidP="008637CA">
      <w:pPr>
        <w:spacing w:line="480" w:lineRule="auto"/>
        <w:jc w:val="both"/>
        <w:rPr>
          <w:rFonts w:cs="Times New Roman"/>
          <w:szCs w:val="24"/>
        </w:rPr>
      </w:pPr>
      <w:r w:rsidRPr="00465302">
        <w:rPr>
          <w:rFonts w:cs="Times New Roman"/>
          <w:szCs w:val="24"/>
        </w:rPr>
        <w:t>The identified assays that were retained from the univariate correlation analysis were used to extract and rank chemicals for potential PLLD or ISV VDC capacity. AC</w:t>
      </w:r>
      <w:r w:rsidRPr="00465302">
        <w:rPr>
          <w:rFonts w:cs="Times New Roman"/>
          <w:szCs w:val="24"/>
          <w:vertAlign w:val="subscript"/>
        </w:rPr>
        <w:t>50</w:t>
      </w:r>
      <w:r w:rsidRPr="00465302">
        <w:rPr>
          <w:rFonts w:cs="Times New Roman"/>
          <w:szCs w:val="24"/>
        </w:rPr>
        <w:t xml:space="preserve"> data for chemicals that affected each retained </w:t>
      </w:r>
      <w:r w:rsidRPr="00465302">
        <w:rPr>
          <w:rFonts w:cs="Times New Roman"/>
          <w:i/>
          <w:szCs w:val="24"/>
        </w:rPr>
        <w:t>in vitro</w:t>
      </w:r>
      <w:r w:rsidRPr="00465302">
        <w:rPr>
          <w:rFonts w:cs="Times New Roman"/>
          <w:szCs w:val="24"/>
        </w:rPr>
        <w:t xml:space="preserve"> assay were downloaded from EPA’s dashboard. These data were downloaded as one CSV document/chemical and combined to generate a spreadsheet showing all chemicals and all assay AC</w:t>
      </w:r>
      <w:r w:rsidRPr="00465302">
        <w:rPr>
          <w:rFonts w:cs="Times New Roman"/>
          <w:szCs w:val="24"/>
          <w:vertAlign w:val="subscript"/>
        </w:rPr>
        <w:t>50</w:t>
      </w:r>
      <w:r w:rsidRPr="00465302">
        <w:rPr>
          <w:rFonts w:cs="Times New Roman"/>
          <w:szCs w:val="24"/>
        </w:rPr>
        <w:t xml:space="preserve">s. The combined spreadsheets were uploaded to the ToxPi program, and the “ranking tool” was used to rank the chemicals for their potential PLLD or ISV VDC capacity based on their computed ToxPi score, which reflects the potency of the chemicals’ effect on the ToxCast assays.  </w:t>
      </w:r>
    </w:p>
    <w:p w14:paraId="467CDE34" w14:textId="009A44E2" w:rsidR="008637CA" w:rsidRPr="00465302" w:rsidRDefault="00140CD7">
      <w:pPr>
        <w:pStyle w:val="Heading2"/>
      </w:pPr>
      <w:bookmarkStart w:id="78" w:name="_Toc39502070"/>
      <w:r w:rsidRPr="00465302">
        <w:t>4.7 WHOLE MOUNT SEROTONIN IMMUNOHISTOCHEMISTRY</w:t>
      </w:r>
      <w:bookmarkEnd w:id="78"/>
    </w:p>
    <w:p w14:paraId="3F655B97" w14:textId="072903F2" w:rsidR="008637CA" w:rsidRPr="00465302" w:rsidRDefault="008637CA" w:rsidP="008637CA">
      <w:pPr>
        <w:pStyle w:val="NoSpacing"/>
        <w:spacing w:line="480" w:lineRule="auto"/>
        <w:contextualSpacing/>
        <w:jc w:val="both"/>
        <w:rPr>
          <w:rFonts w:cs="Times New Roman"/>
          <w:szCs w:val="24"/>
        </w:rPr>
      </w:pPr>
      <w:r w:rsidRPr="00465302">
        <w:rPr>
          <w:rFonts w:cs="Times New Roman"/>
          <w:szCs w:val="24"/>
        </w:rPr>
        <w:t xml:space="preserve">Whole mount immunohistochemistry for serotonin expression in larval zebrafish was carried out in accordance with a previous study by Ulhaq and Kishida </w:t>
      </w:r>
      <w:r w:rsidRPr="00465302">
        <w:rPr>
          <w:rFonts w:cs="Times New Roman"/>
          <w:szCs w:val="24"/>
        </w:rPr>
        <w:fldChar w:fldCharType="begin" w:fldLock="1"/>
      </w:r>
      <w:r w:rsidRPr="00465302">
        <w:rPr>
          <w:rFonts w:cs="Times New Roman"/>
          <w:szCs w:val="24"/>
        </w:rPr>
        <w:instrText>ADDIN CSL_CITATION {"citationItems":[{"id":"ITEM-1","itemData":{"DOI":"10.3389/fendo.2018.00230","ISSN":"1664-2392","abstract":"Teleost fish are known to express two isoforms of P450 aromatase, a key enzyme for estrogen synthesis. One of the isoforms, brain aromatase (AroB), cyp19a1b, is highly expressed during early development of zebrafish, thereby suggesting its role in brain development. On the other hand, early development of serotonergic neuron, one of the major monoamine neurons, is considered to play an important role in neurogenesis. Therefore, in this study, we investigated the role of AroB in development of serotonergic neuron by testing the effects of (1) estradiol (E(2)) exposure and (2) morpholino (MO)-mediated AroB knockdown. When embryos were exposed to E(2), the effects were biphasic. The low dose of E(2) (0.005 µM) significantly increased serotonin (5-HT) positive area at 48 hour post-fertilization (hpf) detected by immunohistochemistry and relative mRNA levels of tryptophan hydroxylase isoforms (tph1a, tph1b, and tph2) at 96 hpf measured by semi-quantitative PCR. To test the effects on serotonin transmission, heart rate and thigmotaxis, an indicator of anxiety, were analyzed. The low dose also significantly increased heart rate at 48 hpf and decreased thigmotaxis. The high dose of E(2) (1 µM) exhibited opposite effects in all parameters. The effects of both low and high doses were reversed by addition of estrogen receptor (ER) blocker, ICI 182,780, thereby suggesting that the effects were mediated through ER. When AroB MO was injected to fertilized eggs, 5-HT-positive area was significantly decreased, while the significant decrease in relative tph mRNA levels was found only with tph2 but not with two other isoforms. AroB MO also decreased heart rate and increased thigmotaxis. All the effects were rescued by co-injection with AroB mRNA and by exposure to E(2). Taken together, this study demonstrates the role of brain aromatase in development of serotonergic neuron in zebrafish embryos and larvae, implying that brain-formed estrogen is an important factor to sustain early development of serotonergic neuron.","author":[{"dropping-particle":"","family":"Ulhaq","given":"Zulvikar Syambani","non-dropping-particle":"","parse-names":false,"suffix":""},{"dropping-particle":"","family":"Kishida","given":"Mitsuyo","non-dropping-particle":"","parse-names":false,"suffix":""}],"container-title":"Frontiers in endocrinology","id":"ITEM-1","issued":{"date-parts":[["2018","5","9"]]},"language":"eng","page":"230","publisher":"Frontiers Media S.A.","title":"Brain Aromatase Modulates Serotonergic Neuron by Regulating Serotonin Levels in Zebrafish Embryos and Larvae","type":"article-journal","volume":"9"},"uris":["http://www.mendeley.com/documents/?uuid=157d04fa-e094-4a5a-81ad-88cb67252972"]}],"mendeley":{"formattedCitation":"(Ulhaq and Kishida, 2018)","plainTextFormattedCitation":"(Ulhaq and Kishida, 2018)","previouslyFormattedCitation":"(Ulhaq and Kishida, 2018)"},"properties":{"noteIndex":0},"schema":"https://github.com/citation-style-language/schema/raw/master/csl-citation.json"}</w:instrText>
      </w:r>
      <w:r w:rsidRPr="00465302">
        <w:rPr>
          <w:rFonts w:cs="Times New Roman"/>
          <w:szCs w:val="24"/>
        </w:rPr>
        <w:fldChar w:fldCharType="separate"/>
      </w:r>
      <w:r w:rsidRPr="00465302">
        <w:rPr>
          <w:rFonts w:cs="Times New Roman"/>
          <w:noProof/>
          <w:szCs w:val="24"/>
        </w:rPr>
        <w:t>(Ulhaq and Kishida, 2018)</w:t>
      </w:r>
      <w:r w:rsidRPr="00465302">
        <w:rPr>
          <w:rFonts w:cs="Times New Roman"/>
          <w:szCs w:val="24"/>
        </w:rPr>
        <w:fldChar w:fldCharType="end"/>
      </w:r>
      <w:r w:rsidRPr="00465302">
        <w:rPr>
          <w:rFonts w:cs="Times New Roman"/>
          <w:szCs w:val="24"/>
        </w:rPr>
        <w:t xml:space="preserve">. Four dpf </w:t>
      </w:r>
      <w:r w:rsidR="009A0B96" w:rsidRPr="009A0B96">
        <w:rPr>
          <w:rFonts w:cs="Times New Roman"/>
          <w:i/>
          <w:iCs/>
          <w:szCs w:val="24"/>
        </w:rPr>
        <w:t>T</w:t>
      </w:r>
      <w:r w:rsidRPr="00DD79FA">
        <w:rPr>
          <w:rFonts w:cs="Times New Roman"/>
          <w:i/>
          <w:iCs/>
          <w:szCs w:val="24"/>
        </w:rPr>
        <w:t>g</w:t>
      </w:r>
      <w:r w:rsidR="009A0B96" w:rsidRPr="00DD79FA">
        <w:rPr>
          <w:rFonts w:cs="Times New Roman"/>
          <w:i/>
          <w:iCs/>
          <w:szCs w:val="24"/>
        </w:rPr>
        <w:t> </w:t>
      </w:r>
      <w:r w:rsidRPr="00DD79FA">
        <w:rPr>
          <w:rFonts w:cs="Times New Roman"/>
          <w:i/>
          <w:iCs/>
          <w:szCs w:val="24"/>
        </w:rPr>
        <w:t>(neuromast:GFP)</w:t>
      </w:r>
      <w:r w:rsidRPr="00465302">
        <w:rPr>
          <w:rFonts w:cs="Times New Roman"/>
          <w:szCs w:val="24"/>
        </w:rPr>
        <w:t xml:space="preserve"> larvae treated with serotonin effectors as described above were fixed overnight at 4</w:t>
      </w:r>
      <w:r w:rsidR="000F0745">
        <w:rPr>
          <w:rFonts w:cs="Times New Roman"/>
          <w:szCs w:val="24"/>
        </w:rPr>
        <w:t xml:space="preserve"> </w:t>
      </w:r>
      <w:r w:rsidRPr="00465302">
        <w:rPr>
          <w:rFonts w:cs="Times New Roman"/>
          <w:szCs w:val="24"/>
        </w:rPr>
        <w:t xml:space="preserve">°C in 4% paraformaldehyde (PFA) (n=20 per treatment). After fixation, larvae were washed in PBS </w:t>
      </w:r>
      <w:r w:rsidR="000F0745">
        <w:rPr>
          <w:rFonts w:cs="Times New Roman"/>
          <w:szCs w:val="24"/>
        </w:rPr>
        <w:t>three</w:t>
      </w:r>
      <w:r w:rsidRPr="00465302">
        <w:rPr>
          <w:rFonts w:cs="Times New Roman"/>
          <w:szCs w:val="24"/>
        </w:rPr>
        <w:t xml:space="preserve"> times for </w:t>
      </w:r>
      <w:r w:rsidR="000F0745">
        <w:rPr>
          <w:rFonts w:cs="Times New Roman"/>
          <w:szCs w:val="24"/>
        </w:rPr>
        <w:t xml:space="preserve">five </w:t>
      </w:r>
      <w:r w:rsidRPr="00465302">
        <w:rPr>
          <w:rFonts w:cs="Times New Roman"/>
          <w:szCs w:val="24"/>
        </w:rPr>
        <w:t>min</w:t>
      </w:r>
      <w:r w:rsidR="000F0745">
        <w:rPr>
          <w:rFonts w:cs="Times New Roman"/>
          <w:szCs w:val="24"/>
        </w:rPr>
        <w:t>s</w:t>
      </w:r>
      <w:r w:rsidRPr="00465302">
        <w:rPr>
          <w:rFonts w:cs="Times New Roman"/>
          <w:szCs w:val="24"/>
        </w:rPr>
        <w:t xml:space="preserve"> each time. Permeabilization was achieved by incubation of larvae in deionized water for 60 min</w:t>
      </w:r>
      <w:r w:rsidR="000F0745">
        <w:rPr>
          <w:rFonts w:cs="Times New Roman"/>
          <w:szCs w:val="24"/>
        </w:rPr>
        <w:t>s</w:t>
      </w:r>
      <w:r w:rsidRPr="00465302">
        <w:rPr>
          <w:rFonts w:cs="Times New Roman"/>
          <w:szCs w:val="24"/>
        </w:rPr>
        <w:t xml:space="preserve"> at room temperature followed by 100% acetone for </w:t>
      </w:r>
      <w:r w:rsidR="003C7A73">
        <w:rPr>
          <w:rFonts w:cs="Times New Roman"/>
          <w:szCs w:val="24"/>
        </w:rPr>
        <w:t>eight</w:t>
      </w:r>
      <w:r w:rsidR="006D4C50">
        <w:rPr>
          <w:rFonts w:cs="Times New Roman"/>
          <w:szCs w:val="24"/>
        </w:rPr>
        <w:t> </w:t>
      </w:r>
      <w:r w:rsidRPr="00465302">
        <w:rPr>
          <w:rFonts w:cs="Times New Roman"/>
          <w:szCs w:val="24"/>
        </w:rPr>
        <w:t>min</w:t>
      </w:r>
      <w:r w:rsidR="000F0745">
        <w:rPr>
          <w:rFonts w:cs="Times New Roman"/>
          <w:szCs w:val="24"/>
        </w:rPr>
        <w:t>s</w:t>
      </w:r>
      <w:r w:rsidRPr="00465302">
        <w:rPr>
          <w:rFonts w:cs="Times New Roman"/>
          <w:szCs w:val="24"/>
        </w:rPr>
        <w:t xml:space="preserve"> at -20</w:t>
      </w:r>
      <w:r w:rsidR="000F0745">
        <w:rPr>
          <w:rFonts w:cs="Times New Roman"/>
          <w:szCs w:val="24"/>
        </w:rPr>
        <w:t xml:space="preserve"> </w:t>
      </w:r>
      <w:r w:rsidRPr="00465302">
        <w:rPr>
          <w:rFonts w:cs="Times New Roman"/>
          <w:szCs w:val="24"/>
        </w:rPr>
        <w:t xml:space="preserve">°C. Larvae were then rinsed once in deionized water, then twice in 1X PBS </w:t>
      </w:r>
      <w:r w:rsidRPr="00465302">
        <w:rPr>
          <w:rFonts w:cs="Times New Roman"/>
          <w:szCs w:val="24"/>
        </w:rPr>
        <w:lastRenderedPageBreak/>
        <w:t>(</w:t>
      </w:r>
      <w:r w:rsidR="000F0745">
        <w:rPr>
          <w:rFonts w:cs="Times New Roman"/>
          <w:szCs w:val="24"/>
        </w:rPr>
        <w:t>p</w:t>
      </w:r>
      <w:r w:rsidRPr="00465302">
        <w:rPr>
          <w:rFonts w:cs="Times New Roman"/>
          <w:szCs w:val="24"/>
        </w:rPr>
        <w:t xml:space="preserve">hosphate </w:t>
      </w:r>
      <w:r w:rsidR="000F0745">
        <w:rPr>
          <w:rFonts w:cs="Times New Roman"/>
          <w:szCs w:val="24"/>
        </w:rPr>
        <w:t>b</w:t>
      </w:r>
      <w:r w:rsidRPr="00465302">
        <w:rPr>
          <w:rFonts w:cs="Times New Roman"/>
          <w:szCs w:val="24"/>
        </w:rPr>
        <w:t xml:space="preserve">uffered </w:t>
      </w:r>
      <w:r w:rsidR="000F0745">
        <w:rPr>
          <w:rFonts w:cs="Times New Roman"/>
          <w:szCs w:val="24"/>
        </w:rPr>
        <w:t>sa</w:t>
      </w:r>
      <w:r w:rsidRPr="00465302">
        <w:rPr>
          <w:rFonts w:cs="Times New Roman"/>
          <w:szCs w:val="24"/>
        </w:rPr>
        <w:t>line; prepared in dH</w:t>
      </w:r>
      <w:r w:rsidRPr="00465302">
        <w:rPr>
          <w:rFonts w:cs="Times New Roman"/>
          <w:szCs w:val="24"/>
          <w:vertAlign w:val="subscript"/>
        </w:rPr>
        <w:t>2</w:t>
      </w:r>
      <w:r w:rsidRPr="00465302">
        <w:rPr>
          <w:rFonts w:cs="Times New Roman"/>
          <w:szCs w:val="24"/>
        </w:rPr>
        <w:t xml:space="preserve">0 from commercially available tablets). Blocking solution was prepared with 10% inactivated horse serum diluted in PBT (1X PBS containing 0.3% TritonX-100) (v/v). Larvae were incubated in blocking solution for </w:t>
      </w:r>
      <w:r w:rsidR="000F0745">
        <w:rPr>
          <w:rFonts w:cs="Times New Roman"/>
          <w:szCs w:val="24"/>
        </w:rPr>
        <w:t>three</w:t>
      </w:r>
      <w:r w:rsidRPr="00465302">
        <w:rPr>
          <w:rFonts w:cs="Times New Roman"/>
          <w:szCs w:val="24"/>
        </w:rPr>
        <w:t xml:space="preserve"> h</w:t>
      </w:r>
      <w:r w:rsidR="000F0745">
        <w:rPr>
          <w:rFonts w:cs="Times New Roman"/>
          <w:szCs w:val="24"/>
        </w:rPr>
        <w:t>rs</w:t>
      </w:r>
      <w:r w:rsidRPr="00465302">
        <w:rPr>
          <w:rFonts w:cs="Times New Roman"/>
          <w:szCs w:val="24"/>
        </w:rPr>
        <w:t xml:space="preserve"> at room temperature. Blocking solution was replaced with primary antibody of rabbit polyclonal anti-5HT (5-hydroxytryptamine or serotonin) (ImmunoStar) diluted at 1:500 in 10% horse serum in PBT (v/v) for </w:t>
      </w:r>
      <w:r w:rsidR="0030426F">
        <w:rPr>
          <w:rFonts w:cs="Times New Roman"/>
          <w:szCs w:val="24"/>
        </w:rPr>
        <w:t>two</w:t>
      </w:r>
      <w:r w:rsidRPr="00465302">
        <w:rPr>
          <w:rFonts w:cs="Times New Roman"/>
          <w:szCs w:val="24"/>
        </w:rPr>
        <w:t xml:space="preserve"> days at 4</w:t>
      </w:r>
      <w:r w:rsidR="0030426F">
        <w:rPr>
          <w:rFonts w:cs="Times New Roman"/>
          <w:szCs w:val="24"/>
        </w:rPr>
        <w:t> </w:t>
      </w:r>
      <w:r w:rsidRPr="00465302">
        <w:rPr>
          <w:rFonts w:cs="Times New Roman"/>
          <w:szCs w:val="24"/>
        </w:rPr>
        <w:t xml:space="preserve">°C. Larvae were washed with PBSTX (1X PBS containing 0.1% Tween-20 and 0.5% TritonX-100) over </w:t>
      </w:r>
      <w:r w:rsidR="0030426F">
        <w:rPr>
          <w:rFonts w:cs="Times New Roman"/>
          <w:szCs w:val="24"/>
        </w:rPr>
        <w:t>four</w:t>
      </w:r>
      <w:r w:rsidRPr="00465302">
        <w:rPr>
          <w:rFonts w:cs="Times New Roman"/>
          <w:szCs w:val="24"/>
        </w:rPr>
        <w:t xml:space="preserve"> </w:t>
      </w:r>
      <w:r w:rsidR="000F0745">
        <w:rPr>
          <w:rFonts w:cs="Times New Roman"/>
          <w:szCs w:val="24"/>
        </w:rPr>
        <w:t>hrs</w:t>
      </w:r>
      <w:r w:rsidRPr="00465302">
        <w:rPr>
          <w:rFonts w:cs="Times New Roman"/>
          <w:szCs w:val="24"/>
        </w:rPr>
        <w:t xml:space="preserve"> at room temperature with a final PBS wash. The larvae were then incubated overnight at 4</w:t>
      </w:r>
      <w:r w:rsidR="0030426F">
        <w:rPr>
          <w:rFonts w:cs="Times New Roman"/>
          <w:szCs w:val="24"/>
        </w:rPr>
        <w:t> </w:t>
      </w:r>
      <w:r w:rsidRPr="00465302">
        <w:rPr>
          <w:rFonts w:cs="Times New Roman"/>
          <w:szCs w:val="24"/>
        </w:rPr>
        <w:t xml:space="preserve">°C in a secondary antibody of goat anti-rabbit IgG Alexa Fluor 594 (Life Technologies) diluted 1:100 in 10% horse serum in PBS. Larvae were washed in PBSTX over </w:t>
      </w:r>
      <w:r w:rsidR="0030426F">
        <w:rPr>
          <w:rFonts w:cs="Times New Roman"/>
          <w:szCs w:val="24"/>
        </w:rPr>
        <w:t>four</w:t>
      </w:r>
      <w:r w:rsidRPr="00465302">
        <w:rPr>
          <w:rFonts w:cs="Times New Roman"/>
          <w:szCs w:val="24"/>
        </w:rPr>
        <w:t xml:space="preserve"> </w:t>
      </w:r>
      <w:r w:rsidR="000F0745">
        <w:rPr>
          <w:rFonts w:cs="Times New Roman"/>
          <w:szCs w:val="24"/>
        </w:rPr>
        <w:t>hrs</w:t>
      </w:r>
      <w:r w:rsidRPr="00465302">
        <w:rPr>
          <w:rFonts w:cs="Times New Roman"/>
          <w:szCs w:val="24"/>
        </w:rPr>
        <w:t xml:space="preserve"> with a final wash in PBS before being postfixed overnight in 4% PFA at 4</w:t>
      </w:r>
      <w:r w:rsidR="0030426F">
        <w:rPr>
          <w:rFonts w:cs="Times New Roman"/>
          <w:szCs w:val="24"/>
        </w:rPr>
        <w:t> </w:t>
      </w:r>
      <w:r w:rsidRPr="00465302">
        <w:rPr>
          <w:rFonts w:cs="Times New Roman"/>
          <w:szCs w:val="24"/>
        </w:rPr>
        <w:t>°C. Larvae were washed with PBS and mounted in 1% low melting agarose on dorsal side in glass bottom petri-dishes for florescence imaging on a Leica DMi8 automated fluorescence microscope.</w:t>
      </w:r>
    </w:p>
    <w:p w14:paraId="4828B11A" w14:textId="6FB7E16E" w:rsidR="00AF0958" w:rsidRPr="00465302" w:rsidRDefault="00140CD7">
      <w:pPr>
        <w:pStyle w:val="Heading2"/>
      </w:pPr>
      <w:bookmarkStart w:id="79" w:name="_Toc529821542"/>
      <w:bookmarkStart w:id="80" w:name="_Toc39502071"/>
      <w:r w:rsidRPr="00465302">
        <w:t>4.8 HUVEC CULTURE AND TUBE FORMATION ASSAY</w:t>
      </w:r>
      <w:bookmarkEnd w:id="79"/>
      <w:bookmarkEnd w:id="80"/>
    </w:p>
    <w:p w14:paraId="0C971A63" w14:textId="63A3A7E1" w:rsidR="00AF0958" w:rsidRPr="00465302" w:rsidRDefault="00AF0958" w:rsidP="00242745">
      <w:pPr>
        <w:spacing w:before="0" w:after="0" w:line="480" w:lineRule="auto"/>
        <w:jc w:val="both"/>
        <w:rPr>
          <w:rFonts w:cs="Times New Roman"/>
          <w:szCs w:val="24"/>
        </w:rPr>
      </w:pPr>
      <w:r w:rsidRPr="00465302">
        <w:rPr>
          <w:rFonts w:cs="Times New Roman"/>
          <w:szCs w:val="24"/>
        </w:rPr>
        <w:t>Human primary umbilical vein endothelial cells (HUVECs; ATCC, Manassas, VA) were grown in endothelial cell media (vascular cell basal media plus endothelial cell growth kit-VEGF; ATCC, Manassas, VA). Tube formation assay was performed as described previously</w:t>
      </w:r>
      <w:r w:rsidR="008F22D1" w:rsidRPr="00465302">
        <w:rPr>
          <w:rFonts w:cs="Times New Roman"/>
          <w:szCs w:val="24"/>
        </w:rPr>
        <w:t xml:space="preserve"> </w:t>
      </w:r>
      <w:r w:rsidR="008F22D1" w:rsidRPr="00465302">
        <w:rPr>
          <w:rFonts w:cs="Times New Roman"/>
          <w:szCs w:val="24"/>
        </w:rPr>
        <w:fldChar w:fldCharType="begin" w:fldLock="1"/>
      </w:r>
      <w:r w:rsidR="008F22D1" w:rsidRPr="00465302">
        <w:rPr>
          <w:rFonts w:cs="Times New Roman"/>
          <w:szCs w:val="24"/>
        </w:rPr>
        <w:instrText>ADDIN CSL_CITATION {"citationItems":[{"id":"ITEM-1","itemData":{"DOI":"10.1038/nprot.2010.6","ISSN":"17542189","abstract":"A protocol is presented here for a rapid, quantitative and reliable in vitro angiogenesis assay that can be adapted for high throughput use. Endothelial cells are plated on a gelled basement matrix, their natural substrate, and form capillary-like structures with a lumen. The assay can be used to identify inhibitors or stimulators of angiogenesis, as well as genes and signaling pathways involved in angiogenesis. It has also been used to identify endothelial progenitor cells. This assay involves endothelial cell adhesion, migration, protease activity and tubule formation. This tube formation assay is preferred, as other in vitro assays for angiogenesis, such as cell adhesion, migration and invasion, measure limited steps in the angiogenesis process. The tube formation assay on basement membrane can be completed in a day because transformed endothelial cells form tubes within 3 h, whereas non-transformed endothelial cells form tubes within 6 h. © 2010 Nature Publlshing Group.","author":[{"dropping-particle":"","family":"Arnaoutova","given":"Irina","non-dropping-particle":"","parse-names":false,"suffix":""},{"dropping-particle":"","family":"Kleinman","given":"Hynda K.","non-dropping-particle":"","parse-names":false,"suffix":""}],"container-title":"Nature Protocols","id":"ITEM-1","issue":"4","issued":{"date-parts":[["2010"]]},"page":"628-635","publisher":"Nature Publishing Group","title":"In vitro angiogenesis: Endothelial cell tube formation on gelled basement membrane extract","type":"article-journal","volume":"5"},"uris":["http://www.mendeley.com/documents/?uuid=862596cf-c241-4685-aeae-9544349ada6f"]}],"mendeley":{"formattedCitation":"(Arnaoutova and Kleinman, 2010)","plainTextFormattedCitation":"(Arnaoutova and Kleinman, 2010)","previouslyFormattedCitation":"(Arnaoutova and Kleinman, 2010)"},"properties":{"noteIndex":0},"schema":"https://github.com/citation-style-language/schema/raw/master/csl-citation.json"}</w:instrText>
      </w:r>
      <w:r w:rsidR="008F22D1" w:rsidRPr="00465302">
        <w:rPr>
          <w:rFonts w:cs="Times New Roman"/>
          <w:szCs w:val="24"/>
        </w:rPr>
        <w:fldChar w:fldCharType="separate"/>
      </w:r>
      <w:r w:rsidR="008F22D1" w:rsidRPr="00465302">
        <w:rPr>
          <w:rFonts w:cs="Times New Roman"/>
          <w:noProof/>
          <w:szCs w:val="24"/>
        </w:rPr>
        <w:t>(Arnaoutova and Kleinman, 2010)</w:t>
      </w:r>
      <w:r w:rsidR="008F22D1" w:rsidRPr="00465302">
        <w:rPr>
          <w:rFonts w:cs="Times New Roman"/>
          <w:szCs w:val="24"/>
        </w:rPr>
        <w:fldChar w:fldCharType="end"/>
      </w:r>
      <w:r w:rsidRPr="00465302">
        <w:rPr>
          <w:rFonts w:cs="Times New Roman"/>
          <w:szCs w:val="24"/>
        </w:rPr>
        <w:t>. Briefly, basement membrane extract (BME) (ATCC, Manassas, VA) was transferred to a 96 well plate (50 µl/well) and incubated at 37</w:t>
      </w:r>
      <w:r w:rsidR="0030426F">
        <w:rPr>
          <w:rFonts w:cs="Times New Roman"/>
          <w:szCs w:val="24"/>
        </w:rPr>
        <w:t> </w:t>
      </w:r>
      <w:r w:rsidRPr="00465302">
        <w:rPr>
          <w:rFonts w:cs="Times New Roman"/>
          <w:szCs w:val="24"/>
        </w:rPr>
        <w:t xml:space="preserve">°C for 30 </w:t>
      </w:r>
      <w:r w:rsidR="0030426F">
        <w:rPr>
          <w:rFonts w:cs="Times New Roman"/>
          <w:szCs w:val="24"/>
        </w:rPr>
        <w:t>mins</w:t>
      </w:r>
      <w:r w:rsidRPr="00465302">
        <w:rPr>
          <w:rFonts w:cs="Times New Roman"/>
          <w:szCs w:val="24"/>
        </w:rPr>
        <w:t xml:space="preserve"> to solidify. For chemical treatments, HUVEC cells were detached using 0.05% trypsin-EDTA, isolated and re-suspended in endothelial cell media at a concentration of 1.5 X 10</w:t>
      </w:r>
      <w:r w:rsidRPr="00465302">
        <w:rPr>
          <w:rFonts w:cs="Times New Roman"/>
          <w:szCs w:val="24"/>
          <w:vertAlign w:val="superscript"/>
        </w:rPr>
        <w:t>5</w:t>
      </w:r>
      <w:r w:rsidRPr="00465302">
        <w:rPr>
          <w:rFonts w:cs="Times New Roman"/>
          <w:szCs w:val="24"/>
        </w:rPr>
        <w:t xml:space="preserve"> cells/ml. Aliquots of 400 µl of cell suspension were transferred to micro tubes and mixed with the chemical stock solutions to achieve the desired final concentrations for each chemical. Then 100 µl of the treated cell </w:t>
      </w:r>
      <w:r w:rsidRPr="00465302">
        <w:rPr>
          <w:rFonts w:cs="Times New Roman"/>
          <w:szCs w:val="24"/>
        </w:rPr>
        <w:lastRenderedPageBreak/>
        <w:t>suspension was transferred on top of the gelled BME in triplicates. Cells were incubated at 37</w:t>
      </w:r>
      <w:r w:rsidR="0030426F">
        <w:rPr>
          <w:rFonts w:cs="Times New Roman"/>
          <w:szCs w:val="24"/>
        </w:rPr>
        <w:t> </w:t>
      </w:r>
      <w:r w:rsidRPr="00465302">
        <w:rPr>
          <w:rFonts w:cs="Times New Roman"/>
          <w:szCs w:val="24"/>
        </w:rPr>
        <w:t>°C in a humidified atmosphere containing 5% CO</w:t>
      </w:r>
      <w:r w:rsidRPr="00465302">
        <w:rPr>
          <w:rFonts w:cs="Times New Roman"/>
          <w:szCs w:val="24"/>
          <w:vertAlign w:val="subscript"/>
        </w:rPr>
        <w:t>2</w:t>
      </w:r>
      <w:r w:rsidRPr="00465302">
        <w:rPr>
          <w:rFonts w:cs="Times New Roman"/>
          <w:szCs w:val="24"/>
        </w:rPr>
        <w:t xml:space="preserve"> and air for 24 </w:t>
      </w:r>
      <w:r w:rsidR="000F0745">
        <w:rPr>
          <w:rFonts w:cs="Times New Roman"/>
          <w:szCs w:val="24"/>
        </w:rPr>
        <w:t>hrs</w:t>
      </w:r>
      <w:r w:rsidRPr="00465302">
        <w:rPr>
          <w:rFonts w:cs="Times New Roman"/>
          <w:szCs w:val="24"/>
        </w:rPr>
        <w:t xml:space="preserve">. </w:t>
      </w:r>
    </w:p>
    <w:p w14:paraId="75D15BC7" w14:textId="20FF55A3" w:rsidR="009E5CD8" w:rsidRPr="00465302" w:rsidRDefault="00140CD7">
      <w:pPr>
        <w:pStyle w:val="Heading2"/>
      </w:pPr>
      <w:bookmarkStart w:id="81" w:name="_Toc39502072"/>
      <w:r w:rsidRPr="00465302">
        <w:t>4.9 HUVEC IMAGING AND DATA ANALYSIS</w:t>
      </w:r>
      <w:bookmarkEnd w:id="81"/>
    </w:p>
    <w:p w14:paraId="61AD2581" w14:textId="186C44AC" w:rsidR="006449F1" w:rsidRPr="006449F1" w:rsidRDefault="009E5CD8" w:rsidP="00242745">
      <w:pPr>
        <w:spacing w:before="0" w:line="480" w:lineRule="auto"/>
        <w:jc w:val="both"/>
        <w:rPr>
          <w:rFonts w:cs="Times New Roman"/>
          <w:szCs w:val="24"/>
        </w:rPr>
      </w:pPr>
      <w:r w:rsidRPr="00465302">
        <w:rPr>
          <w:rFonts w:cs="Times New Roman"/>
          <w:szCs w:val="24"/>
        </w:rPr>
        <w:t xml:space="preserve">IncuCyte® ZOOM (Essen Bioscience, Ann Arbor, MI) live cell analysis system was used for live imaging of HUVEC tube formation over a period of 24 </w:t>
      </w:r>
      <w:r w:rsidR="000F0745">
        <w:rPr>
          <w:rFonts w:cs="Times New Roman"/>
          <w:szCs w:val="24"/>
        </w:rPr>
        <w:t>hrs</w:t>
      </w:r>
      <w:r w:rsidRPr="00465302">
        <w:rPr>
          <w:rFonts w:cs="Times New Roman"/>
          <w:szCs w:val="24"/>
        </w:rPr>
        <w:t xml:space="preserve">. The phase-contrast images were captured using inverted 10X objective and were saved as time-lapse videos. </w:t>
      </w:r>
      <w:r w:rsidRPr="00465302">
        <w:rPr>
          <w:rFonts w:cs="Times New Roman"/>
          <w:color w:val="auto"/>
          <w:szCs w:val="24"/>
        </w:rPr>
        <w:t>Angiogenesis analyzer plug-in developed for the ImageJ software (</w:t>
      </w:r>
      <w:hyperlink r:id="rId40" w:history="1">
        <w:r w:rsidRPr="00465302">
          <w:rPr>
            <w:rStyle w:val="Hyperlink"/>
            <w:rFonts w:cs="Times New Roman"/>
            <w:color w:val="4472C4" w:themeColor="accent5"/>
            <w:szCs w:val="24"/>
          </w:rPr>
          <w:t>http://image.bio.methods.free.fr/ImageJ/?Angiogenesis-Analyzer-for-ImageJ</w:t>
        </w:r>
      </w:hyperlink>
      <w:r w:rsidRPr="00465302">
        <w:rPr>
          <w:rFonts w:cs="Times New Roman"/>
          <w:color w:val="auto"/>
          <w:szCs w:val="24"/>
        </w:rPr>
        <w:t xml:space="preserve">) was </w:t>
      </w:r>
      <w:r w:rsidRPr="00465302">
        <w:rPr>
          <w:rFonts w:cs="Times New Roman"/>
          <w:szCs w:val="24"/>
        </w:rPr>
        <w:t>used by the developer, Gilles Carpentier, to quantify the network formation</w:t>
      </w:r>
      <w:r w:rsidR="008F22D1" w:rsidRPr="00465302">
        <w:rPr>
          <w:rFonts w:cs="Times New Roman"/>
          <w:szCs w:val="24"/>
        </w:rPr>
        <w:t xml:space="preserve"> </w:t>
      </w:r>
      <w:r w:rsidR="008F22D1" w:rsidRPr="00465302">
        <w:rPr>
          <w:rFonts w:cs="Times New Roman"/>
          <w:szCs w:val="24"/>
        </w:rPr>
        <w:fldChar w:fldCharType="begin" w:fldLock="1"/>
      </w:r>
      <w:r w:rsidR="008F22D1" w:rsidRPr="00465302">
        <w:rPr>
          <w:rFonts w:cs="Times New Roman"/>
          <w:szCs w:val="24"/>
        </w:rPr>
        <w:instrText>ADDIN CSL_CITATION {"citationItems":[{"id":"ITEM-1","itemData":{"DOI":"10.1016/J.SCR.2014.03.001","ISSN":"1873-5061","abstract":"Human circulating endothelial progenitor cells isolated from peripheral blood generate in culture cells with features of endothelial cells named late-outgrowth endothelial colony-forming cells (ECFC). In adult blood, ECFC display a constant quantitative and qualitative decline during life span. Even after expansion, it is difficult to reach the cell dose required for cell therapy of vascular diseases, thus limiting the clinical use of these cells. Glycosaminoglycans (GAG) are components from the extracellular matrix (ECM) that are able to interact and potentiate heparin binding growth factor (HBGF) activities. According to these relevant biological properties of GAG, we designed a GAG mimetic having the capacity to increase the yield of ECFC production from blood and to improve functionality of their endothelial outgrowth. We demonstrate that the addition of [OTR4131] mimetic during the isolation process of ECFC from Cord Blood induces a 3 fold increase in the number of colonies. Moreover, addition of [OTR4131] to cell culture media improves adhesion, proliferation, migration and self-renewal of ECFC. We provide evidence showing that GAG mimetics may have great interest for cell therapy applied to vascular regeneration therapy and represent an alternative to exogenous growth factor treatments to optimize potential therapeutic properties of ECFC.","author":[{"dropping-particle":"","family":"Chevalier","given":"Fabien","non-dropping-particle":"","parse-names":false,"suffix":""},{"dropping-particle":"","family":"Lavergne","given":"Mélanie","non-dropping-particle":"","parse-names":false,"suffix":""},{"dropping-particle":"","family":"Negroni","given":"Elisa","non-dropping-particle":"","parse-names":false,"suffix":""},{"dropping-particle":"","family":"Ferratge","given":"Ségolène","non-dropping-particle":"","parse-names":false,"suffix":""},{"dropping-particle":"","family":"Carpentier","given":"Gilles","non-dropping-particle":"","parse-names":false,"suffix":""},{"dropping-particle":"","family":"Gilbert-Sirieix","given":"Marie","non-dropping-particle":"","parse-names":false,"suffix":""},{"dropping-particle":"","family":"Siñeriz","given":"Fernando","non-dropping-particle":"","parse-names":false,"suffix":""},{"dropping-particle":"","family":"Uzan","given":"Georges","non-dropping-particle":"","parse-names":false,"suffix":""},{"dropping-particle":"","family":"Albanese","given":"Patricia","non-dropping-particle":"","parse-names":false,"suffix":""}],"container-title":"Stem Cell Research","id":"ITEM-1","issue":"3","issued":{"date-parts":[["2014","5","1"]]},"page":"703-715","publisher":"Elsevier","title":"Glycosaminoglycan mimetic improves enrichment and cell functions of human endothelial progenitor cell colonies","type":"article-journal","volume":"12"},"uris":["http://www.mendeley.com/documents/?uuid=d2248698-46dc-3ff0-8340-13e90054e72b"]}],"mendeley":{"formattedCitation":"(Chevalier &lt;i&gt;et al.&lt;/i&gt;, 2014)","plainTextFormattedCitation":"(Chevalier et al., 2014)","previouslyFormattedCitation":"(Chevalier &lt;i&gt;et al.&lt;/i&gt;, 2014)"},"properties":{"noteIndex":0},"schema":"https://github.com/citation-style-language/schema/raw/master/csl-citation.json"}</w:instrText>
      </w:r>
      <w:r w:rsidR="008F22D1" w:rsidRPr="00465302">
        <w:rPr>
          <w:rFonts w:cs="Times New Roman"/>
          <w:szCs w:val="24"/>
        </w:rPr>
        <w:fldChar w:fldCharType="separate"/>
      </w:r>
      <w:r w:rsidR="008F22D1" w:rsidRPr="00465302">
        <w:rPr>
          <w:rFonts w:cs="Times New Roman"/>
          <w:noProof/>
          <w:szCs w:val="24"/>
        </w:rPr>
        <w:t xml:space="preserve">(Chevalier </w:t>
      </w:r>
      <w:r w:rsidR="008F22D1" w:rsidRPr="00465302">
        <w:rPr>
          <w:rFonts w:cs="Times New Roman"/>
          <w:i/>
          <w:noProof/>
          <w:szCs w:val="24"/>
        </w:rPr>
        <w:t>et al.</w:t>
      </w:r>
      <w:r w:rsidR="008F22D1" w:rsidRPr="00465302">
        <w:rPr>
          <w:rFonts w:cs="Times New Roman"/>
          <w:noProof/>
          <w:szCs w:val="24"/>
        </w:rPr>
        <w:t>, 2014)</w:t>
      </w:r>
      <w:r w:rsidR="008F22D1" w:rsidRPr="00465302">
        <w:rPr>
          <w:rFonts w:cs="Times New Roman"/>
          <w:szCs w:val="24"/>
        </w:rPr>
        <w:fldChar w:fldCharType="end"/>
      </w:r>
      <w:r w:rsidRPr="00465302">
        <w:rPr>
          <w:rFonts w:cs="Times New Roman"/>
          <w:szCs w:val="24"/>
        </w:rPr>
        <w:t>.</w:t>
      </w:r>
    </w:p>
    <w:p w14:paraId="480263FC" w14:textId="64A47101" w:rsidR="007760D9" w:rsidRDefault="007760D9" w:rsidP="00A5237A">
      <w:pPr>
        <w:jc w:val="both"/>
        <w:rPr>
          <w:rFonts w:cs="Times New Roman"/>
          <w:szCs w:val="24"/>
        </w:rPr>
      </w:pPr>
    </w:p>
    <w:p w14:paraId="139010BA" w14:textId="77777777" w:rsidR="00797395" w:rsidRPr="00AE23C6" w:rsidRDefault="00797395" w:rsidP="00A5237A">
      <w:pPr>
        <w:jc w:val="both"/>
        <w:rPr>
          <w:rFonts w:cs="Times New Roman"/>
          <w:szCs w:val="24"/>
        </w:rPr>
      </w:pPr>
    </w:p>
    <w:p w14:paraId="1EC29A4F" w14:textId="77777777" w:rsidR="007760D9" w:rsidRPr="00AE23C6" w:rsidRDefault="007760D9" w:rsidP="00A5237A">
      <w:pPr>
        <w:jc w:val="both"/>
        <w:rPr>
          <w:rFonts w:cs="Times New Roman"/>
          <w:szCs w:val="24"/>
        </w:rPr>
      </w:pPr>
    </w:p>
    <w:p w14:paraId="2AA6816C" w14:textId="1736939E" w:rsidR="007760D9" w:rsidRDefault="007760D9" w:rsidP="00A5237A">
      <w:pPr>
        <w:jc w:val="both"/>
        <w:rPr>
          <w:rFonts w:cs="Times New Roman"/>
          <w:szCs w:val="24"/>
        </w:rPr>
      </w:pPr>
    </w:p>
    <w:p w14:paraId="23C9C182" w14:textId="0E11590B" w:rsidR="00A410CA" w:rsidRDefault="00A410CA" w:rsidP="00A5237A">
      <w:pPr>
        <w:jc w:val="both"/>
        <w:rPr>
          <w:rFonts w:cs="Times New Roman"/>
          <w:szCs w:val="24"/>
        </w:rPr>
      </w:pPr>
    </w:p>
    <w:p w14:paraId="4A91B30B" w14:textId="528E81BD" w:rsidR="00A410CA" w:rsidRDefault="00A410CA" w:rsidP="00A5237A">
      <w:pPr>
        <w:jc w:val="both"/>
        <w:rPr>
          <w:rFonts w:cs="Times New Roman"/>
          <w:szCs w:val="24"/>
        </w:rPr>
      </w:pPr>
    </w:p>
    <w:p w14:paraId="40141A35" w14:textId="5E3E4855" w:rsidR="00A410CA" w:rsidRDefault="00A410CA" w:rsidP="00A5237A">
      <w:pPr>
        <w:jc w:val="both"/>
        <w:rPr>
          <w:rFonts w:cs="Times New Roman"/>
          <w:szCs w:val="24"/>
        </w:rPr>
      </w:pPr>
    </w:p>
    <w:p w14:paraId="1669BFFF" w14:textId="71F74850" w:rsidR="00A410CA" w:rsidRDefault="00A410CA" w:rsidP="00A5237A">
      <w:pPr>
        <w:jc w:val="both"/>
        <w:rPr>
          <w:rFonts w:cs="Times New Roman"/>
          <w:szCs w:val="24"/>
        </w:rPr>
      </w:pPr>
    </w:p>
    <w:p w14:paraId="369E2B7C" w14:textId="6CF708CA" w:rsidR="00A410CA" w:rsidRDefault="00A410CA" w:rsidP="00A5237A">
      <w:pPr>
        <w:jc w:val="both"/>
        <w:rPr>
          <w:rFonts w:cs="Times New Roman"/>
          <w:szCs w:val="24"/>
        </w:rPr>
      </w:pPr>
    </w:p>
    <w:p w14:paraId="5C1917EE" w14:textId="3B329D68" w:rsidR="00A410CA" w:rsidRDefault="00A410CA" w:rsidP="00A5237A">
      <w:pPr>
        <w:jc w:val="both"/>
        <w:rPr>
          <w:rFonts w:cs="Times New Roman"/>
          <w:szCs w:val="24"/>
        </w:rPr>
      </w:pPr>
    </w:p>
    <w:p w14:paraId="1FCD83B6" w14:textId="2A42AA4C" w:rsidR="00561084" w:rsidRDefault="00561084" w:rsidP="00A5237A">
      <w:pPr>
        <w:jc w:val="both"/>
        <w:rPr>
          <w:rFonts w:cs="Times New Roman"/>
          <w:szCs w:val="24"/>
        </w:rPr>
      </w:pPr>
    </w:p>
    <w:p w14:paraId="5A8BDC88" w14:textId="42982CB7" w:rsidR="00561084" w:rsidRDefault="00561084" w:rsidP="00A5237A">
      <w:pPr>
        <w:jc w:val="both"/>
        <w:rPr>
          <w:rFonts w:cs="Times New Roman"/>
          <w:szCs w:val="24"/>
        </w:rPr>
      </w:pPr>
    </w:p>
    <w:p w14:paraId="62F8441E" w14:textId="26C541B2" w:rsidR="00561084" w:rsidRDefault="00561084" w:rsidP="00A5237A">
      <w:pPr>
        <w:jc w:val="both"/>
        <w:rPr>
          <w:rFonts w:cs="Times New Roman"/>
          <w:szCs w:val="24"/>
        </w:rPr>
      </w:pPr>
    </w:p>
    <w:p w14:paraId="78762406" w14:textId="77777777" w:rsidR="00DF031D" w:rsidRDefault="00DF031D" w:rsidP="00A5237A">
      <w:pPr>
        <w:jc w:val="both"/>
        <w:rPr>
          <w:rFonts w:cs="Times New Roman"/>
          <w:szCs w:val="24"/>
        </w:rPr>
      </w:pPr>
    </w:p>
    <w:p w14:paraId="1F0228AE" w14:textId="30DF7041" w:rsidR="00DF031D" w:rsidRDefault="00DF031D" w:rsidP="00A5237A">
      <w:pPr>
        <w:jc w:val="both"/>
        <w:rPr>
          <w:rFonts w:cs="Times New Roman"/>
          <w:szCs w:val="24"/>
        </w:rPr>
      </w:pPr>
    </w:p>
    <w:p w14:paraId="06E24DAD" w14:textId="32CA9414" w:rsidR="00DF031D" w:rsidRDefault="00DF031D" w:rsidP="00A5237A">
      <w:pPr>
        <w:jc w:val="both"/>
        <w:rPr>
          <w:rFonts w:cs="Times New Roman"/>
          <w:szCs w:val="24"/>
        </w:rPr>
      </w:pPr>
    </w:p>
    <w:p w14:paraId="209F9FE1" w14:textId="77777777" w:rsidR="00DF031D" w:rsidRPr="00AE23C6" w:rsidRDefault="00DF031D" w:rsidP="00A5237A">
      <w:pPr>
        <w:jc w:val="both"/>
        <w:rPr>
          <w:rFonts w:cs="Times New Roman"/>
          <w:szCs w:val="24"/>
        </w:rPr>
      </w:pPr>
    </w:p>
    <w:p w14:paraId="50BFD2F7" w14:textId="3250235C" w:rsidR="007760D9" w:rsidRDefault="007760D9" w:rsidP="00A5237A">
      <w:pPr>
        <w:jc w:val="both"/>
        <w:rPr>
          <w:rFonts w:cs="Times New Roman"/>
          <w:szCs w:val="24"/>
        </w:rPr>
      </w:pPr>
    </w:p>
    <w:p w14:paraId="47694249" w14:textId="6E04B5B5" w:rsidR="00AE23C6" w:rsidRDefault="00AE23C6" w:rsidP="00A5237A">
      <w:pPr>
        <w:jc w:val="both"/>
        <w:rPr>
          <w:rFonts w:cs="Times New Roman"/>
          <w:szCs w:val="24"/>
        </w:rPr>
      </w:pPr>
    </w:p>
    <w:p w14:paraId="45BBDD0F" w14:textId="77777777" w:rsidR="00AE23C6" w:rsidRPr="00AE23C6" w:rsidRDefault="00AE23C6" w:rsidP="00A5237A">
      <w:pPr>
        <w:jc w:val="both"/>
        <w:rPr>
          <w:rFonts w:cs="Times New Roman"/>
          <w:szCs w:val="24"/>
        </w:rPr>
      </w:pPr>
    </w:p>
    <w:p w14:paraId="6A0D398D" w14:textId="11790369" w:rsidR="007760D9" w:rsidRPr="002E2AC0" w:rsidRDefault="007760D9" w:rsidP="00003E36">
      <w:pPr>
        <w:pStyle w:val="Heading1"/>
      </w:pPr>
      <w:bookmarkStart w:id="82" w:name="_Toc39502073"/>
      <w:r>
        <w:rPr>
          <w:rFonts w:cs="Times New Roman"/>
        </w:rPr>
        <w:t>CHAPTER 5</w:t>
      </w:r>
      <w:r w:rsidRPr="00D70616">
        <w:rPr>
          <w:rFonts w:cs="Times New Roman"/>
        </w:rPr>
        <w:t xml:space="preserve">: </w:t>
      </w:r>
      <w:r w:rsidR="00AD7256">
        <w:t>FUTURE DIRECTIONS</w:t>
      </w:r>
      <w:r w:rsidR="00B4126A">
        <w:t xml:space="preserve"> AND CONCLUSIONS</w:t>
      </w:r>
      <w:bookmarkEnd w:id="82"/>
    </w:p>
    <w:p w14:paraId="1865BEAD" w14:textId="77777777" w:rsidR="007760D9" w:rsidRPr="00D70616" w:rsidRDefault="007760D9" w:rsidP="00A5237A">
      <w:pPr>
        <w:jc w:val="both"/>
      </w:pPr>
    </w:p>
    <w:p w14:paraId="1250AE45" w14:textId="77777777" w:rsidR="007760D9" w:rsidRDefault="007760D9" w:rsidP="00A5237A">
      <w:pPr>
        <w:jc w:val="both"/>
      </w:pPr>
    </w:p>
    <w:p w14:paraId="3C3A421E" w14:textId="2F017ECF" w:rsidR="00140CD7" w:rsidRDefault="00140CD7">
      <w:pPr>
        <w:spacing w:before="0" w:after="160" w:line="259" w:lineRule="auto"/>
        <w:rPr>
          <w:rFonts w:eastAsiaTheme="majorEastAsia" w:cs="Times New Roman"/>
          <w:b/>
          <w:color w:val="0E101A"/>
          <w:sz w:val="28"/>
          <w:szCs w:val="28"/>
        </w:rPr>
      </w:pPr>
      <w:r>
        <w:br w:type="page"/>
      </w:r>
    </w:p>
    <w:p w14:paraId="547286C4" w14:textId="43C728C2" w:rsidR="00FB6A75" w:rsidRPr="00622DEE" w:rsidRDefault="00FB6A75" w:rsidP="00FB6A75">
      <w:pPr>
        <w:pStyle w:val="Heading2"/>
      </w:pPr>
      <w:bookmarkStart w:id="83" w:name="_Toc39502074"/>
      <w:r>
        <w:lastRenderedPageBreak/>
        <w:t>5</w:t>
      </w:r>
      <w:r w:rsidRPr="00622DEE">
        <w:t>.</w:t>
      </w:r>
      <w:r>
        <w:t>1</w:t>
      </w:r>
      <w:r w:rsidRPr="00622DEE">
        <w:t xml:space="preserve"> CONCLUSION</w:t>
      </w:r>
      <w:r>
        <w:t>S</w:t>
      </w:r>
      <w:bookmarkEnd w:id="83"/>
    </w:p>
    <w:p w14:paraId="48A8F6C7" w14:textId="6AD08BBB" w:rsidR="00FB6A75" w:rsidRDefault="00FB6A75" w:rsidP="00FB6A75">
      <w:pPr>
        <w:pStyle w:val="NormalWeb"/>
        <w:spacing w:before="0" w:beforeAutospacing="0" w:after="0" w:afterAutospacing="0" w:line="480" w:lineRule="auto"/>
        <w:jc w:val="both"/>
        <w:rPr>
          <w:color w:val="0E101A"/>
        </w:rPr>
      </w:pPr>
      <w:r>
        <w:rPr>
          <w:color w:val="0E101A"/>
        </w:rPr>
        <w:t xml:space="preserve">The introduction of thousands of untested synthetic chemicals over the last </w:t>
      </w:r>
      <w:r>
        <w:rPr>
          <w:iCs/>
          <w:color w:val="0E101A"/>
        </w:rPr>
        <w:t>century</w:t>
      </w:r>
      <w:r>
        <w:rPr>
          <w:i/>
          <w:color w:val="0E101A"/>
        </w:rPr>
        <w:t xml:space="preserve"> </w:t>
      </w:r>
      <w:r>
        <w:rPr>
          <w:color w:val="0E101A"/>
        </w:rPr>
        <w:t xml:space="preserve">and the potential risk of environmental contamination and human exposure are emerging as a serious health risk. Diseases caused by these toxicants are preventable but require proper disposal </w:t>
      </w:r>
      <w:r>
        <w:rPr>
          <w:iCs/>
          <w:color w:val="0E101A"/>
        </w:rPr>
        <w:t>management and</w:t>
      </w:r>
      <w:r>
        <w:rPr>
          <w:color w:val="0E101A"/>
        </w:rPr>
        <w:t xml:space="preserve"> extensive testing of these chemicals prior to their release. Given the sheer number of untested synthetic chemicals already in the environment, plus the abundant number being produced currently, new methodologies need to be developed to speed up the testing of these compounds before they reach the commercial market. EPA has started the ToxCast program in an effort to address this issue which screens these chemicals through </w:t>
      </w:r>
      <w:r>
        <w:rPr>
          <w:i/>
          <w:iCs/>
          <w:color w:val="0E101A"/>
        </w:rPr>
        <w:t>in vitro</w:t>
      </w:r>
      <w:r>
        <w:rPr>
          <w:color w:val="0E101A"/>
        </w:rPr>
        <w:t xml:space="preserve"> biochemical assays. These high throughput cell-based screenings of thousands of chemicals have identified several potential toxicants, but these methodologies lack the whole organism data required to accurately identify the phenotypic manifestations of these toxicants. Zebrafish are a unique vertebrate model system that allow for high-throughput phenotypic and/or genetic screening of chemicals that are indicative of mammalian systems due to their high percentage of shared homology with human genetics and development processes. Their rapid development and low-cost husbandry allow for short-term, cost-effective toxicant screening. This animal model’s unique development allows for both </w:t>
      </w:r>
      <w:r>
        <w:rPr>
          <w:rStyle w:val="Emphasis"/>
          <w:rFonts w:eastAsiaTheme="majorEastAsia"/>
          <w:color w:val="0E101A"/>
        </w:rPr>
        <w:t>in vitro</w:t>
      </w:r>
      <w:r>
        <w:rPr>
          <w:color w:val="0E101A"/>
        </w:rPr>
        <w:t> and </w:t>
      </w:r>
      <w:r>
        <w:rPr>
          <w:rStyle w:val="Emphasis"/>
          <w:rFonts w:eastAsiaTheme="majorEastAsia"/>
          <w:color w:val="0E101A"/>
        </w:rPr>
        <w:t>in vivo</w:t>
      </w:r>
      <w:r>
        <w:rPr>
          <w:color w:val="0E101A"/>
        </w:rPr>
        <w:t xml:space="preserve"> analysis aspects to be covered in a single system. The abundance of transgenic zebrafish and the ability to perform live imaging for phenotypic malformations makes this an ideal model system for </w:t>
      </w:r>
      <w:r w:rsidR="00E77A34">
        <w:rPr>
          <w:color w:val="0E101A"/>
        </w:rPr>
        <w:t xml:space="preserve">the </w:t>
      </w:r>
      <w:r>
        <w:rPr>
          <w:color w:val="0E101A"/>
        </w:rPr>
        <w:t xml:space="preserve">rapid </w:t>
      </w:r>
      <w:r>
        <w:rPr>
          <w:iCs/>
          <w:color w:val="0E101A"/>
        </w:rPr>
        <w:t>identification</w:t>
      </w:r>
      <w:r>
        <w:rPr>
          <w:i/>
          <w:color w:val="0E101A"/>
        </w:rPr>
        <w:t xml:space="preserve"> </w:t>
      </w:r>
      <w:r>
        <w:rPr>
          <w:color w:val="0E101A"/>
        </w:rPr>
        <w:t>of potential toxicants. We used </w:t>
      </w:r>
      <w:r>
        <w:rPr>
          <w:i/>
          <w:iCs/>
          <w:color w:val="0E101A"/>
        </w:rPr>
        <w:t>in vivo</w:t>
      </w:r>
      <w:r>
        <w:rPr>
          <w:color w:val="0E101A"/>
        </w:rPr>
        <w:t xml:space="preserve"> zebrafish embryo teratogenicity screens in combination with pathway-based </w:t>
      </w:r>
      <w:r>
        <w:rPr>
          <w:rStyle w:val="Emphasis"/>
          <w:rFonts w:eastAsiaTheme="majorEastAsia"/>
          <w:color w:val="0E101A"/>
        </w:rPr>
        <w:t>in vitro</w:t>
      </w:r>
      <w:r>
        <w:rPr>
          <w:color w:val="0E101A"/>
        </w:rPr>
        <w:t xml:space="preserve"> data to identify environmental chemicals that cause specific developmental malformations and their mechanisms of action. </w:t>
      </w:r>
    </w:p>
    <w:p w14:paraId="15100783" w14:textId="04B105B3" w:rsidR="00FB6A75" w:rsidRDefault="00FB6A75" w:rsidP="00FB6A75">
      <w:pPr>
        <w:pStyle w:val="NormalWeb"/>
        <w:spacing w:before="0" w:beforeAutospacing="0" w:after="0" w:afterAutospacing="0" w:line="480" w:lineRule="auto"/>
        <w:jc w:val="both"/>
        <w:rPr>
          <w:color w:val="0E101A"/>
        </w:rPr>
      </w:pPr>
      <w:r>
        <w:rPr>
          <w:color w:val="0E101A"/>
          <w:bdr w:val="none" w:sz="0" w:space="0" w:color="auto" w:frame="1"/>
        </w:rPr>
        <w:lastRenderedPageBreak/>
        <w:t>The PLL of teleost consists of mechanosensory organs</w:t>
      </w:r>
      <w:r w:rsidR="00C479D6">
        <w:rPr>
          <w:color w:val="0E101A"/>
          <w:bdr w:val="none" w:sz="0" w:space="0" w:color="auto" w:frame="1"/>
        </w:rPr>
        <w:t xml:space="preserve"> called </w:t>
      </w:r>
      <w:r>
        <w:rPr>
          <w:color w:val="0E101A"/>
          <w:bdr w:val="none" w:sz="0" w:space="0" w:color="auto" w:frame="1"/>
        </w:rPr>
        <w:t>neuromasts, which facilitate the sensing of changes in water movement. The neuromasts develop and function very similarly to the human inner ear hair cells. We here set out to identify chemicals that perturb the development of the zebrafish PLL and study the mechanism by which they act. Using transgenic zebrafish expressing GFP in neuromasts we screened two hundred and ninety-two unique chemicals of the ToxCast Phase I library and found that exposure to twenty-two chemicals altered the number of</w:t>
      </w:r>
      <w:r w:rsidR="00C479D6">
        <w:rPr>
          <w:color w:val="0E101A"/>
          <w:bdr w:val="none" w:sz="0" w:space="0" w:color="auto" w:frame="1"/>
        </w:rPr>
        <w:t xml:space="preserve"> neuromasts in the</w:t>
      </w:r>
      <w:r>
        <w:rPr>
          <w:color w:val="0E101A"/>
          <w:bdr w:val="none" w:sz="0" w:space="0" w:color="auto" w:frame="1"/>
        </w:rPr>
        <w:t xml:space="preserve"> PLL </w:t>
      </w:r>
      <w:r w:rsidR="00C479D6">
        <w:rPr>
          <w:color w:val="0E101A"/>
          <w:bdr w:val="none" w:sz="0" w:space="0" w:color="auto" w:frame="1"/>
        </w:rPr>
        <w:t>of</w:t>
      </w:r>
      <w:r>
        <w:rPr>
          <w:color w:val="0E101A"/>
          <w:bdr w:val="none" w:sz="0" w:space="0" w:color="auto" w:frame="1"/>
        </w:rPr>
        <w:t xml:space="preserve"> </w:t>
      </w:r>
      <w:r w:rsidR="00C479D6">
        <w:rPr>
          <w:color w:val="0E101A"/>
          <w:bdr w:val="none" w:sz="0" w:space="0" w:color="auto" w:frame="1"/>
        </w:rPr>
        <w:t>four</w:t>
      </w:r>
      <w:r>
        <w:rPr>
          <w:color w:val="0E101A"/>
          <w:bdr w:val="none" w:sz="0" w:space="0" w:color="auto" w:frame="1"/>
        </w:rPr>
        <w:t xml:space="preserve"> </w:t>
      </w:r>
      <w:r w:rsidR="00C479D6">
        <w:rPr>
          <w:color w:val="0E101A"/>
          <w:bdr w:val="none" w:sz="0" w:space="0" w:color="auto" w:frame="1"/>
        </w:rPr>
        <w:t>day old</w:t>
      </w:r>
      <w:r>
        <w:rPr>
          <w:color w:val="0E101A"/>
          <w:bdr w:val="none" w:sz="0" w:space="0" w:color="auto" w:frame="1"/>
        </w:rPr>
        <w:t xml:space="preserve"> zebrafish larvae. By univariate correlation analysis, we identified thirteen ToxCast </w:t>
      </w:r>
      <w:r>
        <w:rPr>
          <w:i/>
          <w:iCs/>
          <w:color w:val="0E101A"/>
          <w:bdr w:val="none" w:sz="0" w:space="0" w:color="auto" w:frame="1"/>
        </w:rPr>
        <w:t>in vitro</w:t>
      </w:r>
      <w:r>
        <w:rPr>
          <w:color w:val="0E101A"/>
          <w:bdr w:val="none" w:sz="0" w:space="0" w:color="auto" w:frame="1"/>
        </w:rPr>
        <w:t> assays that are affected by the identified PLLDs. Five of the thirteen </w:t>
      </w:r>
      <w:r>
        <w:rPr>
          <w:i/>
          <w:iCs/>
          <w:color w:val="0E101A"/>
          <w:bdr w:val="none" w:sz="0" w:space="0" w:color="auto" w:frame="1"/>
        </w:rPr>
        <w:t>in vitro</w:t>
      </w:r>
      <w:r>
        <w:rPr>
          <w:color w:val="0E101A"/>
          <w:bdr w:val="none" w:sz="0" w:space="0" w:color="auto" w:frame="1"/>
        </w:rPr>
        <w:t> assays were related to different aspects of serotonin signaling. Some of the serotonin</w:t>
      </w:r>
      <w:r w:rsidR="00045A43">
        <w:rPr>
          <w:color w:val="0E101A"/>
          <w:bdr w:val="none" w:sz="0" w:space="0" w:color="auto" w:frame="1"/>
        </w:rPr>
        <w:t>-</w:t>
      </w:r>
      <w:r>
        <w:rPr>
          <w:color w:val="0E101A"/>
          <w:bdr w:val="none" w:sz="0" w:space="0" w:color="auto" w:frame="1"/>
        </w:rPr>
        <w:t xml:space="preserve">related genes identified were MAO-A which is responsible for serotonin degradation, HTR7 which is a serotonin receptor and SLC18A2 which is a serotonin packaging and transport protein. By exposure to known serotonin modulators, we confirmed that interference in the serotonergic system resulted in PLL disruption. Not just that, we also used the five serotonin assays identified through univariate analysis to predicted potential PLLDs and were able to confirm that the ranking of untested compounds </w:t>
      </w:r>
      <w:r w:rsidR="007172DA">
        <w:rPr>
          <w:color w:val="0E101A"/>
          <w:bdr w:val="none" w:sz="0" w:space="0" w:color="auto" w:frame="1"/>
        </w:rPr>
        <w:t>correlated</w:t>
      </w:r>
      <w:r>
        <w:rPr>
          <w:color w:val="0E101A"/>
          <w:bdr w:val="none" w:sz="0" w:space="0" w:color="auto" w:frame="1"/>
        </w:rPr>
        <w:t xml:space="preserve"> to their potency to cause PLL disruption. All eight of the top</w:t>
      </w:r>
      <w:r w:rsidR="00045A43">
        <w:rPr>
          <w:color w:val="0E101A"/>
          <w:bdr w:val="none" w:sz="0" w:space="0" w:color="auto" w:frame="1"/>
        </w:rPr>
        <w:t>-</w:t>
      </w:r>
      <w:r>
        <w:rPr>
          <w:color w:val="0E101A"/>
          <w:bdr w:val="none" w:sz="0" w:space="0" w:color="auto" w:frame="1"/>
        </w:rPr>
        <w:t xml:space="preserve">scored compounds caused PLL disruption in a dose-dependent manner, whereas the 3 compounds with very low scores did not show any effects on PLL development as compared to vehicle treatment. </w:t>
      </w:r>
      <w:r w:rsidRPr="005A1250">
        <w:rPr>
          <w:color w:val="0E101A"/>
          <w:bdr w:val="none" w:sz="0" w:space="0" w:color="auto" w:frame="1"/>
        </w:rPr>
        <w:t>Interestingly, all three tested compounds with a zero rank were found to interfere with PLL development.</w:t>
      </w:r>
      <w:r>
        <w:rPr>
          <w:color w:val="0E101A"/>
          <w:bdr w:val="none" w:sz="0" w:space="0" w:color="auto" w:frame="1"/>
        </w:rPr>
        <w:t xml:space="preserve"> This further goes to show the importance of toxicity testing in whole-organism models because just the </w:t>
      </w:r>
      <w:r>
        <w:rPr>
          <w:i/>
          <w:iCs/>
          <w:color w:val="0E101A"/>
          <w:bdr w:val="none" w:sz="0" w:space="0" w:color="auto" w:frame="1"/>
        </w:rPr>
        <w:t>in vitro</w:t>
      </w:r>
      <w:r>
        <w:rPr>
          <w:color w:val="0E101A"/>
          <w:bdr w:val="none" w:sz="0" w:space="0" w:color="auto" w:frame="1"/>
        </w:rPr>
        <w:t xml:space="preserve"> assays would have missed this association. Thus, we conclude that serotonin is required for proper PLL development and that screening in an </w:t>
      </w:r>
      <w:r>
        <w:rPr>
          <w:i/>
          <w:iCs/>
          <w:color w:val="0E101A"/>
          <w:bdr w:val="none" w:sz="0" w:space="0" w:color="auto" w:frame="1"/>
        </w:rPr>
        <w:t>in vivo</w:t>
      </w:r>
      <w:r>
        <w:rPr>
          <w:color w:val="0E101A"/>
          <w:bdr w:val="none" w:sz="0" w:space="0" w:color="auto" w:frame="1"/>
        </w:rPr>
        <w:t> model in combination with computational toxicology is an effective pipeline both for the identification of toxic chemicals and for the concurrent discovery of modes of action</w:t>
      </w:r>
      <w:r w:rsidR="00897F06">
        <w:rPr>
          <w:color w:val="0E101A"/>
          <w:bdr w:val="none" w:sz="0" w:space="0" w:color="auto" w:frame="1"/>
        </w:rPr>
        <w:t xml:space="preserve"> of chemicals</w:t>
      </w:r>
      <w:r>
        <w:rPr>
          <w:color w:val="0E101A"/>
          <w:bdr w:val="none" w:sz="0" w:space="0" w:color="auto" w:frame="1"/>
        </w:rPr>
        <w:t>.</w:t>
      </w:r>
    </w:p>
    <w:p w14:paraId="22FCF08D" w14:textId="357E1CD4" w:rsidR="00FB6A75" w:rsidRDefault="00FB6A75" w:rsidP="00FB6A75">
      <w:pPr>
        <w:shd w:val="clear" w:color="auto" w:fill="FFFFFF"/>
        <w:spacing w:after="0" w:line="480" w:lineRule="atLeast"/>
        <w:jc w:val="both"/>
        <w:rPr>
          <w:rFonts w:eastAsia="Times New Roman" w:cs="Times New Roman"/>
          <w:color w:val="0E101A"/>
          <w:szCs w:val="24"/>
          <w:bdr w:val="none" w:sz="0" w:space="0" w:color="auto" w:frame="1"/>
        </w:rPr>
      </w:pPr>
      <w:r>
        <w:rPr>
          <w:rFonts w:eastAsia="Times New Roman" w:cs="Times New Roman"/>
          <w:color w:val="0E101A"/>
          <w:szCs w:val="24"/>
          <w:bdr w:val="none" w:sz="0" w:space="0" w:color="auto" w:frame="1"/>
        </w:rPr>
        <w:lastRenderedPageBreak/>
        <w:t>We investigated in-depth previously identified VDCs that particularly caused ISV malformations </w:t>
      </w:r>
      <w:r>
        <w:rPr>
          <w:rFonts w:eastAsia="Times New Roman" w:cs="Times New Roman"/>
          <w:i/>
          <w:iCs/>
          <w:color w:val="0E101A"/>
          <w:szCs w:val="24"/>
          <w:bdr w:val="none" w:sz="0" w:space="0" w:color="auto" w:frame="1"/>
        </w:rPr>
        <w:t>in vivo</w:t>
      </w:r>
      <w:r>
        <w:rPr>
          <w:rFonts w:eastAsia="Times New Roman" w:cs="Times New Roman"/>
          <w:color w:val="0E101A"/>
          <w:szCs w:val="24"/>
          <w:bdr w:val="none" w:sz="0" w:space="0" w:color="auto" w:frame="1"/>
        </w:rPr>
        <w:t xml:space="preserve"> in zebrafish and disrupted tube formation </w:t>
      </w:r>
      <w:r>
        <w:rPr>
          <w:rFonts w:eastAsia="Times New Roman" w:cs="Times New Roman"/>
          <w:i/>
          <w:iCs/>
          <w:color w:val="0E101A"/>
          <w:szCs w:val="24"/>
          <w:bdr w:val="none" w:sz="0" w:space="0" w:color="auto" w:frame="1"/>
        </w:rPr>
        <w:t>in vitro</w:t>
      </w:r>
      <w:r>
        <w:rPr>
          <w:rFonts w:eastAsia="Times New Roman" w:cs="Times New Roman"/>
          <w:color w:val="0E101A"/>
          <w:szCs w:val="24"/>
          <w:bdr w:val="none" w:sz="0" w:space="0" w:color="auto" w:frame="1"/>
        </w:rPr>
        <w:t xml:space="preserve"> in the murine endothelial cell line, C166. The in-depth analysis was carried out both </w:t>
      </w:r>
      <w:r>
        <w:rPr>
          <w:rFonts w:eastAsia="Times New Roman" w:cs="Times New Roman"/>
          <w:i/>
          <w:iCs/>
          <w:color w:val="0E101A"/>
          <w:szCs w:val="24"/>
          <w:bdr w:val="none" w:sz="0" w:space="0" w:color="auto" w:frame="1"/>
        </w:rPr>
        <w:t>in vivo</w:t>
      </w:r>
      <w:r>
        <w:rPr>
          <w:rFonts w:eastAsia="Times New Roman" w:cs="Times New Roman"/>
          <w:color w:val="0E101A"/>
          <w:szCs w:val="24"/>
          <w:bdr w:val="none" w:sz="0" w:space="0" w:color="auto" w:frame="1"/>
        </w:rPr>
        <w:t xml:space="preserve"> in zebrafish and </w:t>
      </w:r>
      <w:r>
        <w:rPr>
          <w:rFonts w:eastAsia="Times New Roman" w:cs="Times New Roman"/>
          <w:i/>
          <w:iCs/>
          <w:color w:val="0E101A"/>
          <w:szCs w:val="24"/>
          <w:bdr w:val="none" w:sz="0" w:space="0" w:color="auto" w:frame="1"/>
        </w:rPr>
        <w:t>in vitro</w:t>
      </w:r>
      <w:r>
        <w:rPr>
          <w:rFonts w:eastAsia="Times New Roman" w:cs="Times New Roman"/>
          <w:color w:val="0E101A"/>
          <w:szCs w:val="24"/>
          <w:bdr w:val="none" w:sz="0" w:space="0" w:color="auto" w:frame="1"/>
        </w:rPr>
        <w:t> in human umbilical cord endothelial cells (HUVECs). All of the ISV-VDCs tested caused ISV and tube formation-disruption in a dose-dependent manner. Upon univariate analysis of the ten ISV-VDCs, ToxCast data correlations identified that these chemicals alter signaling of nuclear receptors like AR, THR, RAR and transcription factors like H</w:t>
      </w:r>
      <w:r w:rsidR="00180FC7">
        <w:rPr>
          <w:rFonts w:eastAsia="Times New Roman" w:cs="Times New Roman"/>
          <w:color w:val="0E101A"/>
          <w:szCs w:val="24"/>
          <w:bdr w:val="none" w:sz="0" w:space="0" w:color="auto" w:frame="1"/>
        </w:rPr>
        <w:t>IF</w:t>
      </w:r>
      <w:r>
        <w:rPr>
          <w:rFonts w:eastAsia="Times New Roman" w:cs="Times New Roman"/>
          <w:color w:val="0E101A"/>
          <w:szCs w:val="24"/>
          <w:bdr w:val="none" w:sz="0" w:space="0" w:color="auto" w:frame="1"/>
        </w:rPr>
        <w:t>1α, P</w:t>
      </w:r>
      <w:r w:rsidR="00180FC7">
        <w:rPr>
          <w:rFonts w:eastAsia="Times New Roman" w:cs="Times New Roman"/>
          <w:color w:val="0E101A"/>
          <w:szCs w:val="24"/>
          <w:bdr w:val="none" w:sz="0" w:space="0" w:color="auto" w:frame="1"/>
        </w:rPr>
        <w:t>OU</w:t>
      </w:r>
      <w:r>
        <w:rPr>
          <w:rFonts w:eastAsia="Times New Roman" w:cs="Times New Roman"/>
          <w:color w:val="0E101A"/>
          <w:szCs w:val="24"/>
          <w:bdr w:val="none" w:sz="0" w:space="0" w:color="auto" w:frame="1"/>
        </w:rPr>
        <w:t>2</w:t>
      </w:r>
      <w:r w:rsidR="00180FC7">
        <w:rPr>
          <w:rFonts w:eastAsia="Times New Roman" w:cs="Times New Roman"/>
          <w:color w:val="0E101A"/>
          <w:szCs w:val="24"/>
          <w:bdr w:val="none" w:sz="0" w:space="0" w:color="auto" w:frame="1"/>
        </w:rPr>
        <w:t>F</w:t>
      </w:r>
      <w:r>
        <w:rPr>
          <w:rFonts w:eastAsia="Times New Roman" w:cs="Times New Roman"/>
          <w:color w:val="0E101A"/>
          <w:szCs w:val="24"/>
          <w:bdr w:val="none" w:sz="0" w:space="0" w:color="auto" w:frame="1"/>
        </w:rPr>
        <w:t>1 causing vascular perturbations. All of these genes are known to play a role in mammalian vascular development. Using the ToxPi tool, the ToxCast </w:t>
      </w:r>
      <w:r>
        <w:rPr>
          <w:rFonts w:eastAsia="Times New Roman" w:cs="Times New Roman"/>
          <w:i/>
          <w:iCs/>
          <w:color w:val="0E101A"/>
          <w:szCs w:val="24"/>
          <w:bdr w:val="none" w:sz="0" w:space="0" w:color="auto" w:frame="1"/>
        </w:rPr>
        <w:t>in vitro</w:t>
      </w:r>
      <w:r>
        <w:rPr>
          <w:rFonts w:eastAsia="Times New Roman" w:cs="Times New Roman"/>
          <w:color w:val="0E101A"/>
          <w:szCs w:val="24"/>
          <w:bdr w:val="none" w:sz="0" w:space="0" w:color="auto" w:frame="1"/>
        </w:rPr>
        <w:t xml:space="preserve"> assays that correlated with the identified ISV-VDCs were used to predict other chemicals that may have toxicity </w:t>
      </w:r>
      <w:r>
        <w:rPr>
          <w:rFonts w:eastAsia="Times New Roman" w:cs="Times New Roman"/>
          <w:i/>
          <w:iCs/>
          <w:color w:val="0E101A"/>
          <w:szCs w:val="24"/>
          <w:bdr w:val="none" w:sz="0" w:space="0" w:color="auto" w:frame="1"/>
        </w:rPr>
        <w:t>in vivo</w:t>
      </w:r>
      <w:r>
        <w:rPr>
          <w:rFonts w:eastAsia="Times New Roman" w:cs="Times New Roman"/>
          <w:color w:val="0E101A"/>
          <w:szCs w:val="24"/>
          <w:bdr w:val="none" w:sz="0" w:space="0" w:color="auto" w:frame="1"/>
        </w:rPr>
        <w:t xml:space="preserve"> in zebrafish and </w:t>
      </w:r>
      <w:r>
        <w:rPr>
          <w:rFonts w:eastAsia="Times New Roman" w:cs="Times New Roman"/>
          <w:i/>
          <w:iCs/>
          <w:color w:val="0E101A"/>
          <w:szCs w:val="24"/>
          <w:bdr w:val="none" w:sz="0" w:space="0" w:color="auto" w:frame="1"/>
        </w:rPr>
        <w:t>in vitro</w:t>
      </w:r>
      <w:r>
        <w:rPr>
          <w:rFonts w:eastAsia="Times New Roman" w:cs="Times New Roman"/>
          <w:color w:val="0E101A"/>
          <w:szCs w:val="24"/>
          <w:bdr w:val="none" w:sz="0" w:space="0" w:color="auto" w:frame="1"/>
        </w:rPr>
        <w:t xml:space="preserve"> in HUVECs. It remains to be seen how these chemicals affect ISV development in zebrafish and tube formation in HUVECs. In conclusion, the ISV-VDCs identified through the initial chemical screen can be used to create a pVDC signature assay profile and were also found to cause ISV disruption in zebrafish and interfere with tube-formation in HUVECs in a dose-dependent manner. The pVDC assay profile can also be used to predict other VDCs with potential </w:t>
      </w:r>
      <w:r>
        <w:rPr>
          <w:rFonts w:eastAsia="Times New Roman" w:cs="Times New Roman"/>
          <w:i/>
          <w:iCs/>
          <w:color w:val="0E101A"/>
          <w:szCs w:val="24"/>
          <w:bdr w:val="none" w:sz="0" w:space="0" w:color="auto" w:frame="1"/>
        </w:rPr>
        <w:t>in vivo</w:t>
      </w:r>
      <w:r>
        <w:rPr>
          <w:rFonts w:eastAsia="Times New Roman" w:cs="Times New Roman"/>
          <w:color w:val="0E101A"/>
          <w:szCs w:val="24"/>
          <w:bdr w:val="none" w:sz="0" w:space="0" w:color="auto" w:frame="1"/>
        </w:rPr>
        <w:t xml:space="preserve"> effects through </w:t>
      </w:r>
      <w:r w:rsidR="00045A43">
        <w:rPr>
          <w:rFonts w:eastAsia="Times New Roman" w:cs="Times New Roman"/>
          <w:color w:val="0E101A"/>
          <w:szCs w:val="24"/>
          <w:bdr w:val="none" w:sz="0" w:space="0" w:color="auto" w:frame="1"/>
        </w:rPr>
        <w:t xml:space="preserve">the </w:t>
      </w:r>
      <w:r>
        <w:rPr>
          <w:rFonts w:eastAsia="Times New Roman" w:cs="Times New Roman"/>
          <w:color w:val="0E101A"/>
          <w:szCs w:val="24"/>
          <w:bdr w:val="none" w:sz="0" w:space="0" w:color="auto" w:frame="1"/>
        </w:rPr>
        <w:t xml:space="preserve">ranking of chemicals that have been tested </w:t>
      </w:r>
      <w:r>
        <w:rPr>
          <w:rFonts w:eastAsia="Times New Roman" w:cs="Times New Roman"/>
          <w:i/>
          <w:iCs/>
          <w:color w:val="0E101A"/>
          <w:szCs w:val="24"/>
          <w:bdr w:val="none" w:sz="0" w:space="0" w:color="auto" w:frame="1"/>
        </w:rPr>
        <w:t>in vitro</w:t>
      </w:r>
      <w:r>
        <w:rPr>
          <w:rFonts w:eastAsia="Times New Roman" w:cs="Times New Roman"/>
          <w:color w:val="0E101A"/>
          <w:szCs w:val="24"/>
          <w:bdr w:val="none" w:sz="0" w:space="0" w:color="auto" w:frame="1"/>
        </w:rPr>
        <w:t xml:space="preserve"> in the identified ToxCast assays.</w:t>
      </w:r>
    </w:p>
    <w:p w14:paraId="5CA52165" w14:textId="168D1BFF" w:rsidR="00FB6A75" w:rsidRDefault="00FB6A75" w:rsidP="00FB6A75">
      <w:pPr>
        <w:shd w:val="clear" w:color="auto" w:fill="FFFFFF"/>
        <w:spacing w:after="0" w:line="480" w:lineRule="atLeast"/>
        <w:jc w:val="both"/>
        <w:rPr>
          <w:rFonts w:eastAsia="Times New Roman" w:cs="Times New Roman"/>
          <w:color w:val="201F1E"/>
          <w:szCs w:val="24"/>
        </w:rPr>
      </w:pPr>
      <w:r>
        <w:rPr>
          <w:rFonts w:cs="Times New Roman"/>
          <w:color w:val="0E101A"/>
          <w:szCs w:val="24"/>
        </w:rPr>
        <w:t>Most of the identified molecular mechanisms are conserved among vertebrates, suggesting that these chemicals could potentially be harmful to humans and other mammals. Thus, the zebrafish is a promising model system to perform initial chemical screens to prioritize chemicals and predict their molecular targets that will require further mammalian testing. Through our work, we have only just begun to scratch the surface of the potential held by the zebrafish model system. The</w:t>
      </w:r>
      <w:r w:rsidR="00180FC7">
        <w:rPr>
          <w:rFonts w:cs="Times New Roman"/>
          <w:color w:val="0E101A"/>
          <w:szCs w:val="24"/>
        </w:rPr>
        <w:t>ir</w:t>
      </w:r>
      <w:r>
        <w:rPr>
          <w:rFonts w:cs="Times New Roman"/>
          <w:color w:val="0E101A"/>
          <w:szCs w:val="24"/>
        </w:rPr>
        <w:t xml:space="preserve"> mapped genome, high degree of homology to humans, amenability to rapid screening and ease of genetic manipulation will allow the zebrafish model system to open new avenues for toxicity testing and chemical risk assessment.</w:t>
      </w:r>
    </w:p>
    <w:p w14:paraId="1425AED4" w14:textId="3466322F" w:rsidR="00B4126A" w:rsidRPr="00465302" w:rsidRDefault="00140CD7">
      <w:pPr>
        <w:pStyle w:val="Heading2"/>
      </w:pPr>
      <w:bookmarkStart w:id="84" w:name="_Toc39502075"/>
      <w:r w:rsidRPr="00465302">
        <w:lastRenderedPageBreak/>
        <w:t>5.</w:t>
      </w:r>
      <w:r w:rsidR="00FB6A75" w:rsidRPr="00465302">
        <w:t>2</w:t>
      </w:r>
      <w:r w:rsidRPr="00465302">
        <w:t xml:space="preserve"> FUTURE DIRECTIONS</w:t>
      </w:r>
      <w:bookmarkEnd w:id="84"/>
    </w:p>
    <w:p w14:paraId="1CA40F14" w14:textId="2AB9AD8D" w:rsidR="004A66F5" w:rsidRPr="00465302" w:rsidRDefault="004F3C23" w:rsidP="00242745">
      <w:pPr>
        <w:spacing w:before="0" w:line="480" w:lineRule="auto"/>
        <w:jc w:val="both"/>
        <w:rPr>
          <w:rFonts w:cs="Times New Roman"/>
          <w:szCs w:val="24"/>
          <w:shd w:val="clear" w:color="auto" w:fill="FFFFFF"/>
        </w:rPr>
      </w:pPr>
      <w:r w:rsidRPr="00465302">
        <w:rPr>
          <w:rFonts w:cs="Times New Roman"/>
          <w:color w:val="333333"/>
          <w:szCs w:val="24"/>
          <w:shd w:val="clear" w:color="auto" w:fill="FFFFFF"/>
        </w:rPr>
        <w:t xml:space="preserve">The zebrafish animal model has been used extensively in the study of disease onset, progression, and associated phenotypic changes. In this analysis, we provide a synopsis of </w:t>
      </w:r>
      <w:r w:rsidRPr="00465302">
        <w:rPr>
          <w:rFonts w:cs="Times New Roman"/>
          <w:szCs w:val="24"/>
        </w:rPr>
        <w:t xml:space="preserve">both the posterior lateral line and vascular disruption caused by </w:t>
      </w:r>
      <w:r w:rsidRPr="00180FC7">
        <w:rPr>
          <w:rFonts w:cs="Times New Roman"/>
          <w:iCs/>
          <w:szCs w:val="24"/>
        </w:rPr>
        <w:t>environmental toxicants</w:t>
      </w:r>
      <w:r w:rsidRPr="00465302">
        <w:rPr>
          <w:rFonts w:cs="Times New Roman"/>
          <w:szCs w:val="24"/>
        </w:rPr>
        <w:t xml:space="preserve"> </w:t>
      </w:r>
      <w:r w:rsidRPr="00465302">
        <w:rPr>
          <w:rFonts w:cs="Times New Roman"/>
          <w:szCs w:val="24"/>
          <w:shd w:val="clear" w:color="auto" w:fill="FFFFFF"/>
        </w:rPr>
        <w:t xml:space="preserve">using a reliable first-pass screening model for the classification of chemicals according to their teratogenic effects in the zebrafish animal model system. </w:t>
      </w:r>
      <w:r w:rsidRPr="00465302">
        <w:rPr>
          <w:rFonts w:cs="Times New Roman"/>
          <w:szCs w:val="24"/>
        </w:rPr>
        <w:t xml:space="preserve">These posterior lateral line and vascular </w:t>
      </w:r>
      <w:r w:rsidRPr="00465302">
        <w:rPr>
          <w:rFonts w:cs="Times New Roman"/>
          <w:szCs w:val="24"/>
          <w:shd w:val="clear" w:color="auto" w:fill="FFFFFF"/>
        </w:rPr>
        <w:t xml:space="preserve">studies identify specific developmental deformities associated with exposure to </w:t>
      </w:r>
      <w:r w:rsidR="00180FC7" w:rsidRPr="00180FC7">
        <w:rPr>
          <w:rFonts w:cs="Times New Roman"/>
          <w:szCs w:val="24"/>
          <w:shd w:val="clear" w:color="auto" w:fill="FFFFFF"/>
        </w:rPr>
        <w:t xml:space="preserve">the </w:t>
      </w:r>
      <w:r w:rsidRPr="00180FC7">
        <w:rPr>
          <w:rFonts w:cs="Times New Roman"/>
          <w:szCs w:val="24"/>
          <w:shd w:val="clear" w:color="auto" w:fill="FFFFFF"/>
        </w:rPr>
        <w:t>environmental toxicant</w:t>
      </w:r>
      <w:r w:rsidR="00180FC7" w:rsidRPr="00180FC7">
        <w:rPr>
          <w:rFonts w:cs="Times New Roman"/>
          <w:szCs w:val="24"/>
          <w:shd w:val="clear" w:color="auto" w:fill="FFFFFF"/>
        </w:rPr>
        <w:t>s</w:t>
      </w:r>
      <w:r w:rsidRPr="00465302">
        <w:rPr>
          <w:rFonts w:cs="Times New Roman"/>
          <w:szCs w:val="24"/>
          <w:shd w:val="clear" w:color="auto" w:fill="FFFFFF"/>
        </w:rPr>
        <w:t xml:space="preserve"> and describe </w:t>
      </w:r>
      <w:r w:rsidRPr="00465302">
        <w:rPr>
          <w:rFonts w:cs="Times New Roman"/>
          <w:szCs w:val="24"/>
        </w:rPr>
        <w:t>specific teratogenic effects</w:t>
      </w:r>
      <w:r w:rsidRPr="00465302">
        <w:rPr>
          <w:rFonts w:cs="Times New Roman"/>
          <w:szCs w:val="24"/>
          <w:shd w:val="clear" w:color="auto" w:fill="FFFFFF"/>
        </w:rPr>
        <w:t xml:space="preserve"> on zebrafish neuromast and vascular systems. </w:t>
      </w:r>
      <w:r w:rsidR="004A66F5" w:rsidRPr="00465302">
        <w:t xml:space="preserve">Overall, this will help rapidly screen through the vast number of environmental chemicals for their teratogenic effects that not only apply to aquatic vertebrates but also translate into mammals either by directly identifying the phenotypic effect they cause as seen in the </w:t>
      </w:r>
      <w:r w:rsidR="00F91E6F" w:rsidRPr="00465302">
        <w:t>VDC</w:t>
      </w:r>
      <w:r w:rsidR="004A66F5" w:rsidRPr="00465302">
        <w:t xml:space="preserve"> project or identifying the molecular pathways they work through</w:t>
      </w:r>
      <w:r w:rsidR="00F91E6F" w:rsidRPr="00465302">
        <w:t xml:space="preserve"> as seen in the PLLD project</w:t>
      </w:r>
      <w:r w:rsidR="004A66F5" w:rsidRPr="00465302">
        <w:t>.</w:t>
      </w:r>
    </w:p>
    <w:p w14:paraId="6794A9AD" w14:textId="7E31C17A" w:rsidR="00DF5241" w:rsidRPr="00465302" w:rsidRDefault="00DF5241" w:rsidP="00317481">
      <w:pPr>
        <w:pStyle w:val="Heading3"/>
      </w:pPr>
      <w:bookmarkStart w:id="85" w:name="_Toc39502076"/>
      <w:r w:rsidRPr="00465302">
        <w:t>5.</w:t>
      </w:r>
      <w:r w:rsidR="009E7680">
        <w:t>2</w:t>
      </w:r>
      <w:r w:rsidR="00B4126A" w:rsidRPr="00465302">
        <w:t>.1</w:t>
      </w:r>
      <w:r w:rsidRPr="00465302">
        <w:t xml:space="preserve"> Posterior Lateral Line Disruptors</w:t>
      </w:r>
      <w:bookmarkEnd w:id="85"/>
    </w:p>
    <w:p w14:paraId="109EE209" w14:textId="0463E2A4" w:rsidR="004A66F5" w:rsidRPr="00465302" w:rsidRDefault="00F91E6F" w:rsidP="007573FB">
      <w:pPr>
        <w:spacing w:before="0" w:line="480" w:lineRule="auto"/>
        <w:jc w:val="both"/>
      </w:pPr>
      <w:r w:rsidRPr="00465302">
        <w:t xml:space="preserve">For the PLLD project, we still need to understand the exact mechanism by which serotonin interference causes perturbations in the PLL during development since </w:t>
      </w:r>
      <w:r w:rsidR="00180FC7">
        <w:t>serotonin</w:t>
      </w:r>
      <w:r w:rsidRPr="00465302">
        <w:t xml:space="preserve"> is</w:t>
      </w:r>
      <w:r w:rsidR="0010313F" w:rsidRPr="00465302">
        <w:t xml:space="preserve"> not</w:t>
      </w:r>
      <w:r w:rsidRPr="00465302">
        <w:t xml:space="preserve"> a pathway that has previously been indicated for this role. </w:t>
      </w:r>
      <w:r w:rsidR="00A66C1A" w:rsidRPr="00465302">
        <w:t>T</w:t>
      </w:r>
      <w:r w:rsidRPr="00465302">
        <w:t xml:space="preserve">o do this, </w:t>
      </w:r>
      <w:r w:rsidR="0010313F" w:rsidRPr="00465302">
        <w:t>we would</w:t>
      </w:r>
      <w:r w:rsidRPr="00465302">
        <w:t xml:space="preserve"> </w:t>
      </w:r>
      <w:r w:rsidR="002F18E4" w:rsidRPr="00465302">
        <w:t xml:space="preserve">start by </w:t>
      </w:r>
      <w:r w:rsidR="0010313F" w:rsidRPr="00465302">
        <w:t>conduct</w:t>
      </w:r>
      <w:r w:rsidR="002F18E4" w:rsidRPr="00465302">
        <w:t>ing</w:t>
      </w:r>
      <w:r w:rsidR="0010313F" w:rsidRPr="00465302">
        <w:t xml:space="preserve"> serotonin rescue experiments following exposure to PCPA which reduces serotonin production</w:t>
      </w:r>
      <w:r w:rsidR="002F18E4" w:rsidRPr="00465302">
        <w:t>. T</w:t>
      </w:r>
      <w:r w:rsidR="0010313F" w:rsidRPr="00465302">
        <w:t>o test the hypothesis</w:t>
      </w:r>
      <w:r w:rsidR="004F3C23" w:rsidRPr="00465302">
        <w:t>,</w:t>
      </w:r>
      <w:r w:rsidR="0010313F" w:rsidRPr="00465302">
        <w:t xml:space="preserve"> exogenous serotonin would compensate for PCPA’s action and rescue the reduced neuromast phenotype up to a certain concentration of serotonin until homeostasis is achieved. Increasing serotonin levels past this concentration would again result in detrimental </w:t>
      </w:r>
      <w:r w:rsidR="00A66C1A" w:rsidRPr="00465302">
        <w:t>e</w:t>
      </w:r>
      <w:r w:rsidR="0010313F" w:rsidRPr="00465302">
        <w:t>ffects on PLL development similar to effects caused by methylene blue and clorgyline, both of which increase serotonin levels by preventing its breakdown.</w:t>
      </w:r>
    </w:p>
    <w:p w14:paraId="30FA892C" w14:textId="0C933D79" w:rsidR="002F18E4" w:rsidRPr="00465302" w:rsidRDefault="004A5835" w:rsidP="007573FB">
      <w:pPr>
        <w:spacing w:before="0" w:line="480" w:lineRule="auto"/>
        <w:jc w:val="both"/>
      </w:pPr>
      <w:r w:rsidRPr="00465302">
        <w:lastRenderedPageBreak/>
        <w:t>We are yet to understand if the PLLDs are affecting the PLL primordium or hair cell survival in neuromasts. Therefore</w:t>
      </w:r>
      <w:r w:rsidR="00180FC7">
        <w:t>,</w:t>
      </w:r>
      <w:r w:rsidRPr="00465302">
        <w:t xml:space="preserve"> we would test these compounds in </w:t>
      </w:r>
      <w:r w:rsidR="00346FBC" w:rsidRPr="00465302">
        <w:t xml:space="preserve">the </w:t>
      </w:r>
      <w:r w:rsidR="009A0B96">
        <w:rPr>
          <w:i/>
          <w:iCs/>
        </w:rPr>
        <w:t>T</w:t>
      </w:r>
      <w:r w:rsidR="00346FBC" w:rsidRPr="00DD79FA">
        <w:rPr>
          <w:i/>
          <w:iCs/>
        </w:rPr>
        <w:t>g</w:t>
      </w:r>
      <w:r w:rsidR="009A0B96">
        <w:t> </w:t>
      </w:r>
      <w:r w:rsidR="00346FBC" w:rsidRPr="00DD79FA">
        <w:rPr>
          <w:i/>
          <w:iCs/>
        </w:rPr>
        <w:t>(cldnb:GFP)</w:t>
      </w:r>
      <w:r w:rsidR="00346FBC" w:rsidRPr="00465302">
        <w:t xml:space="preserve"> line which expresses GFP in the PLL primordium</w:t>
      </w:r>
      <w:r w:rsidRPr="00465302">
        <w:t>,</w:t>
      </w:r>
      <w:r w:rsidR="00346FBC" w:rsidRPr="00465302">
        <w:t xml:space="preserve"> to count the number of cel</w:t>
      </w:r>
      <w:r w:rsidR="000601A9" w:rsidRPr="00465302">
        <w:t>ls and the migration speed of the primordium after exposure</w:t>
      </w:r>
      <w:r w:rsidR="008F22D1" w:rsidRPr="00465302">
        <w:t xml:space="preserve"> </w:t>
      </w:r>
      <w:r w:rsidR="008F22D1" w:rsidRPr="00465302">
        <w:fldChar w:fldCharType="begin" w:fldLock="1"/>
      </w:r>
      <w:r w:rsidR="008F22D1" w:rsidRPr="00465302">
        <w:instrText>ADDIN CSL_CITATION {"citationItems":[{"id":"ITEM-1","itemData":{"DOI":"10.1016/j.devcel.2006.02.019","ISSN":"1534-5807","author":[{"dropping-particle":"","family":"Haas","given":"Petra","non-dropping-particle":"","parse-names":false,"suffix":""},{"dropping-particle":"","family":"Gilmour","given":"Darren","non-dropping-particle":"","parse-names":false,"suffix":""}],"container-title":"Developmental Cell","id":"ITEM-1","issue":"5","issued":{"date-parts":[["2006","5","1"]]},"note":"doi: 10.1016/j.devcel.2006.02.019","page":"673-680","publisher":"Elsevier","title":"Chemokine Signaling Mediates Self-Organizing Tissue Migration in the Zebrafish Lateral Line","type":"article-journal","volume":"10"},"uris":["http://www.mendeley.com/documents/?uuid=60f51d58-7c3f-4986-a97c-749e538e9ff9"]}],"mendeley":{"formattedCitation":"(Haas and Gilmour, 2006)","plainTextFormattedCitation":"(Haas and Gilmour, 2006)","previouslyFormattedCitation":"(Haas and Gilmour, 2006)"},"properties":{"noteIndex":0},"schema":"https://github.com/citation-style-language/schema/raw/master/csl-citation.json"}</w:instrText>
      </w:r>
      <w:r w:rsidR="008F22D1" w:rsidRPr="00465302">
        <w:fldChar w:fldCharType="separate"/>
      </w:r>
      <w:r w:rsidR="008F22D1" w:rsidRPr="00465302">
        <w:rPr>
          <w:noProof/>
        </w:rPr>
        <w:t>(Haas and Gilmour, 2006)</w:t>
      </w:r>
      <w:r w:rsidR="008F22D1" w:rsidRPr="00465302">
        <w:fldChar w:fldCharType="end"/>
      </w:r>
      <w:r w:rsidRPr="00465302">
        <w:t xml:space="preserve">. We would </w:t>
      </w:r>
      <w:r w:rsidR="004A644E" w:rsidRPr="00465302">
        <w:t>test</w:t>
      </w:r>
      <w:r w:rsidRPr="00465302">
        <w:t xml:space="preserve"> the effect of PLLDs on neuromast hair cells by immunostaining with </w:t>
      </w:r>
      <w:r w:rsidR="004A644E" w:rsidRPr="00465302">
        <w:t xml:space="preserve">the </w:t>
      </w:r>
      <w:r w:rsidRPr="00465302">
        <w:t>hair cell-specific marker HCS1</w:t>
      </w:r>
      <w:r w:rsidR="004A644E" w:rsidRPr="00465302">
        <w:t xml:space="preserve"> and then run a TUNEL assay for apoptosis detection</w:t>
      </w:r>
      <w:r w:rsidR="008F22D1" w:rsidRPr="00465302">
        <w:t xml:space="preserve"> </w:t>
      </w:r>
      <w:r w:rsidR="008F22D1" w:rsidRPr="00465302">
        <w:fldChar w:fldCharType="begin" w:fldLock="1"/>
      </w:r>
      <w:r w:rsidR="008F22D1" w:rsidRPr="00465302">
        <w:instrText>ADDIN CSL_CITATION {"citationItems":[{"id":"ITEM-1","itemData":{"DOI":"10.1073/pnas.0608536103","ISSN":"0027-8424","abstract":"The restoration of planar cell polarity is an essential but poorly understood step toward physiological recovery during sensory-organ regeneration. Investigating this issue in the lateral line of the zebrafish, we found that hair cells regenerate in pairs along a single axis established by the restricted localization and oriented division of their progenitors. By analyzing mutants lacking the planar-polarity determinant Vangl2, we ascertained that the uniaxial production of hair cells and the subsequent orientation of their hair bundles are controlled by distinct pathways, whose combination underlies the establishment of hair-cell orientation during development and regeneration. This mechanism may represent a general principle governing the long-term maintenance of planar cell polarity in remodeling epithelia.","author":[{"dropping-particle":"","family":"López-Schier","given":"Hernán","non-dropping-particle":"","parse-names":false,"suffix":""},{"dropping-particle":"","family":"Hudspeth","given":"A J","non-dropping-particle":"","parse-names":false,"suffix":""}],"container-title":"Proceedings of the National Academy of Sciences of the United States of America","edition":"2006/11/21","id":"ITEM-1","issue":"49","issued":{"date-parts":[["2006","12","5"]]},"language":"eng","page":"18615-18620","publisher":"National Academy of Sciences","title":"A two-step mechanism underlies the planar polarization of regenerating sensory hair cells","type":"article-journal","volume":"103"},"uris":["http://www.mendeley.com/documents/?uuid=ba152cb8-23d6-4e9b-a6df-ad47ce641aa1"]}],"mendeley":{"formattedCitation":"(López-Schier and Hudspeth, 2006)","plainTextFormattedCitation":"(López-Schier and Hudspeth, 2006)","previouslyFormattedCitation":"(López-Schier and Hudspeth, 2006)"},"properties":{"noteIndex":0},"schema":"https://github.com/citation-style-language/schema/raw/master/csl-citation.json"}</w:instrText>
      </w:r>
      <w:r w:rsidR="008F22D1" w:rsidRPr="00465302">
        <w:fldChar w:fldCharType="separate"/>
      </w:r>
      <w:r w:rsidR="008F22D1" w:rsidRPr="00465302">
        <w:rPr>
          <w:noProof/>
        </w:rPr>
        <w:t>(López-Schier and Hudspeth, 2006)</w:t>
      </w:r>
      <w:r w:rsidR="008F22D1" w:rsidRPr="00465302">
        <w:fldChar w:fldCharType="end"/>
      </w:r>
      <w:r w:rsidR="004A644E" w:rsidRPr="00465302">
        <w:t>.</w:t>
      </w:r>
    </w:p>
    <w:p w14:paraId="3E8D06B9" w14:textId="50037D22" w:rsidR="004A644E" w:rsidRPr="00465302" w:rsidRDefault="004A644E" w:rsidP="00B76969">
      <w:pPr>
        <w:spacing w:before="0" w:line="480" w:lineRule="auto"/>
        <w:jc w:val="both"/>
      </w:pPr>
      <w:r w:rsidRPr="00465302">
        <w:t xml:space="preserve">Another aspect that remains to be explored is the effect of PLLDs on PLL innervation. We would examine the effects of PLLD exposure in a double transgenic line of </w:t>
      </w:r>
      <w:r w:rsidR="00B76969" w:rsidRPr="00DD79FA">
        <w:rPr>
          <w:i/>
          <w:iCs/>
        </w:rPr>
        <w:t>Et</w:t>
      </w:r>
      <w:r w:rsidR="006D4C50">
        <w:rPr>
          <w:i/>
          <w:iCs/>
        </w:rPr>
        <w:t xml:space="preserve"> </w:t>
      </w:r>
      <w:r w:rsidR="00B76969" w:rsidRPr="00DD79FA">
        <w:rPr>
          <w:i/>
          <w:iCs/>
        </w:rPr>
        <w:t>(T2KHG)39d</w:t>
      </w:r>
      <w:r w:rsidR="00B76969" w:rsidRPr="00465302">
        <w:t xml:space="preserve"> </w:t>
      </w:r>
      <w:r w:rsidRPr="00465302">
        <w:t xml:space="preserve">and </w:t>
      </w:r>
      <w:r w:rsidR="00B76969" w:rsidRPr="00DD79FA">
        <w:rPr>
          <w:i/>
          <w:iCs/>
        </w:rPr>
        <w:t>Tg</w:t>
      </w:r>
      <w:r w:rsidR="009A0B96">
        <w:rPr>
          <w:i/>
          <w:iCs/>
        </w:rPr>
        <w:t> </w:t>
      </w:r>
      <w:r w:rsidR="00B76969" w:rsidRPr="00DD79FA">
        <w:rPr>
          <w:i/>
          <w:iCs/>
        </w:rPr>
        <w:t>(cxcr4b:mRFP)</w:t>
      </w:r>
      <w:r w:rsidR="00B76969" w:rsidRPr="00465302">
        <w:t xml:space="preserve"> </w:t>
      </w:r>
      <w:r w:rsidRPr="00465302">
        <w:t xml:space="preserve">which </w:t>
      </w:r>
      <w:r w:rsidR="00B76969" w:rsidRPr="00465302">
        <w:t>will express</w:t>
      </w:r>
      <w:r w:rsidRPr="00465302">
        <w:t xml:space="preserve"> GFP in the lateral line neurons and </w:t>
      </w:r>
      <w:r w:rsidR="00B76969" w:rsidRPr="00465302">
        <w:t>RFP in the neuromasts, respectively</w:t>
      </w:r>
      <w:r w:rsidR="008F22D1" w:rsidRPr="00465302">
        <w:t xml:space="preserve"> </w:t>
      </w:r>
      <w:r w:rsidR="008F22D1" w:rsidRPr="00465302">
        <w:fldChar w:fldCharType="begin" w:fldLock="1"/>
      </w:r>
      <w:r w:rsidR="008F22D1" w:rsidRPr="00465302">
        <w:instrText>ADDIN CSL_CITATION {"citationItems":[{"id":"ITEM-1","itemData":{"DOI":"10.1073/pnas.1214004110","ISSN":"00278424","abstract":"Superficial mechanosensory organs (neuromasts) distributed over the head and body of fishes and amphibians form the \"lateral line\" system. During zebrafish adulthood, each neuromast of the body (posterior lateral line system, or PLL) produces \"accessory\" neuromasts that remain tightly clustered, thereby increasing the total number of PLL neuromasts by a factor of more than 10. This expansion is achieved by a budding process and is accompanied by branches of the afferent nerve that innervates the founder neuromast.Herewe show that innervation is essential for the budding process, in complete contrast with the development of the embryonic PLL, where innervation is entirely dispensable. To obtain insight into the molecular mechanisms that underlie the budding process, we focused on the terminal system that develops at the posterior tip of the body and on the caudal fin. In this subset of PLL neuromasts, bud neuromasts form in a reproducible sequence over a few days, much faster than for other PLL neuromasts. We show that wingless/int (Wnt) signaling takes place during, and is required for, the budding process.We also show that theWnt activator R-spondin is expressed by the axons that innervate budding neuromasts. We propose that the axon triggers Wnt signaling, which itself is involved in the proliferative phase that leads to bud formation. Finally, we show that innervation is required not only for budding, but also for long-term maintenance of all PLL neuromasts.","author":[{"dropping-particle":"","family":"Wada","given":"Hironori","non-dropping-particle":"","parse-names":false,"suffix":""},{"dropping-particle":"","family":"Dambly-Chaudière","given":"Christine","non-dropping-particle":"","parse-names":false,"suffix":""},{"dropping-particle":"","family":"Kawakami","given":"Koichi","non-dropping-particle":"","parse-names":false,"suffix":""},{"dropping-particle":"","family":"Ghysen","given":"Alain","non-dropping-particle":"","parse-names":false,"suffix":""}],"container-title":"Proceedings of the National Academy of Sciences of the United States of America","id":"ITEM-1","issue":"14","issued":{"date-parts":[["2013"]]},"page":"5659-5664","title":"Innervation is required for sense organ development in the lateral line system of adult zebrafish","type":"article-journal","volume":"110"},"uris":["http://www.mendeley.com/documents/?uuid=87fcea15-e412-482c-8b49-97f933cad6ef"]},{"id":"ITEM-2","itemData":{"DOI":"10.1371/journal.pone.0004477","ISSN":"19326203","abstract":"Hair cells in the inner ear display a characteristic polarization of their apical stereocilia across the plane of the sensory epithelium. This planar orientation allows coherent transduction of mechanical stimuli because the axis of morphological polarity of the stereocilia corresponds to the direction of excitability of the hair cells. Neuromasts of the lateral line in fishes and amphibians form two intermingled populations of hair cells oriented at 180° relative to each other, however, creating a stimulus-polarity ambiguity. Therefore, it is unknown how these animals resolve the vectorial component of a mechanical stimulus. Using genetic mosaics and live imaging in transgenic zebrafish to visualize hair cells and neurons at single-cell resolution, we show that lateral-line afferents can recognize the planar polarization of hair cells. Each neuron forms synapses with hair cells of identical orientation to divide the neuromast into functional planar-polarity compartments. We also show that afferent neurons are strict selectors of polarity that can re-establish synapses with identically oriented targets during hair-cell regeneration. Our results provide the anatomical bases for the physiological models of signal-polarity resolution by the lateral line. © 2009 Faucherre et al.","author":[{"dropping-particle":"","family":"Faucherre","given":"Adèle","non-dropping-particle":"","parse-names":false,"suffix":""},{"dropping-particle":"","family":"Pujol-Martí","given":"Jesús","non-dropping-particle":"","parse-names":false,"suffix":""},{"dropping-particle":"","family":"Kawakami","given":"Koichi","non-dropping-particle":"","parse-names":false,"suffix":""},{"dropping-particle":"","family":"López-Schier","given":"Hernán","non-dropping-particle":"","parse-names":false,"suffix":""}],"container-title":"PLoS ONE","id":"ITEM-2","issue":"2","issued":{"date-parts":[["2009"]]},"title":"Afferent neurons of the zebrafish lateral line are strict selectors of hair-cell orientation","type":"article-journal","volume":"4"},"uris":["http://www.mendeley.com/documents/?uuid=11ad4cb0-2900-46ac-8a9e-4812cfb3c32b"]}],"mendeley":{"formattedCitation":"(Faucherre &lt;i&gt;et al.&lt;/i&gt;, 2009; Wada &lt;i&gt;et al.&lt;/i&gt;, 2013)","plainTextFormattedCitation":"(Faucherre et al., 2009; Wada et al., 2013)","previouslyFormattedCitation":"(Faucherre &lt;i&gt;et al.&lt;/i&gt;, 2009; Wada &lt;i&gt;et al.&lt;/i&gt;, 2013)"},"properties":{"noteIndex":0},"schema":"https://github.com/citation-style-language/schema/raw/master/csl-citation.json"}</w:instrText>
      </w:r>
      <w:r w:rsidR="008F22D1" w:rsidRPr="00465302">
        <w:fldChar w:fldCharType="separate"/>
      </w:r>
      <w:r w:rsidR="008F22D1" w:rsidRPr="00465302">
        <w:rPr>
          <w:noProof/>
        </w:rPr>
        <w:t xml:space="preserve">(Faucherre </w:t>
      </w:r>
      <w:r w:rsidR="008F22D1" w:rsidRPr="00465302">
        <w:rPr>
          <w:i/>
          <w:noProof/>
        </w:rPr>
        <w:t>et al.</w:t>
      </w:r>
      <w:r w:rsidR="008F22D1" w:rsidRPr="00465302">
        <w:rPr>
          <w:noProof/>
        </w:rPr>
        <w:t xml:space="preserve">, 2009; Wada </w:t>
      </w:r>
      <w:r w:rsidR="008F22D1" w:rsidRPr="00465302">
        <w:rPr>
          <w:i/>
          <w:noProof/>
        </w:rPr>
        <w:t>et al.</w:t>
      </w:r>
      <w:r w:rsidR="008F22D1" w:rsidRPr="00465302">
        <w:rPr>
          <w:noProof/>
        </w:rPr>
        <w:t>, 2013)</w:t>
      </w:r>
      <w:r w:rsidR="008F22D1" w:rsidRPr="00465302">
        <w:fldChar w:fldCharType="end"/>
      </w:r>
      <w:r w:rsidR="00B76969" w:rsidRPr="00465302">
        <w:t xml:space="preserve">. </w:t>
      </w:r>
    </w:p>
    <w:p w14:paraId="73FE7FE2" w14:textId="25392B44" w:rsidR="0010313F" w:rsidRPr="00465302" w:rsidRDefault="0010313F" w:rsidP="007573FB">
      <w:pPr>
        <w:spacing w:before="0" w:line="480" w:lineRule="auto"/>
        <w:jc w:val="both"/>
      </w:pPr>
      <w:r w:rsidRPr="00465302">
        <w:t>It is also important to</w:t>
      </w:r>
      <w:r w:rsidR="004F3C23" w:rsidRPr="00465302">
        <w:t xml:space="preserve"> identify </w:t>
      </w:r>
      <w:r w:rsidRPr="00465302">
        <w:t xml:space="preserve">how the other pathways indicated in PLL disruption through univariate analysis </w:t>
      </w:r>
      <w:r w:rsidR="00072561" w:rsidRPr="00465302">
        <w:t>are involved</w:t>
      </w:r>
      <w:r w:rsidRPr="00465302">
        <w:t xml:space="preserve">. This can be tested through </w:t>
      </w:r>
      <w:r w:rsidR="00786CE5" w:rsidRPr="00465302">
        <w:t>RNA extraction and RT-qPCR of zebrafish larvae exposed to the most potent PLLDs to test if these genes are indeed affected in the zebrafish. Following this confirmation, it would be useful to perform RNA sequencing to understand how and if these different mechanisms are interconnected to manifest into the phenotypic effects we see.</w:t>
      </w:r>
    </w:p>
    <w:p w14:paraId="22FBACC7" w14:textId="7A20864C" w:rsidR="00786CE5" w:rsidRPr="00465302" w:rsidRDefault="00786CE5" w:rsidP="007573FB">
      <w:pPr>
        <w:spacing w:before="0" w:line="480" w:lineRule="auto"/>
        <w:jc w:val="both"/>
      </w:pPr>
      <w:r w:rsidRPr="00465302">
        <w:t xml:space="preserve">Furthermore, </w:t>
      </w:r>
      <w:r w:rsidR="00743300" w:rsidRPr="00465302">
        <w:t xml:space="preserve">the </w:t>
      </w:r>
      <w:r w:rsidRPr="00465302">
        <w:t xml:space="preserve">lateral line in teleost </w:t>
      </w:r>
      <w:r w:rsidR="00743300" w:rsidRPr="00465302">
        <w:t xml:space="preserve">mediates behavioral orientation to water currents (rheotaxis) for surface feeding, </w:t>
      </w:r>
      <w:r w:rsidR="00743300" w:rsidRPr="00465302">
        <w:rPr>
          <w:color w:val="000000"/>
          <w:shd w:val="clear" w:color="auto" w:fill="FFFFFF"/>
        </w:rPr>
        <w:t>schooling behavior, obstacle avoidance, and subsurface detection of prey</w:t>
      </w:r>
      <w:r w:rsidR="008F22D1" w:rsidRPr="00465302">
        <w:rPr>
          <w:color w:val="000000"/>
          <w:shd w:val="clear" w:color="auto" w:fill="FFFFFF"/>
        </w:rPr>
        <w:t xml:space="preserve"> </w:t>
      </w:r>
      <w:r w:rsidR="008F22D1" w:rsidRPr="00465302">
        <w:rPr>
          <w:color w:val="000000"/>
          <w:shd w:val="clear" w:color="auto" w:fill="FFFFFF"/>
        </w:rPr>
        <w:fldChar w:fldCharType="begin" w:fldLock="1"/>
      </w:r>
      <w:r w:rsidR="008F22D1" w:rsidRPr="00465302">
        <w:rPr>
          <w:color w:val="000000"/>
          <w:shd w:val="clear" w:color="auto" w:fill="FFFFFF"/>
        </w:rPr>
        <w:instrText>ADDIN CSL_CITATION {"citationItems":[{"id":"ITEM-1","itemData":{"DOI":"10.1002/dneu.20962","ISSN":"1932-846X","abstract":"The posterior lateral line (pLL) in zebrafish has emerged as an excellent system to study how a sensory organ system develops. Here we review recent studies that illustrate how interactions between multiple signaling pathways coordinate cell fate,morphogenesis, and collective migration of cells in the posterior lateral line primordium. These studies also illustrate how the pLL system is contributing much more broadly to our understanding of mechanisms operating during the growth, regeneration, and self-organization of other organ systems during development and disease.","author":[{"dropping-particle":"","family":"Chitnis","given":"Ajay B","non-dropping-particle":"","parse-names":false,"suffix":""},{"dropping-particle":"","family":"Nogare","given":"Damian Dalle","non-dropping-particle":"","parse-names":false,"suffix":""},{"dropping-particle":"","family":"Matsuda","given":"Miho","non-dropping-particle":"","parse-names":false,"suffix":""}],"container-title":"Developmental neurobiology","id":"ITEM-1","issue":"3","issued":{"date-parts":[["2012","3"]]},"language":"eng","page":"234-255","title":"Building the posterior lateral line system in zebrafish","type":"article-journal","volume":"72"},"uris":["http://www.mendeley.com/documents/?uuid=74f3c626-e589-4c70-9f6e-3fa2630c50d3"]}],"mendeley":{"formattedCitation":"(Chitnis, Nogare and Matsuda, 2012)","plainTextFormattedCitation":"(Chitnis, Nogare and Matsuda, 2012)","previouslyFormattedCitation":"(Chitnis, Nogare and Matsuda, 2012)"},"properties":{"noteIndex":0},"schema":"https://github.com/citation-style-language/schema/raw/master/csl-citation.json"}</w:instrText>
      </w:r>
      <w:r w:rsidR="008F22D1" w:rsidRPr="00465302">
        <w:rPr>
          <w:color w:val="000000"/>
          <w:shd w:val="clear" w:color="auto" w:fill="FFFFFF"/>
        </w:rPr>
        <w:fldChar w:fldCharType="separate"/>
      </w:r>
      <w:r w:rsidR="008F22D1" w:rsidRPr="00465302">
        <w:rPr>
          <w:noProof/>
          <w:color w:val="000000"/>
          <w:shd w:val="clear" w:color="auto" w:fill="FFFFFF"/>
        </w:rPr>
        <w:t>(Chitnis, Nogare and Matsuda, 2012)</w:t>
      </w:r>
      <w:r w:rsidR="008F22D1" w:rsidRPr="00465302">
        <w:rPr>
          <w:color w:val="000000"/>
          <w:shd w:val="clear" w:color="auto" w:fill="FFFFFF"/>
        </w:rPr>
        <w:fldChar w:fldCharType="end"/>
      </w:r>
      <w:r w:rsidR="00743300" w:rsidRPr="00465302">
        <w:rPr>
          <w:color w:val="000000"/>
          <w:shd w:val="clear" w:color="auto" w:fill="FFFFFF"/>
        </w:rPr>
        <w:t>. Since the PLLDs identified affect zebrafish PLL development, they could also result</w:t>
      </w:r>
      <w:r w:rsidR="00A66C1A" w:rsidRPr="00465302">
        <w:rPr>
          <w:color w:val="000000"/>
          <w:shd w:val="clear" w:color="auto" w:fill="FFFFFF"/>
        </w:rPr>
        <w:t xml:space="preserve"> in</w:t>
      </w:r>
      <w:r w:rsidR="00743300" w:rsidRPr="00465302">
        <w:rPr>
          <w:color w:val="000000"/>
          <w:shd w:val="clear" w:color="auto" w:fill="FFFFFF"/>
        </w:rPr>
        <w:t xml:space="preserve"> behavioral changes in the fish that are important for its health and survival, especially since the serotonin system is involved. We would test this </w:t>
      </w:r>
      <w:r w:rsidR="00743300" w:rsidRPr="00465302">
        <w:rPr>
          <w:color w:val="000000"/>
          <w:shd w:val="clear" w:color="auto" w:fill="FFFFFF"/>
        </w:rPr>
        <w:lastRenderedPageBreak/>
        <w:t xml:space="preserve">hypothesis </w:t>
      </w:r>
      <w:r w:rsidR="00180FC7">
        <w:rPr>
          <w:color w:val="000000"/>
          <w:shd w:val="clear" w:color="auto" w:fill="FFFFFF"/>
        </w:rPr>
        <w:t>by</w:t>
      </w:r>
      <w:r w:rsidR="00743300" w:rsidRPr="00465302">
        <w:rPr>
          <w:color w:val="000000"/>
          <w:shd w:val="clear" w:color="auto" w:fill="FFFFFF"/>
        </w:rPr>
        <w:t xml:space="preserve"> testing the most potent </w:t>
      </w:r>
      <w:r w:rsidR="00427F0C">
        <w:rPr>
          <w:color w:val="000000"/>
          <w:shd w:val="clear" w:color="auto" w:fill="FFFFFF"/>
        </w:rPr>
        <w:t xml:space="preserve">identified </w:t>
      </w:r>
      <w:r w:rsidR="00743300" w:rsidRPr="00465302">
        <w:rPr>
          <w:color w:val="000000"/>
          <w:shd w:val="clear" w:color="auto" w:fill="FFFFFF"/>
        </w:rPr>
        <w:t xml:space="preserve">PLLDs in behavioral assays such as </w:t>
      </w:r>
      <w:r w:rsidR="00427F0C">
        <w:rPr>
          <w:color w:val="000000"/>
          <w:shd w:val="clear" w:color="auto" w:fill="FFFFFF"/>
        </w:rPr>
        <w:t xml:space="preserve">the </w:t>
      </w:r>
      <w:r w:rsidR="00743300" w:rsidRPr="00465302">
        <w:rPr>
          <w:color w:val="000000"/>
          <w:shd w:val="clear" w:color="auto" w:fill="FFFFFF"/>
        </w:rPr>
        <w:t>rheotaxis assay</w:t>
      </w:r>
      <w:r w:rsidR="002A0A9A" w:rsidRPr="00465302">
        <w:rPr>
          <w:color w:val="000000"/>
          <w:shd w:val="clear" w:color="auto" w:fill="FFFFFF"/>
        </w:rPr>
        <w:t xml:space="preserve"> </w:t>
      </w:r>
      <w:r w:rsidR="008F22D1" w:rsidRPr="00465302">
        <w:rPr>
          <w:color w:val="000000"/>
          <w:shd w:val="clear" w:color="auto" w:fill="FFFFFF"/>
        </w:rPr>
        <w:fldChar w:fldCharType="begin" w:fldLock="1"/>
      </w:r>
      <w:r w:rsidR="008F22D1" w:rsidRPr="00465302">
        <w:rPr>
          <w:color w:val="000000"/>
          <w:shd w:val="clear" w:color="auto" w:fill="FFFFFF"/>
        </w:rPr>
        <w:instrText>ADDIN CSL_CITATION {"citationItems":[{"id":"ITEM-1","itemData":{"DOI":"10.3389/fnsys.2016.00014","ISSN":"1662-5137","abstract":"Awake animals unceasingly perceive sensory inputs with great variability of nature and intensity, and understanding how the nervous system manages this continuous flow of diverse information to get a coherent representation of the environment is arguably a central question in systems neuroscience. Rheotaxis, the ability shared by most aquatic species to orient toward a current and swim to hold position, is an innate and robust multi-sensory behavior that is known to involve the lateral line and visual systems. To facilitate the neuroethological study of rheotaxic behavior in larval zebrafish we developed an assay for freely swimming larvae that allows for high experimental throughtput, large statistic and a fine description of the behavior. We show that there exist a clear transition from exploration to counterflow swim, and by changing the sensory modalities accessible to the fishes (visual only, lateral line only or both) and comparing the swim patterns at different ages we were able to detect and characterize two different mechanisms for position holding, one mediated by the lateral line and one mediated by the visual system. We also found that when both sensory modalities are accessible the visual system overshadows the lateral line, suggesting that at the larval stage the sensory inputs are not merged to finely tune the behavior but that redundant information pathways may be used as functional fallbacks.","author":[{"dropping-particle":"","family":"Olive","given":"Raphaël","non-dropping-particle":"","parse-names":false,"suffix":""},{"dropping-particle":"","family":"Wolf","given":"Sébastien","non-dropping-particle":"","parse-names":false,"suffix":""},{"dropping-particle":"","family":"Dubreuil","given":"Alexis","non-dropping-particle":"","parse-names":false,"suffix":""},{"dropping-particle":"","family":"Bormuth","given":"Volker","non-dropping-particle":"","parse-names":false,"suffix":""},{"dropping-particle":"","family":"Debrégeas","given":"Georges","non-dropping-particle":"","parse-names":false,"suffix":""},{"dropping-particle":"","family":"Candelier","given":"Raphaël","non-dropping-particle":"","parse-names":false,"suffix":""}],"container-title":"Frontiers in systems neuroscience","id":"ITEM-1","issued":{"date-parts":[["2016","2","23"]]},"language":"eng","page":"14","publisher":"Frontiers Media S.A.","title":"Rheotaxis of Larval Zebrafish: Behavioral Study of a Multi-Sensory Process","type":"article-journal","volume":"10"},"uris":["http://www.mendeley.com/documents/?uuid=b6497326-87a7-4bff-b752-dceef8952902"]}],"mendeley":{"formattedCitation":"(Olive &lt;i&gt;et al.&lt;/i&gt;, 2016)","plainTextFormattedCitation":"(Olive et al., 2016)","previouslyFormattedCitation":"(Olive &lt;i&gt;et al.&lt;/i&gt;, 2016)"},"properties":{"noteIndex":0},"schema":"https://github.com/citation-style-language/schema/raw/master/csl-citation.json"}</w:instrText>
      </w:r>
      <w:r w:rsidR="008F22D1" w:rsidRPr="00465302">
        <w:rPr>
          <w:color w:val="000000"/>
          <w:shd w:val="clear" w:color="auto" w:fill="FFFFFF"/>
        </w:rPr>
        <w:fldChar w:fldCharType="separate"/>
      </w:r>
      <w:r w:rsidR="008F22D1" w:rsidRPr="00465302">
        <w:rPr>
          <w:noProof/>
          <w:color w:val="000000"/>
          <w:shd w:val="clear" w:color="auto" w:fill="FFFFFF"/>
        </w:rPr>
        <w:t xml:space="preserve">(Olive </w:t>
      </w:r>
      <w:r w:rsidR="008F22D1" w:rsidRPr="00465302">
        <w:rPr>
          <w:i/>
          <w:noProof/>
          <w:color w:val="000000"/>
          <w:shd w:val="clear" w:color="auto" w:fill="FFFFFF"/>
        </w:rPr>
        <w:t>et al.</w:t>
      </w:r>
      <w:r w:rsidR="008F22D1" w:rsidRPr="00465302">
        <w:rPr>
          <w:noProof/>
          <w:color w:val="000000"/>
          <w:shd w:val="clear" w:color="auto" w:fill="FFFFFF"/>
        </w:rPr>
        <w:t>, 2016)</w:t>
      </w:r>
      <w:r w:rsidR="008F22D1" w:rsidRPr="00465302">
        <w:rPr>
          <w:color w:val="000000"/>
          <w:shd w:val="clear" w:color="auto" w:fill="FFFFFF"/>
        </w:rPr>
        <w:fldChar w:fldCharType="end"/>
      </w:r>
      <w:r w:rsidR="008F22D1" w:rsidRPr="00465302">
        <w:rPr>
          <w:color w:val="000000"/>
          <w:shd w:val="clear" w:color="auto" w:fill="FFFFFF"/>
        </w:rPr>
        <w:t xml:space="preserve"> </w:t>
      </w:r>
      <w:r w:rsidR="00743300" w:rsidRPr="00465302">
        <w:rPr>
          <w:color w:val="000000"/>
          <w:shd w:val="clear" w:color="auto" w:fill="FFFFFF"/>
        </w:rPr>
        <w:t xml:space="preserve">or </w:t>
      </w:r>
      <w:r w:rsidR="00427F0C">
        <w:rPr>
          <w:color w:val="000000"/>
          <w:shd w:val="clear" w:color="auto" w:fill="FFFFFF"/>
        </w:rPr>
        <w:t xml:space="preserve">the </w:t>
      </w:r>
      <w:r w:rsidR="00743300" w:rsidRPr="00465302">
        <w:rPr>
          <w:color w:val="000000"/>
          <w:shd w:val="clear" w:color="auto" w:fill="FFFFFF"/>
        </w:rPr>
        <w:t>novel tank test assay</w:t>
      </w:r>
      <w:r w:rsidR="008F22D1" w:rsidRPr="00465302">
        <w:rPr>
          <w:color w:val="000000"/>
          <w:shd w:val="clear" w:color="auto" w:fill="FFFFFF"/>
        </w:rPr>
        <w:t xml:space="preserve"> </w:t>
      </w:r>
      <w:r w:rsidR="008F22D1" w:rsidRPr="00465302">
        <w:rPr>
          <w:color w:val="000000"/>
          <w:shd w:val="clear" w:color="auto" w:fill="FFFFFF"/>
        </w:rPr>
        <w:fldChar w:fldCharType="begin" w:fldLock="1"/>
      </w:r>
      <w:r w:rsidR="005A1250" w:rsidRPr="00465302">
        <w:rPr>
          <w:color w:val="000000"/>
          <w:shd w:val="clear" w:color="auto" w:fill="FFFFFF"/>
        </w:rPr>
        <w:instrText>ADDIN CSL_CITATION {"citationItems":[{"id":"ITEM-1","itemData":{"DOI":"10.1016/J.BBR.2015.09.027","ISSN":"0166-4328","abstract":"Drug residue contamination in aquatic ecosystems has been studied extensively, but the behavioral effects exerted by the presence of these drugs are not well known. Here, we investigated the effects of acute stress on anxiety, memory, social interaction, and aggressiveness in zebrafish exposed to fluoxetine and diazepam at concentrations that disrupt the hypothalamic–pituitary–interrenal (HPI) axis. Stress increased the locomotor activity and time spent in the bottom area of the tank (novel tank). Fluoxetine and diazepam prevented these behaviors. We also observed that stress and fluoxetine and diazepam exposures decreased social interaction. Stress also increased aggressive behavior, which was not reversed by fluoxetine or diazepam. These data suggest that the presence of these drugs in aquatic ecosystems causes significant behavioral alterations in fish.","author":[{"dropping-particle":"","family":"Giacomini","given":"Ana Cristina V.V.","non-dropping-particle":"","parse-names":false,"suffix":""},{"dropping-particle":"","family":"Abreu","given":"Murilo S.","non-dropping-particle":"","parse-names":false,"suffix":""},{"dropping-particle":"V.","family":"Giacomini","given":"Luidia","non-dropping-particle":"","parse-names":false,"suffix":""},{"dropping-particle":"","family":"Siebel","given":"Anna M.","non-dropping-particle":"","parse-names":false,"suffix":""},{"dropping-particle":"","family":"Zimerman","given":"Fernanda F.","non-dropping-particle":"","parse-names":false,"suffix":""},{"dropping-particle":"","family":"Rambo","given":"Cassiano L.","non-dropping-particle":"","parse-names":false,"suffix":""},{"dropping-particle":"","family":"Mocelin","given":"Ricieri","non-dropping-particle":"","parse-names":false,"suffix":""},{"dropping-particle":"","family":"Bonan","given":"Carla D.","non-dropping-particle":"","parse-names":false,"suffix":""},{"dropping-particle":"","family":"Piato","given":"Angelo L.","non-dropping-particle":"","parse-names":false,"suffix":""},{"dropping-particle":"","family":"Barcellos","given":"Leonardo J.G.","non-dropping-particle":"","parse-names":false,"suffix":""}],"container-title":"Behavioural Brain Research","id":"ITEM-1","issued":{"date-parts":[["2016","1","1"]]},"page":"301-310","publisher":"Elsevier","title":"Fluoxetine and diazepam acutely modulate stress induced-behavior","type":"article-journal","volume":"296"},"uris":["http://www.mendeley.com/documents/?uuid=4b8a9ccc-4e52-32a8-9f39-b2f1a466dd0e"]},{"id":"ITEM-2","itemData":{"DOI":"10.1089/zeb.2016.1415","ISSN":"1545-8547","abstract":"Abstract Modeling of stress and anxiety in adult zebrafish (Danio rerio) is increasingly utilized in neuroscience research and central nervous system (CNS) drug discovery. Representing the most commonly used zebrafish anxiety models, the novel tank test (NTT) focuses on zebrafish diving in response to potentially threatening stimuli, whereas the light-dark test (LDT) is based on fish scototaxis (innate preference for dark vs. bright areas). Here, we systematically evaluate the utility of these two tests, combining meta-analyses of published literature with comparative in vivo behavioral and whole-body endocrine (cortisol) testing. Overall, the NTT and LDT behaviors demonstrate a generally good cross-test correlation in vivo, whereas meta-analyses of published literature show that both tests have similar sensitivity to zebrafish anxiety-like states. Finally, NTT evokes higher levels of cortisol, likely representing a more stressful procedure than LDT. Collectively, our study reappraises NTT and LDT for studying anxiety-like states in zebrafish, and emphasizes their developing utility for neurobehavioral research. These findings can help optimize drug screening procedures by choosing more appropriate models for testing anxiolytic or anxiogenic drugs.","author":[{"dropping-particle":"V","family":"Kysil","given":"Elana","non-dropping-particle":"","parse-names":false,"suffix":""},{"dropping-particle":"","family":"Meshalkina","given":"Darya A","non-dropping-particle":"","parse-names":false,"suffix":""},{"dropping-particle":"","family":"Frick","given":"Erin E","non-dropping-particle":"","parse-names":false,"suffix":""},{"dropping-particle":"","family":"Echevarria","given":"David J","non-dropping-particle":"","parse-names":false,"suffix":""},{"dropping-particle":"","family":"Rosemberg","given":"Denis B","non-dropping-particle":"","parse-names":false,"suffix":""},{"dropping-particle":"","family":"Maximino","given":"Caio","non-dropping-particle":"","parse-names":false,"suffix":""},{"dropping-particle":"","family":"Lima","given":"Monica Gomes","non-dropping-particle":"","parse-names":false,"suffix":""},{"dropping-particle":"","family":"Abreu","given":"Murilo S","non-dropping-particle":"","parse-names":false,"suffix":""},{"dropping-particle":"","family":"Giacomini","given":"Ana C","non-dropping-particle":"","parse-names":false,"suffix":""},{"dropping-particle":"","family":"Barcellos","given":"Leonardo J G","non-dropping-particle":"","parse-names":false,"suffix":""},{"dropping-particle":"","family":"Song","given":"Cai","non-dropping-particle":"","parse-names":false,"suffix":""},{"dropping-particle":"V","family":"Kalueff","given":"Allan","non-dropping-particle":"","parse-names":false,"suffix":""}],"container-title":"Zebrafish","id":"ITEM-2","issue":"3","issued":{"date-parts":[["2017","5","1"]]},"note":"doi: 10.1089/zeb.2016.1415","page":"197-208","publisher":"Mary Ann Liebert, Inc., publishers","title":"Comparative Analyses of Zebrafish Anxiety-Like Behavior Using Conflict-Based Novelty Tests","type":"article-journal","volume":"14"},"uris":["http://www.mendeley.com/documents/?uuid=0a4dae42-a8bb-4d41-818c-75cac3fb9234"]}],"mendeley":{"formattedCitation":"(Giacomini &lt;i&gt;et al.&lt;/i&gt;, 2016; Kysil &lt;i&gt;et al.&lt;/i&gt;, 2017)","plainTextFormattedCitation":"(Giacomini et al., 2016; Kysil et al., 2017)","previouslyFormattedCitation":"(Giacomini &lt;i&gt;et al.&lt;/i&gt;, 2016; Kysil &lt;i&gt;et al.&lt;/i&gt;, 2017)"},"properties":{"noteIndex":0},"schema":"https://github.com/citation-style-language/schema/raw/master/csl-citation.json"}</w:instrText>
      </w:r>
      <w:r w:rsidR="008F22D1" w:rsidRPr="00465302">
        <w:rPr>
          <w:color w:val="000000"/>
          <w:shd w:val="clear" w:color="auto" w:fill="FFFFFF"/>
        </w:rPr>
        <w:fldChar w:fldCharType="separate"/>
      </w:r>
      <w:r w:rsidR="005A1250" w:rsidRPr="00465302">
        <w:rPr>
          <w:noProof/>
          <w:color w:val="000000"/>
          <w:shd w:val="clear" w:color="auto" w:fill="FFFFFF"/>
        </w:rPr>
        <w:t xml:space="preserve">(Giacomini </w:t>
      </w:r>
      <w:r w:rsidR="005A1250" w:rsidRPr="00465302">
        <w:rPr>
          <w:i/>
          <w:noProof/>
          <w:color w:val="000000"/>
          <w:shd w:val="clear" w:color="auto" w:fill="FFFFFF"/>
        </w:rPr>
        <w:t>et al.</w:t>
      </w:r>
      <w:r w:rsidR="005A1250" w:rsidRPr="00465302">
        <w:rPr>
          <w:noProof/>
          <w:color w:val="000000"/>
          <w:shd w:val="clear" w:color="auto" w:fill="FFFFFF"/>
        </w:rPr>
        <w:t xml:space="preserve">, 2016; Kysil </w:t>
      </w:r>
      <w:r w:rsidR="005A1250" w:rsidRPr="00465302">
        <w:rPr>
          <w:i/>
          <w:noProof/>
          <w:color w:val="000000"/>
          <w:shd w:val="clear" w:color="auto" w:fill="FFFFFF"/>
        </w:rPr>
        <w:t>et al.</w:t>
      </w:r>
      <w:r w:rsidR="005A1250" w:rsidRPr="00465302">
        <w:rPr>
          <w:noProof/>
          <w:color w:val="000000"/>
          <w:shd w:val="clear" w:color="auto" w:fill="FFFFFF"/>
        </w:rPr>
        <w:t>, 2017)</w:t>
      </w:r>
      <w:r w:rsidR="008F22D1" w:rsidRPr="00465302">
        <w:rPr>
          <w:color w:val="000000"/>
          <w:shd w:val="clear" w:color="auto" w:fill="FFFFFF"/>
        </w:rPr>
        <w:fldChar w:fldCharType="end"/>
      </w:r>
      <w:r w:rsidR="00743300" w:rsidRPr="00465302">
        <w:rPr>
          <w:color w:val="000000"/>
          <w:shd w:val="clear" w:color="auto" w:fill="FFFFFF"/>
        </w:rPr>
        <w:t xml:space="preserve">. </w:t>
      </w:r>
    </w:p>
    <w:p w14:paraId="6CF8BAFE" w14:textId="46CADFEF" w:rsidR="00786CE5" w:rsidRPr="00465302" w:rsidRDefault="00786CE5" w:rsidP="007573FB">
      <w:pPr>
        <w:spacing w:before="0" w:line="480" w:lineRule="auto"/>
        <w:jc w:val="both"/>
      </w:pPr>
      <w:r w:rsidRPr="00465302">
        <w:t>Since neuromasts are molecularly, structurally and functionally similar to the human inner ear hair cells</w:t>
      </w:r>
      <w:r w:rsidR="005A1250" w:rsidRPr="00465302">
        <w:t xml:space="preserve"> </w:t>
      </w:r>
      <w:r w:rsidR="005A1250" w:rsidRPr="00465302">
        <w:fldChar w:fldCharType="begin" w:fldLock="1"/>
      </w:r>
      <w:r w:rsidR="005A1250" w:rsidRPr="00465302">
        <w:instrText>ADDIN CSL_CITATION {"citationItems":[{"id":"ITEM-1","itemData":{"DOI":"10.1002/neu.10123","ISSN":"00223034","abstract":"The zebrafish is an especially attractive model for the study of the development and function of the vertebrate inner ear. It combines rapid and accessible embryogenesis with a host of genetic and genomic tools for systematic gene discovery and analysis. A large collection of mutations affecting development and function of the ear and a related sensory system, the lateral line, have been isolated; several of these have now been cloned, and at least five provide models for human deafness disorders. Disruption of multiple genes, using both forward and reverse genetic approaches, has established key players - both signaling molecules and autonomous factors - responsible for induction and specification of the otic placode. Vestibular and auditory defects have been detected in adult animals, making the zebrafish a useful system in which to tackle the genetic causes of late onset deafness and vestibular disease. © 2002 Wiley Periodicals, Inc.","author":[{"dropping-particle":"","family":"Whitfield","given":"Tanya T.","non-dropping-particle":"","parse-names":false,"suffix":""}],"container-title":"Journal of Neurobiology","id":"ITEM-1","issue":"2","issued":{"date-parts":[["2002"]]},"page":"157-171","title":"Zebrafish as a model for hearing and deafness","type":"article-journal","volume":"53"},"uris":["http://www.mendeley.com/documents/?uuid=9bd33496-338c-4344-bad5-6d783d3bba97"]},{"id":"ITEM-2","itemData":{"DOI":"10.1146/annurev.genet.39.073003.105049","ISSN":"0066-4197","abstract":"AbstractThe zebrafish is an excellent model system for studying the molecular basis of inner ear development and function. The eggs develop ex utero and the ear is transparent for the first few weeks of life. Forward genetic screens and antisense technology have helped to elucidate the signaling pathways and molecules required for inner ear development and function. This review addresses the most recent advances in our understanding of how the ear forms and discusses the molecules in hair cells that are essential for sensing sound and movement in the zebrafish.","author":[{"dropping-particle":"","family":"Nicolson","given":"Teresa","non-dropping-particle":"","parse-names":false,"suffix":""}],"container-title":"Annual Review of Genetics","id":"ITEM-2","issue":"1","issued":{"date-parts":[["2005","11","14"]]},"note":"doi: 10.1146/annurev.genet.39.073003.105049","page":"9-22","publisher":"Annual Reviews","title":"The Genetics of Hearing and Balance in Zebrafish","type":"article-journal","volume":"39"},"uris":["http://www.mendeley.com/documents/?uuid=5d340d1c-30fc-4a42-8724-eb992954a791"]}],"mendeley":{"formattedCitation":"(Whitfield, 2002; Nicolson, 2005)","plainTextFormattedCitation":"(Whitfield, 2002; Nicolson, 2005)","previouslyFormattedCitation":"(Whitfield, 2002; Nicolson, 2005)"},"properties":{"noteIndex":0},"schema":"https://github.com/citation-style-language/schema/raw/master/csl-citation.json"}</w:instrText>
      </w:r>
      <w:r w:rsidR="005A1250" w:rsidRPr="00465302">
        <w:fldChar w:fldCharType="separate"/>
      </w:r>
      <w:r w:rsidR="005A1250" w:rsidRPr="00465302">
        <w:rPr>
          <w:noProof/>
        </w:rPr>
        <w:t>(Whitfield, 2002; Nicolson, 2005)</w:t>
      </w:r>
      <w:r w:rsidR="005A1250" w:rsidRPr="00465302">
        <w:fldChar w:fldCharType="end"/>
      </w:r>
      <w:r w:rsidRPr="00465302">
        <w:t xml:space="preserve">, we hypothesize that the PLLDs identified would also interfere with mammalian inner ear hair cell development. To test our hypothesis that these results would translate well into mammalian systems, we would like to test our most potent </w:t>
      </w:r>
      <w:r w:rsidR="00427F0C">
        <w:t xml:space="preserve">identified </w:t>
      </w:r>
      <w:r w:rsidRPr="00465302">
        <w:t xml:space="preserve">PLLDs on the </w:t>
      </w:r>
      <w:r w:rsidRPr="00465302">
        <w:rPr>
          <w:i/>
          <w:iCs/>
        </w:rPr>
        <w:t>in vitro</w:t>
      </w:r>
      <w:r w:rsidRPr="00465302">
        <w:t xml:space="preserve"> inner ear organoid assay developed by </w:t>
      </w:r>
      <w:r w:rsidR="001474D3" w:rsidRPr="00465302">
        <w:t>the Karl Koehler lab</w:t>
      </w:r>
      <w:r w:rsidR="005A1250" w:rsidRPr="00465302">
        <w:t xml:space="preserve"> </w:t>
      </w:r>
      <w:r w:rsidR="005A1250" w:rsidRPr="00465302">
        <w:fldChar w:fldCharType="begin" w:fldLock="1"/>
      </w:r>
      <w:r w:rsidR="00465302">
        <w:instrText>ADDIN CSL_CITATION {"citationItems":[{"id":"ITEM-1","itemData":{"DOI":"10.1038/nbt.3840","ISSN":"1546-1696","abstract":"Human pluripotent stem cells are differentiated into inner ear organoids containing cells similar to hair cells and sensory neurons.","author":[{"dropping-particle":"","family":"Koehler","given":"Karl R","non-dropping-particle":"","parse-names":false,"suffix":""},{"dropping-particle":"","family":"Nie","given":"Jing","non-dropping-particle":"","parse-names":false,"suffix":""},{"dropping-particle":"","family":"Longworth-Mills","given":"Emma","non-dropping-particle":"","parse-names":false,"suffix":""},{"dropping-particle":"","family":"Liu","given":"Xiao-Ping","non-dropping-particle":"","parse-names":false,"suffix":""},{"dropping-particle":"","family":"Lee","given":"Jiyoon","non-dropping-particle":"","parse-names":false,"suffix":""},{"dropping-particle":"","family":"Holt","given":"Jeffrey R","non-dropping-particle":"","parse-names":false,"suffix":""},{"dropping-particle":"","family":"Hashino","given":"Eri","non-dropping-particle":"","parse-names":false,"suffix":""}],"container-title":"Nature Biotechnology","id":"ITEM-1","issue":"6","issued":{"date-parts":[["2017"]]},"page":"583-589","title":"Generation of inner ear organoids containing functional hair cells from human pluripotent stem cells","type":"article-journal","volume":"35"},"uris":["http://www.mendeley.com/documents/?uuid=d5142fdd-2f2d-4631-bd04-6b28f818527e"]}],"mendeley":{"formattedCitation":"(Koehler &lt;i&gt;et al.&lt;/i&gt;, 2017)","plainTextFormattedCitation":"(Koehler et al., 2017)","previouslyFormattedCitation":"(Koehler &lt;i&gt;et al.&lt;/i&gt;, 2017)"},"properties":{"noteIndex":0},"schema":"https://github.com/citation-style-language/schema/raw/master/csl-citation.json"}</w:instrText>
      </w:r>
      <w:r w:rsidR="005A1250" w:rsidRPr="00465302">
        <w:fldChar w:fldCharType="separate"/>
      </w:r>
      <w:r w:rsidR="005A1250" w:rsidRPr="00465302">
        <w:rPr>
          <w:noProof/>
        </w:rPr>
        <w:t xml:space="preserve">(Koehler </w:t>
      </w:r>
      <w:r w:rsidR="005A1250" w:rsidRPr="00465302">
        <w:rPr>
          <w:i/>
          <w:noProof/>
        </w:rPr>
        <w:t>et al.</w:t>
      </w:r>
      <w:r w:rsidR="005A1250" w:rsidRPr="00465302">
        <w:rPr>
          <w:noProof/>
        </w:rPr>
        <w:t>, 2017)</w:t>
      </w:r>
      <w:r w:rsidR="005A1250" w:rsidRPr="00465302">
        <w:fldChar w:fldCharType="end"/>
      </w:r>
      <w:r w:rsidRPr="00465302">
        <w:t>.</w:t>
      </w:r>
    </w:p>
    <w:p w14:paraId="1ACFAC57" w14:textId="4C547C37" w:rsidR="00DF5241" w:rsidRPr="00465302" w:rsidRDefault="00DF5241" w:rsidP="00317481">
      <w:pPr>
        <w:pStyle w:val="Heading3"/>
      </w:pPr>
      <w:bookmarkStart w:id="86" w:name="_Toc39502077"/>
      <w:r w:rsidRPr="00465302">
        <w:t>5.</w:t>
      </w:r>
      <w:r w:rsidR="009E7680">
        <w:t>2</w:t>
      </w:r>
      <w:r w:rsidR="00B4126A" w:rsidRPr="00465302">
        <w:t>.2</w:t>
      </w:r>
      <w:r w:rsidRPr="00465302">
        <w:t xml:space="preserve"> Vascular Disruptor Compounds</w:t>
      </w:r>
      <w:bookmarkEnd w:id="86"/>
    </w:p>
    <w:p w14:paraId="7B9C9F63" w14:textId="2E7B8CC3" w:rsidR="00DF5241" w:rsidRPr="00465302" w:rsidRDefault="00004843" w:rsidP="007573FB">
      <w:pPr>
        <w:spacing w:before="0" w:line="480" w:lineRule="auto"/>
        <w:jc w:val="both"/>
      </w:pPr>
      <w:r w:rsidRPr="00465302">
        <w:t>For the VDC project, we are still to elucidate the mode of action for the chemicals identified</w:t>
      </w:r>
      <w:r w:rsidR="00673B5D">
        <w:t xml:space="preserve"> and t</w:t>
      </w:r>
      <w:r w:rsidRPr="00465302">
        <w:t xml:space="preserve">o tease out the mechanism involved </w:t>
      </w:r>
      <w:r w:rsidR="00673B5D">
        <w:t>in</w:t>
      </w:r>
      <w:r w:rsidRPr="00465302">
        <w:t xml:space="preserve"> disrupt</w:t>
      </w:r>
      <w:r w:rsidR="00673B5D">
        <w:t>ing</w:t>
      </w:r>
      <w:r w:rsidRPr="00465302">
        <w:t xml:space="preserve"> angiogenesis processes. The embryos treated with the four compounds (rotenone, </w:t>
      </w:r>
      <w:r w:rsidR="00F97A44" w:rsidRPr="00465302">
        <w:t>pyridaben, pyraclostrobin, and fenpyroximate)</w:t>
      </w:r>
      <w:r w:rsidRPr="00465302">
        <w:t xml:space="preserve"> that were confirmed as VDCs in both the zebrafish and HUVEC dose</w:t>
      </w:r>
      <w:r w:rsidR="00A66C1A" w:rsidRPr="00465302">
        <w:t>-</w:t>
      </w:r>
      <w:r w:rsidRPr="00465302">
        <w:t xml:space="preserve">response experiments, </w:t>
      </w:r>
      <w:r w:rsidR="007172DA" w:rsidRPr="00465302">
        <w:t>w</w:t>
      </w:r>
      <w:r w:rsidR="00673B5D">
        <w:t>ere</w:t>
      </w:r>
      <w:r w:rsidRPr="00465302">
        <w:t xml:space="preserve"> subjected to RNA extraction and RNA </w:t>
      </w:r>
      <w:r w:rsidR="00A66C1A" w:rsidRPr="00465302">
        <w:t>s</w:t>
      </w:r>
      <w:r w:rsidRPr="00465302">
        <w:t xml:space="preserve">equencing to identify the mechanism of action for each compound and the common pathways affected by them that relate to vascular development. </w:t>
      </w:r>
      <w:r w:rsidR="007172DA" w:rsidRPr="00465302">
        <w:t>The bioinformatics analysis of the sequencing data is currently in process.</w:t>
      </w:r>
    </w:p>
    <w:p w14:paraId="7E180E5F" w14:textId="6E9FEE84" w:rsidR="004A66F5" w:rsidRPr="00465302" w:rsidRDefault="00E4080D" w:rsidP="007573FB">
      <w:pPr>
        <w:spacing w:before="0" w:line="480" w:lineRule="auto"/>
        <w:jc w:val="both"/>
      </w:pPr>
      <w:r w:rsidRPr="00465302">
        <w:t>Furthermore, testing the predicted VDC compounds in both zebrafish and HUVECs for angiogenesis disruption and tube formation disruption, respectively</w:t>
      </w:r>
      <w:r w:rsidR="007A5C70" w:rsidRPr="00465302">
        <w:t>,</w:t>
      </w:r>
      <w:r w:rsidRPr="00465302">
        <w:t xml:space="preserve"> will establish our screening method as a reliable way to </w:t>
      </w:r>
      <w:r w:rsidR="007A5C70" w:rsidRPr="00465302">
        <w:t xml:space="preserve">predict other vascular teratogens. </w:t>
      </w:r>
    </w:p>
    <w:p w14:paraId="088E3DDC" w14:textId="70AEB36E" w:rsidR="007A5C70" w:rsidRPr="00465302" w:rsidRDefault="007A5C70" w:rsidP="00242745">
      <w:pPr>
        <w:spacing w:before="0" w:line="480" w:lineRule="auto"/>
        <w:jc w:val="both"/>
      </w:pPr>
      <w:r w:rsidRPr="00465302">
        <w:t>Since we have already established that the identified ISV-VDCs from the initial screen not only disrupt ISV formation in zebrafish but also tube formation i</w:t>
      </w:r>
      <w:r w:rsidR="00427F0C">
        <w:t>n</w:t>
      </w:r>
      <w:r w:rsidRPr="00465302">
        <w:t xml:space="preserve"> the mammalian HUVECs, the </w:t>
      </w:r>
      <w:r w:rsidRPr="00465302">
        <w:lastRenderedPageBreak/>
        <w:t>translation of this screen from zebrafish to mammalian systems is evident</w:t>
      </w:r>
      <w:r w:rsidR="00366523" w:rsidRPr="00465302">
        <w:t xml:space="preserve"> phenotypically</w:t>
      </w:r>
      <w:r w:rsidRPr="00465302">
        <w:t xml:space="preserve">. </w:t>
      </w:r>
      <w:r w:rsidR="00366523" w:rsidRPr="00465302">
        <w:t xml:space="preserve">In addition to this, the univariate analysis also identified many pathways that are already known to be involved in vascular development. </w:t>
      </w:r>
      <w:r w:rsidRPr="00465302">
        <w:t xml:space="preserve">To further </w:t>
      </w:r>
      <w:r w:rsidR="00366523" w:rsidRPr="00465302">
        <w:t>test the translation of results seen in zebrafish</w:t>
      </w:r>
      <w:r w:rsidRPr="00465302">
        <w:t xml:space="preserve">, we would test some of the most potent </w:t>
      </w:r>
      <w:r w:rsidR="00366523" w:rsidRPr="00465302">
        <w:t xml:space="preserve">VDC </w:t>
      </w:r>
      <w:r w:rsidRPr="00465302">
        <w:t xml:space="preserve">compounds identified </w:t>
      </w:r>
      <w:r w:rsidR="00A66C1A" w:rsidRPr="00465302">
        <w:t>with</w:t>
      </w:r>
      <w:r w:rsidR="00366523" w:rsidRPr="00465302">
        <w:t xml:space="preserve">in </w:t>
      </w:r>
      <w:r w:rsidRPr="00465302">
        <w:rPr>
          <w:i/>
          <w:iCs/>
        </w:rPr>
        <w:t>in</w:t>
      </w:r>
      <w:r w:rsidR="00366523" w:rsidRPr="00465302">
        <w:rPr>
          <w:i/>
          <w:iCs/>
        </w:rPr>
        <w:t xml:space="preserve"> vivo</w:t>
      </w:r>
      <w:r w:rsidR="00366523" w:rsidRPr="00465302">
        <w:t xml:space="preserve"> mammalian studies.</w:t>
      </w:r>
    </w:p>
    <w:p w14:paraId="4DAEE5D7" w14:textId="54D3EB02" w:rsidR="00366523" w:rsidRPr="00465302" w:rsidRDefault="00F97A44" w:rsidP="00317481">
      <w:pPr>
        <w:pStyle w:val="Heading3"/>
      </w:pPr>
      <w:bookmarkStart w:id="87" w:name="_Toc39502078"/>
      <w:r w:rsidRPr="00465302">
        <w:t>5</w:t>
      </w:r>
      <w:r w:rsidR="00B4126A" w:rsidRPr="00465302">
        <w:t>.</w:t>
      </w:r>
      <w:r w:rsidR="009E7680">
        <w:t>2</w:t>
      </w:r>
      <w:r w:rsidRPr="00465302">
        <w:t>.3 The Future</w:t>
      </w:r>
      <w:bookmarkEnd w:id="87"/>
    </w:p>
    <w:p w14:paraId="0A0F63AD" w14:textId="2D43502F" w:rsidR="00F97A44" w:rsidRPr="00465302" w:rsidRDefault="00366523" w:rsidP="00A25112">
      <w:pPr>
        <w:spacing w:before="0" w:after="0" w:line="480" w:lineRule="auto"/>
        <w:jc w:val="both"/>
        <w:rPr>
          <w:rFonts w:cs="Times New Roman"/>
          <w:szCs w:val="24"/>
        </w:rPr>
      </w:pPr>
      <w:r w:rsidRPr="00465302">
        <w:t>Overall</w:t>
      </w:r>
      <w:r w:rsidR="002F18E4" w:rsidRPr="00465302">
        <w:t>,</w:t>
      </w:r>
      <w:r w:rsidRPr="00465302">
        <w:t xml:space="preserve"> our pipeline to establish the zebrafish model as </w:t>
      </w:r>
      <w:r w:rsidR="009161CD" w:rsidRPr="00465302">
        <w:t xml:space="preserve">a </w:t>
      </w:r>
      <w:r w:rsidRPr="00465302">
        <w:t>predictor of specific teratogenic effects caused by environmental toxicants, not only identified the phenotypic effects caused and identified the known pathways involved in those processes but also identified new mechanisms of action for these compounds. These results also translate well in</w:t>
      </w:r>
      <w:r w:rsidR="00A94EC2" w:rsidRPr="00465302">
        <w:t>to</w:t>
      </w:r>
      <w:r w:rsidR="00F97A44" w:rsidRPr="00465302">
        <w:t xml:space="preserve"> </w:t>
      </w:r>
      <w:r w:rsidR="00F97A44" w:rsidRPr="00465302">
        <w:rPr>
          <w:i/>
          <w:iCs/>
        </w:rPr>
        <w:t>in vitro</w:t>
      </w:r>
      <w:r w:rsidR="00F97A44" w:rsidRPr="00465302">
        <w:t xml:space="preserve"> </w:t>
      </w:r>
      <w:r w:rsidRPr="00465302">
        <w:t xml:space="preserve">mammalian </w:t>
      </w:r>
      <w:r w:rsidR="00F97A44" w:rsidRPr="00465302">
        <w:t xml:space="preserve">systems; thus, our </w:t>
      </w:r>
      <w:r w:rsidR="00F97A44" w:rsidRPr="00465302">
        <w:rPr>
          <w:rFonts w:cs="Times New Roman"/>
          <w:szCs w:val="24"/>
        </w:rPr>
        <w:t>methodology can be used to:</w:t>
      </w:r>
    </w:p>
    <w:p w14:paraId="01698921" w14:textId="47BEFF09" w:rsidR="00F97A44" w:rsidRPr="00465302" w:rsidRDefault="00F97A44" w:rsidP="00A25112">
      <w:pPr>
        <w:pStyle w:val="ListParagraph"/>
        <w:numPr>
          <w:ilvl w:val="0"/>
          <w:numId w:val="33"/>
        </w:numPr>
        <w:spacing w:after="0" w:line="480" w:lineRule="auto"/>
        <w:ind w:left="360"/>
        <w:jc w:val="both"/>
        <w:rPr>
          <w:rFonts w:ascii="Times New Roman" w:hAnsi="Times New Roman" w:cs="Times New Roman"/>
          <w:sz w:val="24"/>
          <w:szCs w:val="24"/>
        </w:rPr>
      </w:pPr>
      <w:r w:rsidRPr="00465302">
        <w:rPr>
          <w:rFonts w:ascii="Times New Roman" w:hAnsi="Times New Roman" w:cs="Times New Roman"/>
          <w:sz w:val="24"/>
          <w:szCs w:val="24"/>
        </w:rPr>
        <w:t>Identify lead compounds that require further</w:t>
      </w:r>
      <w:r w:rsidRPr="00465302">
        <w:rPr>
          <w:rFonts w:ascii="Times New Roman" w:hAnsi="Times New Roman" w:cs="Times New Roman"/>
          <w:i/>
          <w:iCs/>
          <w:sz w:val="24"/>
          <w:szCs w:val="24"/>
        </w:rPr>
        <w:t xml:space="preserve"> in vivo</w:t>
      </w:r>
      <w:r w:rsidRPr="00465302">
        <w:rPr>
          <w:rFonts w:ascii="Times New Roman" w:hAnsi="Times New Roman" w:cs="Times New Roman"/>
          <w:sz w:val="24"/>
          <w:szCs w:val="24"/>
        </w:rPr>
        <w:t xml:space="preserve"> mammalian testing </w:t>
      </w:r>
    </w:p>
    <w:p w14:paraId="4B497170" w14:textId="25018AF4" w:rsidR="00F97A44" w:rsidRPr="00465302" w:rsidRDefault="00F97A44" w:rsidP="00A25112">
      <w:pPr>
        <w:pStyle w:val="ListParagraph"/>
        <w:numPr>
          <w:ilvl w:val="0"/>
          <w:numId w:val="33"/>
        </w:numPr>
        <w:spacing w:after="0" w:line="480" w:lineRule="auto"/>
        <w:ind w:left="360"/>
        <w:jc w:val="both"/>
        <w:rPr>
          <w:rFonts w:ascii="Times New Roman" w:hAnsi="Times New Roman" w:cs="Times New Roman"/>
          <w:sz w:val="24"/>
          <w:szCs w:val="24"/>
        </w:rPr>
      </w:pPr>
      <w:r w:rsidRPr="00465302">
        <w:rPr>
          <w:rFonts w:ascii="Times New Roman" w:hAnsi="Times New Roman" w:cs="Times New Roman"/>
          <w:sz w:val="24"/>
          <w:szCs w:val="24"/>
        </w:rPr>
        <w:t xml:space="preserve">Shorten risk assessment time for industrial chemicals </w:t>
      </w:r>
    </w:p>
    <w:p w14:paraId="155C6199" w14:textId="219A3DC0" w:rsidR="00F97A44" w:rsidRPr="00465302" w:rsidRDefault="00F97A44" w:rsidP="00A25112">
      <w:pPr>
        <w:pStyle w:val="ListParagraph"/>
        <w:numPr>
          <w:ilvl w:val="0"/>
          <w:numId w:val="33"/>
        </w:numPr>
        <w:spacing w:after="0" w:line="480" w:lineRule="auto"/>
        <w:ind w:left="360"/>
        <w:jc w:val="both"/>
        <w:rPr>
          <w:rFonts w:ascii="Times New Roman" w:hAnsi="Times New Roman" w:cs="Times New Roman"/>
          <w:sz w:val="24"/>
          <w:szCs w:val="24"/>
        </w:rPr>
      </w:pPr>
      <w:r w:rsidRPr="00465302">
        <w:rPr>
          <w:rFonts w:ascii="Times New Roman" w:hAnsi="Times New Roman" w:cs="Times New Roman"/>
          <w:sz w:val="24"/>
          <w:szCs w:val="24"/>
        </w:rPr>
        <w:t xml:space="preserve">Reduce </w:t>
      </w:r>
      <w:r w:rsidR="009161CD" w:rsidRPr="00465302">
        <w:rPr>
          <w:rFonts w:ascii="Times New Roman" w:hAnsi="Times New Roman" w:cs="Times New Roman"/>
          <w:sz w:val="24"/>
          <w:szCs w:val="24"/>
        </w:rPr>
        <w:t xml:space="preserve">the </w:t>
      </w:r>
      <w:r w:rsidRPr="00465302">
        <w:rPr>
          <w:rFonts w:ascii="Times New Roman" w:hAnsi="Times New Roman" w:cs="Times New Roman"/>
          <w:sz w:val="24"/>
          <w:szCs w:val="24"/>
        </w:rPr>
        <w:t xml:space="preserve">cost of </w:t>
      </w:r>
      <w:r w:rsidR="007573FB" w:rsidRPr="00465302">
        <w:rPr>
          <w:rFonts w:ascii="Times New Roman" w:hAnsi="Times New Roman" w:cs="Times New Roman"/>
          <w:sz w:val="24"/>
          <w:szCs w:val="24"/>
        </w:rPr>
        <w:t>toxicity testing</w:t>
      </w:r>
    </w:p>
    <w:p w14:paraId="330F0384" w14:textId="744E36C0" w:rsidR="00F97A44" w:rsidRPr="00465302" w:rsidRDefault="00F97A44" w:rsidP="00A25112">
      <w:pPr>
        <w:pStyle w:val="ListParagraph"/>
        <w:numPr>
          <w:ilvl w:val="0"/>
          <w:numId w:val="33"/>
        </w:numPr>
        <w:spacing w:after="0" w:line="480" w:lineRule="auto"/>
        <w:ind w:left="360"/>
        <w:jc w:val="both"/>
        <w:rPr>
          <w:rFonts w:ascii="Times New Roman" w:hAnsi="Times New Roman" w:cs="Times New Roman"/>
          <w:sz w:val="24"/>
          <w:szCs w:val="24"/>
        </w:rPr>
      </w:pPr>
      <w:r w:rsidRPr="00465302">
        <w:rPr>
          <w:rFonts w:ascii="Times New Roman" w:hAnsi="Times New Roman" w:cs="Times New Roman"/>
          <w:sz w:val="24"/>
          <w:szCs w:val="24"/>
        </w:rPr>
        <w:t>Identify the target pathways to be tested for mammalian studies</w:t>
      </w:r>
    </w:p>
    <w:p w14:paraId="779758A3" w14:textId="4182B725" w:rsidR="00F97A44" w:rsidRPr="00465302" w:rsidRDefault="002F18E4" w:rsidP="00A25112">
      <w:pPr>
        <w:pStyle w:val="ListParagraph"/>
        <w:numPr>
          <w:ilvl w:val="0"/>
          <w:numId w:val="33"/>
        </w:numPr>
        <w:spacing w:after="0" w:line="480" w:lineRule="auto"/>
        <w:ind w:left="360"/>
        <w:jc w:val="both"/>
        <w:rPr>
          <w:rFonts w:ascii="Times New Roman" w:hAnsi="Times New Roman" w:cs="Times New Roman"/>
          <w:sz w:val="24"/>
          <w:szCs w:val="24"/>
        </w:rPr>
      </w:pPr>
      <w:r w:rsidRPr="00465302">
        <w:rPr>
          <w:rFonts w:ascii="Times New Roman" w:hAnsi="Times New Roman" w:cs="Times New Roman"/>
          <w:sz w:val="24"/>
          <w:szCs w:val="24"/>
        </w:rPr>
        <w:t>E</w:t>
      </w:r>
      <w:r w:rsidR="00F97A44" w:rsidRPr="00465302">
        <w:rPr>
          <w:rFonts w:ascii="Times New Roman" w:hAnsi="Times New Roman" w:cs="Times New Roman"/>
          <w:sz w:val="24"/>
          <w:szCs w:val="24"/>
        </w:rPr>
        <w:t>stablish other such screens to identify and predict compounds causing specific teratogenicity</w:t>
      </w:r>
    </w:p>
    <w:p w14:paraId="1EE33B22" w14:textId="2382BD25" w:rsidR="00AD7256" w:rsidRDefault="00AD7256" w:rsidP="00A5237A">
      <w:pPr>
        <w:jc w:val="both"/>
      </w:pPr>
    </w:p>
    <w:p w14:paraId="202851E5" w14:textId="3FC8CF90" w:rsidR="003A0ECB" w:rsidRDefault="003A0ECB">
      <w:pPr>
        <w:spacing w:before="0" w:after="160" w:line="259" w:lineRule="auto"/>
        <w:rPr>
          <w:rFonts w:eastAsia="Times New Roman"/>
        </w:rPr>
      </w:pPr>
    </w:p>
    <w:p w14:paraId="6292CAD8" w14:textId="347CBCC7" w:rsidR="003A0ECB" w:rsidRDefault="003A0ECB">
      <w:pPr>
        <w:spacing w:before="0" w:after="160" w:line="259" w:lineRule="auto"/>
        <w:rPr>
          <w:rFonts w:eastAsia="Times New Roman"/>
        </w:rPr>
      </w:pPr>
    </w:p>
    <w:p w14:paraId="3062DEE2" w14:textId="5C0D4D9B" w:rsidR="003A0ECB" w:rsidRDefault="003A0ECB">
      <w:pPr>
        <w:spacing w:before="0" w:after="160" w:line="259" w:lineRule="auto"/>
        <w:rPr>
          <w:rFonts w:eastAsia="Times New Roman"/>
        </w:rPr>
      </w:pPr>
    </w:p>
    <w:p w14:paraId="0567146B" w14:textId="5E870FEE" w:rsidR="003A0ECB" w:rsidRDefault="003A0ECB">
      <w:pPr>
        <w:spacing w:before="0" w:after="160" w:line="259" w:lineRule="auto"/>
        <w:rPr>
          <w:rFonts w:eastAsia="Times New Roman"/>
        </w:rPr>
      </w:pPr>
    </w:p>
    <w:p w14:paraId="7E7B0D1A" w14:textId="51B29103" w:rsidR="003A0ECB" w:rsidRDefault="003A0ECB">
      <w:pPr>
        <w:spacing w:before="0" w:after="160" w:line="259" w:lineRule="auto"/>
        <w:rPr>
          <w:rFonts w:eastAsia="Times New Roman"/>
        </w:rPr>
      </w:pPr>
    </w:p>
    <w:p w14:paraId="1FDCC307" w14:textId="1EEC3AFC" w:rsidR="000601A9" w:rsidRDefault="000601A9">
      <w:pPr>
        <w:spacing w:before="0" w:after="160" w:line="259" w:lineRule="auto"/>
        <w:rPr>
          <w:rFonts w:eastAsia="Times New Roman"/>
        </w:rPr>
      </w:pPr>
    </w:p>
    <w:p w14:paraId="679F95FC" w14:textId="77777777" w:rsidR="00317481" w:rsidRDefault="00317481">
      <w:pPr>
        <w:spacing w:before="0" w:after="160" w:line="259" w:lineRule="auto"/>
        <w:rPr>
          <w:rFonts w:eastAsia="Times New Roman"/>
        </w:rPr>
      </w:pPr>
    </w:p>
    <w:p w14:paraId="77A490F1" w14:textId="7F595792" w:rsidR="000601A9" w:rsidRDefault="000601A9">
      <w:pPr>
        <w:spacing w:before="0" w:after="160" w:line="259" w:lineRule="auto"/>
        <w:rPr>
          <w:rFonts w:eastAsia="Times New Roman"/>
        </w:rPr>
      </w:pPr>
    </w:p>
    <w:p w14:paraId="21817D25" w14:textId="7FAAA6B7" w:rsidR="000601A9" w:rsidRDefault="000601A9">
      <w:pPr>
        <w:spacing w:before="0" w:after="160" w:line="259" w:lineRule="auto"/>
        <w:rPr>
          <w:rFonts w:eastAsia="Times New Roman"/>
        </w:rPr>
      </w:pPr>
    </w:p>
    <w:p w14:paraId="50CAB61D" w14:textId="0BB9454A" w:rsidR="000601A9" w:rsidRDefault="000601A9">
      <w:pPr>
        <w:spacing w:before="0" w:after="160" w:line="259" w:lineRule="auto"/>
        <w:rPr>
          <w:rFonts w:eastAsia="Times New Roman"/>
        </w:rPr>
      </w:pPr>
    </w:p>
    <w:p w14:paraId="5DA3D7B0" w14:textId="7196506E" w:rsidR="000601A9" w:rsidRDefault="000601A9">
      <w:pPr>
        <w:spacing w:before="0" w:after="160" w:line="259" w:lineRule="auto"/>
        <w:rPr>
          <w:rFonts w:eastAsia="Times New Roman"/>
        </w:rPr>
      </w:pPr>
    </w:p>
    <w:p w14:paraId="2E986F78" w14:textId="28F90A77" w:rsidR="000601A9" w:rsidRDefault="000601A9">
      <w:pPr>
        <w:spacing w:before="0" w:after="160" w:line="259" w:lineRule="auto"/>
        <w:rPr>
          <w:rFonts w:eastAsia="Times New Roman"/>
        </w:rPr>
      </w:pPr>
    </w:p>
    <w:p w14:paraId="75132FB9" w14:textId="7C1ACAC2" w:rsidR="000601A9" w:rsidRDefault="000601A9">
      <w:pPr>
        <w:spacing w:before="0" w:after="160" w:line="259" w:lineRule="auto"/>
        <w:rPr>
          <w:rFonts w:eastAsia="Times New Roman"/>
        </w:rPr>
      </w:pPr>
    </w:p>
    <w:p w14:paraId="2AE16CBD" w14:textId="77777777" w:rsidR="000601A9" w:rsidRDefault="000601A9">
      <w:pPr>
        <w:spacing w:before="0" w:after="160" w:line="259" w:lineRule="auto"/>
        <w:rPr>
          <w:rFonts w:eastAsia="Times New Roman"/>
        </w:rPr>
      </w:pPr>
    </w:p>
    <w:p w14:paraId="6593F7DB" w14:textId="77777777" w:rsidR="003A0ECB" w:rsidRDefault="003A0ECB">
      <w:pPr>
        <w:spacing w:before="0" w:after="160" w:line="259" w:lineRule="auto"/>
        <w:rPr>
          <w:rFonts w:eastAsia="Times New Roman" w:cstheme="majorBidi"/>
          <w:b/>
          <w:sz w:val="44"/>
          <w:szCs w:val="32"/>
        </w:rPr>
      </w:pPr>
    </w:p>
    <w:p w14:paraId="21A59095" w14:textId="755678CA" w:rsidR="002C4263" w:rsidRDefault="002C4263" w:rsidP="00003E36">
      <w:pPr>
        <w:pStyle w:val="Heading1"/>
      </w:pPr>
      <w:bookmarkStart w:id="88" w:name="_Toc39502079"/>
      <w:r>
        <w:t>APPENDI</w:t>
      </w:r>
      <w:r w:rsidR="00DB420B">
        <w:t>X</w:t>
      </w:r>
      <w:bookmarkEnd w:id="88"/>
    </w:p>
    <w:p w14:paraId="0D77B77E" w14:textId="5437B129" w:rsidR="002C4263" w:rsidRDefault="002C4263" w:rsidP="00A5237A">
      <w:pPr>
        <w:jc w:val="both"/>
      </w:pPr>
    </w:p>
    <w:p w14:paraId="3123228D" w14:textId="77944C68" w:rsidR="002C4263" w:rsidRDefault="002C4263" w:rsidP="00A5237A">
      <w:pPr>
        <w:jc w:val="both"/>
      </w:pPr>
    </w:p>
    <w:p w14:paraId="6AF721A6" w14:textId="0F441BCF" w:rsidR="002C4263" w:rsidRDefault="002C4263" w:rsidP="00A5237A">
      <w:pPr>
        <w:jc w:val="both"/>
      </w:pPr>
    </w:p>
    <w:p w14:paraId="0EB5329C" w14:textId="5871881A" w:rsidR="0035384C" w:rsidRDefault="0035384C" w:rsidP="00A5237A">
      <w:pPr>
        <w:jc w:val="both"/>
      </w:pPr>
    </w:p>
    <w:p w14:paraId="6EC1D294" w14:textId="42EB8893" w:rsidR="002C4263" w:rsidRDefault="002C4263" w:rsidP="00A5237A">
      <w:pPr>
        <w:jc w:val="both"/>
      </w:pPr>
    </w:p>
    <w:p w14:paraId="04CD7C92" w14:textId="31A28C6A" w:rsidR="002C4263" w:rsidRDefault="002C4263" w:rsidP="00A5237A">
      <w:pPr>
        <w:jc w:val="both"/>
      </w:pPr>
    </w:p>
    <w:p w14:paraId="43F18E9B" w14:textId="60E347F7" w:rsidR="002C4263" w:rsidRDefault="002C4263" w:rsidP="00A5237A">
      <w:pPr>
        <w:jc w:val="both"/>
      </w:pPr>
    </w:p>
    <w:p w14:paraId="6C5D5611" w14:textId="535F5215" w:rsidR="001E4A64" w:rsidRDefault="001E4A64" w:rsidP="00A5237A">
      <w:pPr>
        <w:jc w:val="both"/>
      </w:pPr>
    </w:p>
    <w:p w14:paraId="6AB39843" w14:textId="39F89794" w:rsidR="0035384C" w:rsidRDefault="0035384C" w:rsidP="00A5237A">
      <w:pPr>
        <w:jc w:val="both"/>
      </w:pPr>
    </w:p>
    <w:p w14:paraId="45A2E256" w14:textId="31923E5F" w:rsidR="002C4263" w:rsidRDefault="002C4263" w:rsidP="00A5237A">
      <w:pPr>
        <w:jc w:val="both"/>
      </w:pPr>
    </w:p>
    <w:p w14:paraId="73B22B0F" w14:textId="5ED883A6" w:rsidR="00514181" w:rsidRDefault="00514181" w:rsidP="00A5237A">
      <w:pPr>
        <w:spacing w:before="0" w:after="0" w:line="480" w:lineRule="auto"/>
        <w:jc w:val="both"/>
        <w:rPr>
          <w:rFonts w:eastAsia="Times New Roman" w:cs="Times New Roman"/>
          <w:b/>
          <w:color w:val="auto"/>
          <w:szCs w:val="24"/>
        </w:rPr>
      </w:pPr>
      <w:r>
        <w:rPr>
          <w:rFonts w:eastAsia="Times New Roman" w:cs="Times New Roman"/>
          <w:b/>
          <w:noProof/>
          <w:color w:val="auto"/>
          <w:szCs w:val="24"/>
        </w:rPr>
        <w:lastRenderedPageBreak/>
        <w:drawing>
          <wp:inline distT="0" distB="0" distL="0" distR="0" wp14:anchorId="7FA3D971" wp14:editId="54230736">
            <wp:extent cx="5499100" cy="804100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99100" cy="8041005"/>
                    </a:xfrm>
                    <a:prstGeom prst="rect">
                      <a:avLst/>
                    </a:prstGeom>
                    <a:noFill/>
                  </pic:spPr>
                </pic:pic>
              </a:graphicData>
            </a:graphic>
          </wp:inline>
        </w:drawing>
      </w:r>
    </w:p>
    <w:p w14:paraId="2B133447" w14:textId="20C7F67A" w:rsidR="00514181" w:rsidRDefault="00514181" w:rsidP="00A5237A">
      <w:pPr>
        <w:spacing w:before="0" w:after="0" w:line="480" w:lineRule="auto"/>
        <w:jc w:val="both"/>
        <w:rPr>
          <w:rFonts w:eastAsia="Times New Roman" w:cs="Times New Roman"/>
          <w:b/>
          <w:color w:val="auto"/>
          <w:szCs w:val="24"/>
        </w:rPr>
      </w:pPr>
      <w:r>
        <w:rPr>
          <w:rFonts w:eastAsia="Times New Roman" w:cs="Times New Roman"/>
          <w:b/>
          <w:noProof/>
          <w:color w:val="auto"/>
          <w:szCs w:val="24"/>
        </w:rPr>
        <w:lastRenderedPageBreak/>
        <w:drawing>
          <wp:inline distT="0" distB="0" distL="0" distR="0" wp14:anchorId="473943B8" wp14:editId="5C64C434">
            <wp:extent cx="5499100" cy="804100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99100" cy="8041005"/>
                    </a:xfrm>
                    <a:prstGeom prst="rect">
                      <a:avLst/>
                    </a:prstGeom>
                    <a:noFill/>
                  </pic:spPr>
                </pic:pic>
              </a:graphicData>
            </a:graphic>
          </wp:inline>
        </w:drawing>
      </w:r>
    </w:p>
    <w:p w14:paraId="774C0F22" w14:textId="6FE7C373" w:rsidR="00514181" w:rsidRDefault="00514181" w:rsidP="00A5237A">
      <w:pPr>
        <w:spacing w:before="0" w:after="0" w:line="480" w:lineRule="auto"/>
        <w:jc w:val="both"/>
        <w:rPr>
          <w:rFonts w:eastAsia="Times New Roman" w:cs="Times New Roman"/>
          <w:b/>
          <w:noProof/>
          <w:color w:val="auto"/>
          <w:szCs w:val="24"/>
        </w:rPr>
      </w:pPr>
      <w:r>
        <w:rPr>
          <w:rFonts w:eastAsia="Times New Roman" w:cs="Times New Roman"/>
          <w:b/>
          <w:noProof/>
          <w:color w:val="auto"/>
          <w:szCs w:val="24"/>
        </w:rPr>
        <w:lastRenderedPageBreak/>
        <w:drawing>
          <wp:inline distT="0" distB="0" distL="0" distR="0" wp14:anchorId="23A927A2" wp14:editId="48473C79">
            <wp:extent cx="5499100" cy="804100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99100" cy="8041005"/>
                    </a:xfrm>
                    <a:prstGeom prst="rect">
                      <a:avLst/>
                    </a:prstGeom>
                    <a:noFill/>
                  </pic:spPr>
                </pic:pic>
              </a:graphicData>
            </a:graphic>
          </wp:inline>
        </w:drawing>
      </w:r>
    </w:p>
    <w:p w14:paraId="17A556D4" w14:textId="50531762" w:rsidR="00514181" w:rsidRDefault="00514181" w:rsidP="00A5237A">
      <w:pPr>
        <w:spacing w:before="0" w:after="0" w:line="480" w:lineRule="auto"/>
        <w:jc w:val="both"/>
        <w:rPr>
          <w:rFonts w:eastAsia="Times New Roman" w:cs="Times New Roman"/>
          <w:b/>
          <w:noProof/>
          <w:color w:val="auto"/>
          <w:szCs w:val="24"/>
        </w:rPr>
      </w:pPr>
      <w:r>
        <w:rPr>
          <w:rFonts w:eastAsia="Times New Roman" w:cs="Times New Roman"/>
          <w:b/>
          <w:noProof/>
          <w:color w:val="auto"/>
          <w:szCs w:val="24"/>
        </w:rPr>
        <w:lastRenderedPageBreak/>
        <w:drawing>
          <wp:inline distT="0" distB="0" distL="0" distR="0" wp14:anchorId="0641F1BA" wp14:editId="5FD50E8C">
            <wp:extent cx="5499100" cy="804100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99100" cy="8041005"/>
                    </a:xfrm>
                    <a:prstGeom prst="rect">
                      <a:avLst/>
                    </a:prstGeom>
                    <a:noFill/>
                  </pic:spPr>
                </pic:pic>
              </a:graphicData>
            </a:graphic>
          </wp:inline>
        </w:drawing>
      </w:r>
    </w:p>
    <w:p w14:paraId="0CB634F6" w14:textId="363DD738" w:rsidR="00514181" w:rsidRDefault="00130CF6" w:rsidP="00A5237A">
      <w:pPr>
        <w:spacing w:before="0" w:after="0" w:line="480" w:lineRule="auto"/>
        <w:jc w:val="both"/>
        <w:rPr>
          <w:rFonts w:eastAsia="Times New Roman" w:cs="Times New Roman"/>
          <w:b/>
          <w:noProof/>
          <w:color w:val="auto"/>
          <w:szCs w:val="24"/>
        </w:rPr>
      </w:pPr>
      <w:r>
        <w:rPr>
          <w:rFonts w:eastAsia="Times New Roman" w:cs="Times New Roman"/>
          <w:b/>
          <w:noProof/>
          <w:color w:val="auto"/>
          <w:szCs w:val="24"/>
        </w:rPr>
        <w:lastRenderedPageBreak/>
        <w:drawing>
          <wp:inline distT="0" distB="0" distL="0" distR="0" wp14:anchorId="46A090FE" wp14:editId="0C79C316">
            <wp:extent cx="5499100" cy="8041005"/>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99100" cy="8041005"/>
                    </a:xfrm>
                    <a:prstGeom prst="rect">
                      <a:avLst/>
                    </a:prstGeom>
                    <a:noFill/>
                  </pic:spPr>
                </pic:pic>
              </a:graphicData>
            </a:graphic>
          </wp:inline>
        </w:drawing>
      </w:r>
    </w:p>
    <w:p w14:paraId="265CCD79" w14:textId="13375B2D" w:rsidR="00514181" w:rsidRDefault="00130CF6" w:rsidP="00A5237A">
      <w:pPr>
        <w:spacing w:before="0" w:after="0" w:line="480" w:lineRule="auto"/>
        <w:jc w:val="both"/>
        <w:rPr>
          <w:rFonts w:eastAsia="Times New Roman" w:cs="Times New Roman"/>
          <w:b/>
          <w:noProof/>
          <w:color w:val="auto"/>
          <w:szCs w:val="24"/>
        </w:rPr>
      </w:pPr>
      <w:r>
        <w:rPr>
          <w:rFonts w:eastAsia="Times New Roman" w:cs="Times New Roman"/>
          <w:b/>
          <w:noProof/>
          <w:color w:val="auto"/>
          <w:szCs w:val="24"/>
        </w:rPr>
        <w:lastRenderedPageBreak/>
        <w:drawing>
          <wp:inline distT="0" distB="0" distL="0" distR="0" wp14:anchorId="630E9F85" wp14:editId="2DC254AE">
            <wp:extent cx="5499100" cy="804100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99100" cy="8041005"/>
                    </a:xfrm>
                    <a:prstGeom prst="rect">
                      <a:avLst/>
                    </a:prstGeom>
                    <a:noFill/>
                  </pic:spPr>
                </pic:pic>
              </a:graphicData>
            </a:graphic>
          </wp:inline>
        </w:drawing>
      </w:r>
    </w:p>
    <w:p w14:paraId="16E8E601" w14:textId="26521F46" w:rsidR="00514181" w:rsidRDefault="00130CF6" w:rsidP="00A5237A">
      <w:pPr>
        <w:spacing w:before="0" w:after="0" w:line="480" w:lineRule="auto"/>
        <w:jc w:val="both"/>
        <w:rPr>
          <w:rFonts w:eastAsia="Times New Roman" w:cs="Times New Roman"/>
          <w:b/>
          <w:noProof/>
          <w:color w:val="auto"/>
          <w:szCs w:val="24"/>
        </w:rPr>
      </w:pPr>
      <w:r>
        <w:rPr>
          <w:rFonts w:eastAsia="Times New Roman" w:cs="Times New Roman"/>
          <w:b/>
          <w:noProof/>
          <w:color w:val="auto"/>
          <w:szCs w:val="24"/>
        </w:rPr>
        <w:lastRenderedPageBreak/>
        <w:drawing>
          <wp:inline distT="0" distB="0" distL="0" distR="0" wp14:anchorId="0D401DA6" wp14:editId="7AF86546">
            <wp:extent cx="5499100" cy="8041005"/>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99100" cy="8041005"/>
                    </a:xfrm>
                    <a:prstGeom prst="rect">
                      <a:avLst/>
                    </a:prstGeom>
                    <a:noFill/>
                  </pic:spPr>
                </pic:pic>
              </a:graphicData>
            </a:graphic>
          </wp:inline>
        </w:drawing>
      </w:r>
    </w:p>
    <w:p w14:paraId="3F49B83A" w14:textId="3B56877A" w:rsidR="00130CF6" w:rsidRDefault="00130CF6" w:rsidP="00A5237A">
      <w:pPr>
        <w:spacing w:before="0" w:after="0" w:line="480" w:lineRule="auto"/>
        <w:jc w:val="both"/>
        <w:rPr>
          <w:rFonts w:eastAsia="Times New Roman" w:cs="Times New Roman"/>
          <w:b/>
          <w:noProof/>
          <w:color w:val="auto"/>
          <w:szCs w:val="24"/>
        </w:rPr>
      </w:pPr>
      <w:r>
        <w:rPr>
          <w:rFonts w:eastAsia="Times New Roman" w:cs="Times New Roman"/>
          <w:b/>
          <w:noProof/>
          <w:color w:val="auto"/>
          <w:szCs w:val="24"/>
        </w:rPr>
        <w:lastRenderedPageBreak/>
        <w:drawing>
          <wp:inline distT="0" distB="0" distL="0" distR="0" wp14:anchorId="38677C63" wp14:editId="427A076D">
            <wp:extent cx="5499100" cy="399923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9100" cy="3999230"/>
                    </a:xfrm>
                    <a:prstGeom prst="rect">
                      <a:avLst/>
                    </a:prstGeom>
                    <a:noFill/>
                  </pic:spPr>
                </pic:pic>
              </a:graphicData>
            </a:graphic>
          </wp:inline>
        </w:drawing>
      </w:r>
    </w:p>
    <w:p w14:paraId="01981616" w14:textId="1C6C9F72" w:rsidR="00130CF6" w:rsidRDefault="00130CF6" w:rsidP="00A5237A">
      <w:pPr>
        <w:spacing w:before="0" w:after="0" w:line="480" w:lineRule="auto"/>
        <w:jc w:val="both"/>
        <w:rPr>
          <w:rFonts w:eastAsia="Times New Roman" w:cs="Times New Roman"/>
          <w:b/>
          <w:noProof/>
          <w:color w:val="auto"/>
          <w:szCs w:val="24"/>
        </w:rPr>
      </w:pPr>
      <w:r>
        <w:rPr>
          <w:rFonts w:eastAsia="Times New Roman" w:cs="Times New Roman"/>
          <w:b/>
          <w:noProof/>
          <w:color w:val="auto"/>
          <w:szCs w:val="24"/>
        </w:rPr>
        <w:lastRenderedPageBreak/>
        <w:drawing>
          <wp:inline distT="0" distB="0" distL="0" distR="0" wp14:anchorId="757455CB" wp14:editId="5C2938A4">
            <wp:extent cx="5499100" cy="766953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99100" cy="7669530"/>
                    </a:xfrm>
                    <a:prstGeom prst="rect">
                      <a:avLst/>
                    </a:prstGeom>
                    <a:noFill/>
                  </pic:spPr>
                </pic:pic>
              </a:graphicData>
            </a:graphic>
          </wp:inline>
        </w:drawing>
      </w:r>
    </w:p>
    <w:p w14:paraId="0E2D999B" w14:textId="5FDEAFAB" w:rsidR="00130CF6" w:rsidRDefault="00AE1262" w:rsidP="00A5237A">
      <w:pPr>
        <w:spacing w:before="0" w:after="0" w:line="480" w:lineRule="auto"/>
        <w:jc w:val="both"/>
        <w:rPr>
          <w:rFonts w:eastAsia="Times New Roman" w:cs="Times New Roman"/>
          <w:b/>
          <w:noProof/>
          <w:color w:val="auto"/>
          <w:szCs w:val="24"/>
        </w:rPr>
      </w:pPr>
      <w:r>
        <w:rPr>
          <w:rFonts w:eastAsia="Times New Roman" w:cs="Times New Roman"/>
          <w:b/>
          <w:noProof/>
          <w:color w:val="auto"/>
          <w:szCs w:val="24"/>
        </w:rPr>
        <w:lastRenderedPageBreak/>
        <w:drawing>
          <wp:inline distT="0" distB="0" distL="0" distR="0" wp14:anchorId="0B17C75D" wp14:editId="4C09AD30">
            <wp:extent cx="5499100" cy="2390140"/>
            <wp:effectExtent l="0" t="0" r="6350" b="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99100" cy="2390140"/>
                    </a:xfrm>
                    <a:prstGeom prst="rect">
                      <a:avLst/>
                    </a:prstGeom>
                    <a:noFill/>
                  </pic:spPr>
                </pic:pic>
              </a:graphicData>
            </a:graphic>
          </wp:inline>
        </w:drawing>
      </w:r>
    </w:p>
    <w:p w14:paraId="1EED2742" w14:textId="2CED0A7A" w:rsidR="00130CF6" w:rsidRDefault="00130CF6" w:rsidP="00A5237A">
      <w:pPr>
        <w:spacing w:before="0" w:after="0" w:line="480" w:lineRule="auto"/>
        <w:jc w:val="both"/>
        <w:rPr>
          <w:rFonts w:eastAsia="Times New Roman" w:cs="Times New Roman"/>
          <w:b/>
          <w:noProof/>
          <w:color w:val="auto"/>
          <w:szCs w:val="24"/>
        </w:rPr>
      </w:pPr>
      <w:r>
        <w:rPr>
          <w:rFonts w:eastAsia="Times New Roman" w:cs="Times New Roman"/>
          <w:b/>
          <w:noProof/>
          <w:color w:val="auto"/>
          <w:szCs w:val="24"/>
        </w:rPr>
        <w:lastRenderedPageBreak/>
        <w:drawing>
          <wp:inline distT="0" distB="0" distL="0" distR="0" wp14:anchorId="0AE74AF8" wp14:editId="7A493CB1">
            <wp:extent cx="5864860" cy="785241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64860" cy="7852410"/>
                    </a:xfrm>
                    <a:prstGeom prst="rect">
                      <a:avLst/>
                    </a:prstGeom>
                    <a:noFill/>
                  </pic:spPr>
                </pic:pic>
              </a:graphicData>
            </a:graphic>
          </wp:inline>
        </w:drawing>
      </w:r>
    </w:p>
    <w:p w14:paraId="1CB7B6E6" w14:textId="39554692" w:rsidR="00130CF6" w:rsidRDefault="00130CF6" w:rsidP="00A5237A">
      <w:pPr>
        <w:spacing w:before="0" w:after="0" w:line="480" w:lineRule="auto"/>
        <w:jc w:val="both"/>
        <w:rPr>
          <w:rFonts w:eastAsia="Times New Roman" w:cs="Times New Roman"/>
          <w:b/>
          <w:noProof/>
          <w:color w:val="auto"/>
          <w:szCs w:val="24"/>
        </w:rPr>
      </w:pPr>
      <w:r>
        <w:rPr>
          <w:rFonts w:eastAsia="Times New Roman" w:cs="Times New Roman"/>
          <w:b/>
          <w:noProof/>
          <w:color w:val="auto"/>
          <w:szCs w:val="24"/>
        </w:rPr>
        <w:lastRenderedPageBreak/>
        <w:drawing>
          <wp:inline distT="0" distB="0" distL="0" distR="0" wp14:anchorId="19B920BC" wp14:editId="3AD931B9">
            <wp:extent cx="5499100" cy="272542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99100" cy="2725420"/>
                    </a:xfrm>
                    <a:prstGeom prst="rect">
                      <a:avLst/>
                    </a:prstGeom>
                    <a:noFill/>
                  </pic:spPr>
                </pic:pic>
              </a:graphicData>
            </a:graphic>
          </wp:inline>
        </w:drawing>
      </w:r>
    </w:p>
    <w:p w14:paraId="43DACBEB" w14:textId="0A2D4EFB" w:rsidR="00AD7256" w:rsidRDefault="00AD7256" w:rsidP="00A5237A">
      <w:pPr>
        <w:spacing w:before="0" w:after="0" w:line="480" w:lineRule="auto"/>
        <w:jc w:val="both"/>
        <w:rPr>
          <w:rFonts w:eastAsia="Times New Roman" w:cs="Times New Roman"/>
          <w:b/>
          <w:color w:val="auto"/>
          <w:szCs w:val="24"/>
        </w:rPr>
      </w:pPr>
    </w:p>
    <w:p w14:paraId="01E977A7" w14:textId="78AEFE56" w:rsidR="00A410CA" w:rsidRDefault="00130CF6" w:rsidP="00A5237A">
      <w:pPr>
        <w:spacing w:before="0" w:after="0" w:line="480" w:lineRule="auto"/>
        <w:jc w:val="both"/>
        <w:rPr>
          <w:rFonts w:eastAsia="Times New Roman" w:cs="Times New Roman"/>
          <w:b/>
          <w:color w:val="auto"/>
          <w:szCs w:val="24"/>
        </w:rPr>
      </w:pPr>
      <w:r>
        <w:rPr>
          <w:rFonts w:eastAsia="Times New Roman" w:cs="Times New Roman"/>
          <w:b/>
          <w:noProof/>
          <w:color w:val="auto"/>
          <w:szCs w:val="24"/>
        </w:rPr>
        <w:lastRenderedPageBreak/>
        <w:drawing>
          <wp:inline distT="0" distB="0" distL="0" distR="0" wp14:anchorId="51352F78" wp14:editId="5B8AD8E0">
            <wp:extent cx="5499100" cy="810260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99100" cy="8102600"/>
                    </a:xfrm>
                    <a:prstGeom prst="rect">
                      <a:avLst/>
                    </a:prstGeom>
                    <a:noFill/>
                  </pic:spPr>
                </pic:pic>
              </a:graphicData>
            </a:graphic>
          </wp:inline>
        </w:drawing>
      </w:r>
    </w:p>
    <w:p w14:paraId="37897E3F" w14:textId="3A2B9F2E" w:rsidR="00A410CA" w:rsidRDefault="00AE1262" w:rsidP="00A5237A">
      <w:pPr>
        <w:spacing w:before="0" w:after="0" w:line="480" w:lineRule="auto"/>
        <w:jc w:val="both"/>
        <w:rPr>
          <w:rFonts w:eastAsia="Times New Roman" w:cs="Times New Roman"/>
          <w:b/>
          <w:color w:val="auto"/>
          <w:szCs w:val="24"/>
        </w:rPr>
      </w:pPr>
      <w:r>
        <w:rPr>
          <w:rFonts w:eastAsia="Times New Roman" w:cs="Times New Roman"/>
          <w:b/>
          <w:noProof/>
          <w:color w:val="auto"/>
          <w:szCs w:val="24"/>
        </w:rPr>
        <w:lastRenderedPageBreak/>
        <w:drawing>
          <wp:inline distT="0" distB="0" distL="0" distR="0" wp14:anchorId="262D72CC" wp14:editId="5297D4C4">
            <wp:extent cx="5499100" cy="8102600"/>
            <wp:effectExtent l="0" t="0" r="6350" b="0"/>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99100" cy="8102600"/>
                    </a:xfrm>
                    <a:prstGeom prst="rect">
                      <a:avLst/>
                    </a:prstGeom>
                    <a:noFill/>
                  </pic:spPr>
                </pic:pic>
              </a:graphicData>
            </a:graphic>
          </wp:inline>
        </w:drawing>
      </w:r>
    </w:p>
    <w:p w14:paraId="5E77156A" w14:textId="1DF8C445" w:rsidR="00A410CA" w:rsidRDefault="00AE1262" w:rsidP="00A5237A">
      <w:pPr>
        <w:spacing w:before="0" w:after="0" w:line="480" w:lineRule="auto"/>
        <w:jc w:val="both"/>
        <w:rPr>
          <w:rFonts w:eastAsia="Times New Roman" w:cs="Times New Roman"/>
          <w:b/>
          <w:color w:val="auto"/>
          <w:szCs w:val="24"/>
        </w:rPr>
      </w:pPr>
      <w:r>
        <w:rPr>
          <w:rFonts w:eastAsia="Times New Roman" w:cs="Times New Roman"/>
          <w:b/>
          <w:noProof/>
          <w:color w:val="auto"/>
          <w:szCs w:val="24"/>
        </w:rPr>
        <w:lastRenderedPageBreak/>
        <w:drawing>
          <wp:inline distT="0" distB="0" distL="0" distR="0" wp14:anchorId="4F2B9B7D" wp14:editId="13F3187F">
            <wp:extent cx="5499100" cy="8102600"/>
            <wp:effectExtent l="0" t="0" r="6350" b="0"/>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99100" cy="8102600"/>
                    </a:xfrm>
                    <a:prstGeom prst="rect">
                      <a:avLst/>
                    </a:prstGeom>
                    <a:noFill/>
                  </pic:spPr>
                </pic:pic>
              </a:graphicData>
            </a:graphic>
          </wp:inline>
        </w:drawing>
      </w:r>
    </w:p>
    <w:p w14:paraId="7DBCFF99" w14:textId="1ED0CD0A" w:rsidR="00A410CA" w:rsidRDefault="00130CF6" w:rsidP="00A5237A">
      <w:pPr>
        <w:spacing w:before="0" w:after="0" w:line="480" w:lineRule="auto"/>
        <w:jc w:val="both"/>
        <w:rPr>
          <w:rFonts w:eastAsia="Times New Roman" w:cs="Times New Roman"/>
          <w:b/>
          <w:color w:val="auto"/>
          <w:szCs w:val="24"/>
        </w:rPr>
      </w:pPr>
      <w:r>
        <w:rPr>
          <w:rFonts w:eastAsia="Times New Roman" w:cs="Times New Roman"/>
          <w:b/>
          <w:noProof/>
          <w:color w:val="auto"/>
          <w:szCs w:val="24"/>
        </w:rPr>
        <w:lastRenderedPageBreak/>
        <w:drawing>
          <wp:inline distT="0" distB="0" distL="0" distR="0" wp14:anchorId="5A32D925" wp14:editId="68A61D94">
            <wp:extent cx="5499100" cy="7071995"/>
            <wp:effectExtent l="0" t="0" r="6350" b="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99100" cy="7071995"/>
                    </a:xfrm>
                    <a:prstGeom prst="rect">
                      <a:avLst/>
                    </a:prstGeom>
                    <a:noFill/>
                  </pic:spPr>
                </pic:pic>
              </a:graphicData>
            </a:graphic>
          </wp:inline>
        </w:drawing>
      </w:r>
    </w:p>
    <w:p w14:paraId="4B56ABE2" w14:textId="5350EA2B" w:rsidR="00130CF6" w:rsidRDefault="00130CF6" w:rsidP="00A5237A">
      <w:pPr>
        <w:spacing w:before="0" w:after="0" w:line="480" w:lineRule="auto"/>
        <w:jc w:val="both"/>
        <w:rPr>
          <w:rFonts w:eastAsia="Times New Roman" w:cs="Times New Roman"/>
          <w:b/>
          <w:color w:val="auto"/>
          <w:szCs w:val="24"/>
        </w:rPr>
      </w:pPr>
      <w:r>
        <w:rPr>
          <w:rFonts w:eastAsia="Times New Roman" w:cs="Times New Roman"/>
          <w:b/>
          <w:noProof/>
          <w:color w:val="auto"/>
          <w:szCs w:val="24"/>
        </w:rPr>
        <w:lastRenderedPageBreak/>
        <w:drawing>
          <wp:inline distT="0" distB="0" distL="0" distR="0" wp14:anchorId="24031D30" wp14:editId="74D747B2">
            <wp:extent cx="5116702" cy="3840480"/>
            <wp:effectExtent l="0" t="0" r="8255" b="762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16702" cy="3840480"/>
                    </a:xfrm>
                    <a:prstGeom prst="rect">
                      <a:avLst/>
                    </a:prstGeom>
                    <a:noFill/>
                  </pic:spPr>
                </pic:pic>
              </a:graphicData>
            </a:graphic>
          </wp:inline>
        </w:drawing>
      </w:r>
    </w:p>
    <w:p w14:paraId="62344F42" w14:textId="6CE262B1" w:rsidR="00130CF6" w:rsidRDefault="001C5D63" w:rsidP="00A5237A">
      <w:pPr>
        <w:spacing w:before="0" w:after="0" w:line="480" w:lineRule="auto"/>
        <w:jc w:val="both"/>
        <w:rPr>
          <w:rFonts w:eastAsia="Times New Roman" w:cs="Times New Roman"/>
          <w:b/>
          <w:color w:val="auto"/>
          <w:szCs w:val="24"/>
        </w:rPr>
      </w:pPr>
      <w:r>
        <w:rPr>
          <w:rFonts w:eastAsia="Times New Roman" w:cs="Times New Roman"/>
          <w:b/>
          <w:noProof/>
          <w:color w:val="auto"/>
          <w:szCs w:val="24"/>
        </w:rPr>
        <w:drawing>
          <wp:inline distT="0" distB="0" distL="0" distR="0" wp14:anchorId="19F9E992" wp14:editId="6DF0B6E2">
            <wp:extent cx="5116701" cy="3840480"/>
            <wp:effectExtent l="0" t="0" r="8255" b="7620"/>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16701" cy="3840480"/>
                    </a:xfrm>
                    <a:prstGeom prst="rect">
                      <a:avLst/>
                    </a:prstGeom>
                    <a:noFill/>
                  </pic:spPr>
                </pic:pic>
              </a:graphicData>
            </a:graphic>
          </wp:inline>
        </w:drawing>
      </w:r>
    </w:p>
    <w:p w14:paraId="4AB10DE0" w14:textId="53362DA5" w:rsidR="00130CF6" w:rsidRDefault="001C5D63" w:rsidP="00A5237A">
      <w:pPr>
        <w:spacing w:before="0" w:after="0" w:line="480" w:lineRule="auto"/>
        <w:jc w:val="both"/>
        <w:rPr>
          <w:rFonts w:eastAsia="Times New Roman" w:cs="Times New Roman"/>
          <w:b/>
          <w:color w:val="auto"/>
          <w:szCs w:val="24"/>
        </w:rPr>
      </w:pPr>
      <w:r>
        <w:rPr>
          <w:rFonts w:eastAsia="Times New Roman" w:cs="Times New Roman"/>
          <w:b/>
          <w:noProof/>
          <w:color w:val="auto"/>
          <w:szCs w:val="24"/>
        </w:rPr>
        <w:lastRenderedPageBreak/>
        <w:drawing>
          <wp:inline distT="0" distB="0" distL="0" distR="0" wp14:anchorId="41E6144A" wp14:editId="3B1CAFC7">
            <wp:extent cx="5116701" cy="3840480"/>
            <wp:effectExtent l="0" t="0" r="8255" b="7620"/>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16701" cy="3840480"/>
                    </a:xfrm>
                    <a:prstGeom prst="rect">
                      <a:avLst/>
                    </a:prstGeom>
                    <a:noFill/>
                  </pic:spPr>
                </pic:pic>
              </a:graphicData>
            </a:graphic>
          </wp:inline>
        </w:drawing>
      </w:r>
    </w:p>
    <w:p w14:paraId="4EC843DF" w14:textId="44D578DE" w:rsidR="00A410CA" w:rsidRDefault="001C5D63" w:rsidP="00A5237A">
      <w:pPr>
        <w:spacing w:before="0" w:after="0" w:line="480" w:lineRule="auto"/>
        <w:jc w:val="both"/>
        <w:rPr>
          <w:rFonts w:eastAsia="Times New Roman" w:cs="Times New Roman"/>
          <w:b/>
          <w:color w:val="auto"/>
          <w:szCs w:val="24"/>
        </w:rPr>
      </w:pPr>
      <w:r>
        <w:rPr>
          <w:rFonts w:eastAsia="Times New Roman" w:cs="Times New Roman"/>
          <w:b/>
          <w:noProof/>
          <w:color w:val="auto"/>
          <w:szCs w:val="24"/>
        </w:rPr>
        <w:drawing>
          <wp:inline distT="0" distB="0" distL="0" distR="0" wp14:anchorId="74BF04F2" wp14:editId="7487456E">
            <wp:extent cx="5116701" cy="3840480"/>
            <wp:effectExtent l="0" t="0" r="8255" b="7620"/>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16701" cy="3840480"/>
                    </a:xfrm>
                    <a:prstGeom prst="rect">
                      <a:avLst/>
                    </a:prstGeom>
                    <a:noFill/>
                  </pic:spPr>
                </pic:pic>
              </a:graphicData>
            </a:graphic>
          </wp:inline>
        </w:drawing>
      </w:r>
    </w:p>
    <w:p w14:paraId="60ACCFCF" w14:textId="1CA2A0FA" w:rsidR="00130CF6" w:rsidRDefault="00130CF6" w:rsidP="00A5237A">
      <w:pPr>
        <w:spacing w:before="0" w:after="0" w:line="480" w:lineRule="auto"/>
        <w:jc w:val="both"/>
        <w:rPr>
          <w:rFonts w:eastAsia="Times New Roman" w:cs="Times New Roman"/>
          <w:b/>
          <w:color w:val="auto"/>
          <w:szCs w:val="24"/>
        </w:rPr>
      </w:pPr>
      <w:r>
        <w:rPr>
          <w:rFonts w:eastAsia="Times New Roman" w:cs="Times New Roman"/>
          <w:b/>
          <w:noProof/>
          <w:color w:val="auto"/>
          <w:szCs w:val="24"/>
        </w:rPr>
        <w:lastRenderedPageBreak/>
        <w:drawing>
          <wp:inline distT="0" distB="0" distL="0" distR="0" wp14:anchorId="65B3E4DF" wp14:editId="23A218EA">
            <wp:extent cx="5499100" cy="3517900"/>
            <wp:effectExtent l="0" t="0" r="6350" b="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99100" cy="3517900"/>
                    </a:xfrm>
                    <a:prstGeom prst="rect">
                      <a:avLst/>
                    </a:prstGeom>
                    <a:noFill/>
                  </pic:spPr>
                </pic:pic>
              </a:graphicData>
            </a:graphic>
          </wp:inline>
        </w:drawing>
      </w:r>
    </w:p>
    <w:p w14:paraId="6B99C6CC" w14:textId="056C614C" w:rsidR="00130CF6" w:rsidRDefault="00130CF6" w:rsidP="00A5237A">
      <w:pPr>
        <w:spacing w:before="0" w:after="0" w:line="480" w:lineRule="auto"/>
        <w:jc w:val="both"/>
        <w:rPr>
          <w:rFonts w:eastAsia="Times New Roman" w:cs="Times New Roman"/>
          <w:b/>
          <w:color w:val="auto"/>
          <w:szCs w:val="24"/>
        </w:rPr>
      </w:pPr>
    </w:p>
    <w:p w14:paraId="29DD445A" w14:textId="77777777" w:rsidR="00130CF6" w:rsidRDefault="00130CF6" w:rsidP="00A5237A">
      <w:pPr>
        <w:spacing w:before="0" w:after="0" w:line="480" w:lineRule="auto"/>
        <w:jc w:val="both"/>
        <w:rPr>
          <w:rFonts w:eastAsia="Times New Roman" w:cs="Times New Roman"/>
          <w:b/>
          <w:color w:val="auto"/>
          <w:szCs w:val="24"/>
        </w:rPr>
      </w:pPr>
    </w:p>
    <w:p w14:paraId="0954FC8E" w14:textId="39946AD7" w:rsidR="00341F69" w:rsidRDefault="00341F69">
      <w:pPr>
        <w:spacing w:before="0" w:after="160" w:line="259" w:lineRule="auto"/>
        <w:rPr>
          <w:rFonts w:eastAsia="Times New Roman" w:cs="Times New Roman"/>
          <w:b/>
          <w:color w:val="auto"/>
          <w:szCs w:val="24"/>
        </w:rPr>
      </w:pPr>
      <w:r>
        <w:rPr>
          <w:rFonts w:eastAsia="Times New Roman" w:cs="Times New Roman"/>
          <w:b/>
          <w:color w:val="auto"/>
          <w:szCs w:val="24"/>
        </w:rPr>
        <w:br w:type="page"/>
      </w:r>
    </w:p>
    <w:p w14:paraId="0DD3923A" w14:textId="1452A400" w:rsidR="00A410CA" w:rsidRDefault="00A410CA" w:rsidP="00A5237A">
      <w:pPr>
        <w:spacing w:before="0" w:after="0" w:line="480" w:lineRule="auto"/>
        <w:jc w:val="both"/>
        <w:rPr>
          <w:rFonts w:eastAsia="Times New Roman" w:cs="Times New Roman"/>
          <w:b/>
          <w:color w:val="auto"/>
          <w:szCs w:val="24"/>
        </w:rPr>
      </w:pPr>
    </w:p>
    <w:p w14:paraId="416A62C0" w14:textId="20C5F944" w:rsidR="00317481" w:rsidRDefault="00317481" w:rsidP="00A5237A">
      <w:pPr>
        <w:spacing w:before="0" w:after="0" w:line="480" w:lineRule="auto"/>
        <w:jc w:val="both"/>
        <w:rPr>
          <w:rFonts w:eastAsia="Times New Roman" w:cs="Times New Roman"/>
          <w:b/>
          <w:color w:val="auto"/>
          <w:szCs w:val="24"/>
        </w:rPr>
      </w:pPr>
    </w:p>
    <w:p w14:paraId="65F8647E" w14:textId="77777777" w:rsidR="0030426F" w:rsidRDefault="0030426F" w:rsidP="00A5237A">
      <w:pPr>
        <w:spacing w:before="0" w:after="0" w:line="480" w:lineRule="auto"/>
        <w:jc w:val="both"/>
        <w:rPr>
          <w:rFonts w:eastAsia="Times New Roman" w:cs="Times New Roman"/>
          <w:b/>
          <w:color w:val="auto"/>
          <w:szCs w:val="24"/>
        </w:rPr>
      </w:pPr>
    </w:p>
    <w:p w14:paraId="4B64168D" w14:textId="77777777" w:rsidR="00317481" w:rsidRDefault="00317481" w:rsidP="00A5237A">
      <w:pPr>
        <w:spacing w:before="0" w:after="0" w:line="480" w:lineRule="auto"/>
        <w:jc w:val="both"/>
        <w:rPr>
          <w:rFonts w:eastAsia="Times New Roman" w:cs="Times New Roman"/>
          <w:b/>
          <w:color w:val="auto"/>
          <w:szCs w:val="24"/>
        </w:rPr>
      </w:pPr>
    </w:p>
    <w:p w14:paraId="2E856328" w14:textId="4CE3F65D" w:rsidR="00317481" w:rsidRDefault="00317481" w:rsidP="00A5237A">
      <w:pPr>
        <w:spacing w:before="0" w:after="0" w:line="480" w:lineRule="auto"/>
        <w:jc w:val="both"/>
        <w:rPr>
          <w:rFonts w:eastAsia="Times New Roman" w:cs="Times New Roman"/>
          <w:b/>
          <w:color w:val="auto"/>
          <w:szCs w:val="24"/>
        </w:rPr>
      </w:pPr>
    </w:p>
    <w:p w14:paraId="606F32B6" w14:textId="066AAE1A" w:rsidR="00317481" w:rsidRDefault="00317481" w:rsidP="00A5237A">
      <w:pPr>
        <w:spacing w:before="0" w:after="0" w:line="480" w:lineRule="auto"/>
        <w:jc w:val="both"/>
        <w:rPr>
          <w:rFonts w:eastAsia="Times New Roman" w:cs="Times New Roman"/>
          <w:b/>
          <w:color w:val="auto"/>
          <w:szCs w:val="24"/>
        </w:rPr>
      </w:pPr>
    </w:p>
    <w:p w14:paraId="45A5D896" w14:textId="77777777" w:rsidR="00317481" w:rsidRDefault="00317481" w:rsidP="00A5237A">
      <w:pPr>
        <w:spacing w:before="0" w:after="0" w:line="480" w:lineRule="auto"/>
        <w:jc w:val="both"/>
        <w:rPr>
          <w:rFonts w:eastAsia="Times New Roman" w:cs="Times New Roman"/>
          <w:b/>
          <w:color w:val="auto"/>
          <w:szCs w:val="24"/>
        </w:rPr>
      </w:pPr>
    </w:p>
    <w:p w14:paraId="6D3D651D" w14:textId="2F57DF67" w:rsidR="00AD7256" w:rsidRDefault="00AD7256" w:rsidP="00A5237A">
      <w:pPr>
        <w:spacing w:before="0" w:after="0" w:line="480" w:lineRule="auto"/>
        <w:jc w:val="both"/>
        <w:rPr>
          <w:rFonts w:eastAsia="Times New Roman" w:cs="Times New Roman"/>
          <w:b/>
          <w:color w:val="auto"/>
          <w:szCs w:val="24"/>
        </w:rPr>
      </w:pPr>
    </w:p>
    <w:p w14:paraId="592233FB" w14:textId="77777777" w:rsidR="00AD7256" w:rsidRDefault="00AD7256" w:rsidP="00A5237A">
      <w:pPr>
        <w:spacing w:before="0" w:after="0" w:line="480" w:lineRule="auto"/>
        <w:jc w:val="both"/>
        <w:rPr>
          <w:rFonts w:eastAsia="Times New Roman" w:cs="Times New Roman"/>
          <w:b/>
          <w:color w:val="auto"/>
          <w:szCs w:val="24"/>
        </w:rPr>
      </w:pPr>
    </w:p>
    <w:p w14:paraId="4CFF9F22" w14:textId="628DD4AD" w:rsidR="00AD7256" w:rsidRPr="002C4263" w:rsidRDefault="00F63AEB" w:rsidP="00003E36">
      <w:pPr>
        <w:pStyle w:val="Heading1"/>
      </w:pPr>
      <w:bookmarkStart w:id="89" w:name="_Toc39502080"/>
      <w:r>
        <w:t>BIBLIOGRAPHY</w:t>
      </w:r>
      <w:bookmarkEnd w:id="89"/>
    </w:p>
    <w:p w14:paraId="1F2E4451" w14:textId="7784ACAD" w:rsidR="00AD7256" w:rsidRDefault="00AD7256" w:rsidP="00A5237A">
      <w:pPr>
        <w:spacing w:before="0" w:after="0" w:line="480" w:lineRule="auto"/>
        <w:jc w:val="both"/>
        <w:rPr>
          <w:rFonts w:eastAsia="Times New Roman" w:cs="Times New Roman"/>
          <w:b/>
          <w:color w:val="auto"/>
          <w:szCs w:val="24"/>
        </w:rPr>
      </w:pPr>
    </w:p>
    <w:p w14:paraId="37E1611C" w14:textId="5C57372D" w:rsidR="00F63AEB" w:rsidRDefault="00F63AEB" w:rsidP="00A5237A">
      <w:pPr>
        <w:spacing w:before="0" w:after="0" w:line="480" w:lineRule="auto"/>
        <w:jc w:val="both"/>
        <w:rPr>
          <w:rFonts w:eastAsia="Times New Roman" w:cs="Times New Roman"/>
          <w:b/>
          <w:color w:val="auto"/>
          <w:szCs w:val="24"/>
        </w:rPr>
      </w:pPr>
    </w:p>
    <w:p w14:paraId="18ECA88B" w14:textId="4A0AA540" w:rsidR="00F63AEB" w:rsidRDefault="00F63AEB" w:rsidP="00A5237A">
      <w:pPr>
        <w:spacing w:before="0" w:after="0" w:line="480" w:lineRule="auto"/>
        <w:jc w:val="both"/>
        <w:rPr>
          <w:rFonts w:eastAsia="Times New Roman" w:cs="Times New Roman"/>
          <w:b/>
          <w:color w:val="auto"/>
          <w:szCs w:val="24"/>
        </w:rPr>
      </w:pPr>
    </w:p>
    <w:p w14:paraId="15727067" w14:textId="624EE553" w:rsidR="00F63AEB" w:rsidRDefault="00F63AEB" w:rsidP="00A5237A">
      <w:pPr>
        <w:spacing w:before="0" w:after="0" w:line="480" w:lineRule="auto"/>
        <w:jc w:val="both"/>
        <w:rPr>
          <w:rFonts w:eastAsia="Times New Roman" w:cs="Times New Roman"/>
          <w:b/>
          <w:color w:val="auto"/>
          <w:szCs w:val="24"/>
        </w:rPr>
      </w:pPr>
    </w:p>
    <w:p w14:paraId="07C08D0E" w14:textId="00EFF4C8" w:rsidR="00F63AEB" w:rsidRDefault="00F63AEB">
      <w:pPr>
        <w:spacing w:before="0" w:after="160" w:line="259" w:lineRule="auto"/>
        <w:rPr>
          <w:rFonts w:eastAsia="Times New Roman" w:cs="Times New Roman"/>
          <w:b/>
          <w:color w:val="auto"/>
          <w:szCs w:val="24"/>
        </w:rPr>
      </w:pPr>
      <w:r>
        <w:rPr>
          <w:rFonts w:eastAsia="Times New Roman" w:cs="Times New Roman"/>
          <w:b/>
          <w:color w:val="auto"/>
          <w:szCs w:val="24"/>
        </w:rPr>
        <w:br w:type="page"/>
      </w:r>
    </w:p>
    <w:p w14:paraId="317A8D42" w14:textId="0C35A47E" w:rsidR="00D50F49" w:rsidRPr="00D50F49" w:rsidRDefault="00D50F49" w:rsidP="00DD79FA">
      <w:pPr>
        <w:widowControl w:val="0"/>
        <w:autoSpaceDE w:val="0"/>
        <w:autoSpaceDN w:val="0"/>
        <w:adjustRightInd w:val="0"/>
        <w:spacing w:before="0" w:line="360" w:lineRule="auto"/>
        <w:jc w:val="both"/>
        <w:rPr>
          <w:rFonts w:cs="Times New Roman"/>
          <w:noProof/>
          <w:szCs w:val="24"/>
        </w:rPr>
      </w:pPr>
      <w:r>
        <w:rPr>
          <w:rFonts w:eastAsia="Times New Roman" w:cs="Times New Roman"/>
          <w:b/>
          <w:color w:val="auto"/>
          <w:szCs w:val="24"/>
        </w:rPr>
        <w:lastRenderedPageBreak/>
        <w:fldChar w:fldCharType="begin" w:fldLock="1"/>
      </w:r>
      <w:r>
        <w:rPr>
          <w:rFonts w:eastAsia="Times New Roman" w:cs="Times New Roman"/>
          <w:b/>
          <w:color w:val="auto"/>
          <w:szCs w:val="24"/>
        </w:rPr>
        <w:instrText xml:space="preserve">ADDIN Mendeley Bibliography CSL_BIBLIOGRAPHY </w:instrText>
      </w:r>
      <w:r>
        <w:rPr>
          <w:rFonts w:eastAsia="Times New Roman" w:cs="Times New Roman"/>
          <w:b/>
          <w:color w:val="auto"/>
          <w:szCs w:val="24"/>
        </w:rPr>
        <w:fldChar w:fldCharType="separate"/>
      </w:r>
      <w:r w:rsidRPr="00D50F49">
        <w:rPr>
          <w:rFonts w:cs="Times New Roman"/>
          <w:noProof/>
          <w:szCs w:val="24"/>
        </w:rPr>
        <w:t xml:space="preserve">Airhart, M. J., Lee, D. H., Wilson, T. D., Miller, B. E., Miller, M. N., Skalko, R. G. and Monaco, P. J. (2012) ‘Adverse effects of serotonin depletion in developing zebrafish’, </w:t>
      </w:r>
      <w:r w:rsidRPr="00D50F49">
        <w:rPr>
          <w:rFonts w:cs="Times New Roman"/>
          <w:i/>
          <w:iCs/>
          <w:noProof/>
          <w:szCs w:val="24"/>
        </w:rPr>
        <w:t>Neurotoxicology and Teratology</w:t>
      </w:r>
      <w:r w:rsidRPr="00D50F49">
        <w:rPr>
          <w:rFonts w:cs="Times New Roman"/>
          <w:noProof/>
          <w:szCs w:val="24"/>
        </w:rPr>
        <w:t>, 34(1), pp. 152–160.</w:t>
      </w:r>
    </w:p>
    <w:p w14:paraId="4589F072"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Ali, S., Champagne, D. L., Spaink, H. P. and Richardson, M. K. (2011) ‘Zebrafish embryos and larvae: A new generation of disease models and drug screens’, </w:t>
      </w:r>
      <w:r w:rsidRPr="00D50F49">
        <w:rPr>
          <w:rFonts w:cs="Times New Roman"/>
          <w:i/>
          <w:iCs/>
          <w:noProof/>
          <w:szCs w:val="24"/>
        </w:rPr>
        <w:t>Birth Defects Research Part C - Embryo Today: Reviews</w:t>
      </w:r>
      <w:r w:rsidRPr="00D50F49">
        <w:rPr>
          <w:rFonts w:cs="Times New Roman"/>
          <w:noProof/>
          <w:szCs w:val="24"/>
        </w:rPr>
        <w:t>, 93(2), pp. 115–133.</w:t>
      </w:r>
    </w:p>
    <w:p w14:paraId="57DA2C97" w14:textId="00F42AFA"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Arnaoutova, I. and Kleinman, H. K. (2010) ‘In vitro angiogenesis: Endothelial cell tube formation on gelled basement membrane extract’, </w:t>
      </w:r>
      <w:r w:rsidRPr="00D50F49">
        <w:rPr>
          <w:rFonts w:cs="Times New Roman"/>
          <w:i/>
          <w:iCs/>
          <w:noProof/>
          <w:szCs w:val="24"/>
        </w:rPr>
        <w:t>Nature Protocols</w:t>
      </w:r>
      <w:r w:rsidRPr="00D50F49">
        <w:rPr>
          <w:rFonts w:cs="Times New Roman"/>
          <w:noProof/>
          <w:szCs w:val="24"/>
        </w:rPr>
        <w:t>, 5(4), pp. 628–635.</w:t>
      </w:r>
    </w:p>
    <w:p w14:paraId="67ED7B43"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Ball, J. S., Stedman, D. B., Hillegass, J. M., Zhang, C. X., Panzica-kelly, J., Coburn, A., Enright, B. P., Tornesi, B., Amouzadeh, H. R., Hetheridge, M., Gustafson, A. L. and Augustine-rauch, K. A. (2014) ‘Fishing for teratogens: A consortium effort for a harmonized zebrafish developmental toxicology assay’, </w:t>
      </w:r>
      <w:r w:rsidRPr="00D50F49">
        <w:rPr>
          <w:rFonts w:cs="Times New Roman"/>
          <w:i/>
          <w:iCs/>
          <w:noProof/>
          <w:szCs w:val="24"/>
        </w:rPr>
        <w:t>Toxicological Sciences</w:t>
      </w:r>
      <w:r w:rsidRPr="00D50F49">
        <w:rPr>
          <w:rFonts w:cs="Times New Roman"/>
          <w:noProof/>
          <w:szCs w:val="24"/>
        </w:rPr>
        <w:t>, 139(1), pp. 210–219.</w:t>
      </w:r>
    </w:p>
    <w:p w14:paraId="1C9EB473"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Bard, J. A., Zgombick, J., Adham, N., Vaysse, P., Branchek, T. A. and Weinshank, R. L. (1993) ‘Cloning of a novel human serotonin receptor (5-HT7) positively linked to adenylate cyclase’, </w:t>
      </w:r>
      <w:r w:rsidRPr="00D50F49">
        <w:rPr>
          <w:rFonts w:cs="Times New Roman"/>
          <w:i/>
          <w:iCs/>
          <w:noProof/>
          <w:szCs w:val="24"/>
        </w:rPr>
        <w:t>Journal of Biological Chemistry</w:t>
      </w:r>
      <w:r w:rsidRPr="00D50F49">
        <w:rPr>
          <w:rFonts w:cs="Times New Roman"/>
          <w:noProof/>
          <w:szCs w:val="24"/>
        </w:rPr>
        <w:t>, 268(31), pp. 23422–23426.</w:t>
      </w:r>
    </w:p>
    <w:p w14:paraId="0F7D63F7" w14:textId="66C74A03"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Barnabas, O., Wang, H. and Gao, X.-M. (2013) ‘Role of estrogen in angiogenesis in cardiovascular diseases’, </w:t>
      </w:r>
      <w:r w:rsidRPr="00D50F49">
        <w:rPr>
          <w:rFonts w:cs="Times New Roman"/>
          <w:i/>
          <w:iCs/>
          <w:noProof/>
          <w:szCs w:val="24"/>
        </w:rPr>
        <w:t xml:space="preserve">Journal of </w:t>
      </w:r>
      <w:r>
        <w:rPr>
          <w:rFonts w:cs="Times New Roman"/>
          <w:i/>
          <w:iCs/>
          <w:noProof/>
          <w:szCs w:val="24"/>
        </w:rPr>
        <w:t>G</w:t>
      </w:r>
      <w:r w:rsidRPr="00D50F49">
        <w:rPr>
          <w:rFonts w:cs="Times New Roman"/>
          <w:i/>
          <w:iCs/>
          <w:noProof/>
          <w:szCs w:val="24"/>
        </w:rPr>
        <w:t xml:space="preserve">eriatric </w:t>
      </w:r>
      <w:r>
        <w:rPr>
          <w:rFonts w:cs="Times New Roman"/>
          <w:i/>
          <w:iCs/>
          <w:noProof/>
          <w:szCs w:val="24"/>
        </w:rPr>
        <w:t>C</w:t>
      </w:r>
      <w:r w:rsidRPr="00D50F49">
        <w:rPr>
          <w:rFonts w:cs="Times New Roman"/>
          <w:i/>
          <w:iCs/>
          <w:noProof/>
          <w:szCs w:val="24"/>
        </w:rPr>
        <w:t>ardiology : JGC</w:t>
      </w:r>
      <w:r w:rsidRPr="00D50F49">
        <w:rPr>
          <w:rFonts w:cs="Times New Roman"/>
          <w:noProof/>
          <w:szCs w:val="24"/>
        </w:rPr>
        <w:t>, 10(4), pp. 377–382.</w:t>
      </w:r>
    </w:p>
    <w:p w14:paraId="5870B972"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Barnes, N. M. and Sharp, T. (1999) ‘A review of central 5-HT receptors and their function’, </w:t>
      </w:r>
      <w:r w:rsidRPr="00D50F49">
        <w:rPr>
          <w:rFonts w:cs="Times New Roman"/>
          <w:i/>
          <w:iCs/>
          <w:noProof/>
          <w:szCs w:val="24"/>
        </w:rPr>
        <w:t>Neuropharmacology</w:t>
      </w:r>
      <w:r w:rsidRPr="00D50F49">
        <w:rPr>
          <w:rFonts w:cs="Times New Roman"/>
          <w:noProof/>
          <w:szCs w:val="24"/>
        </w:rPr>
        <w:t>, 38(8), pp. 1083–1152.</w:t>
      </w:r>
    </w:p>
    <w:p w14:paraId="77872586" w14:textId="066F51A0"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Batarseh, A. and Papadopoulos, V. (2010) ‘Regulation of translocator protein 18 kDa (TSPO) expression in health and disease states’, </w:t>
      </w:r>
      <w:r w:rsidRPr="00D50F49">
        <w:rPr>
          <w:rFonts w:cs="Times New Roman"/>
          <w:i/>
          <w:iCs/>
          <w:noProof/>
          <w:szCs w:val="24"/>
        </w:rPr>
        <w:t>Molecular and Cellular Endocrinology</w:t>
      </w:r>
      <w:r w:rsidRPr="00D50F49">
        <w:rPr>
          <w:rFonts w:cs="Times New Roman"/>
          <w:noProof/>
          <w:szCs w:val="24"/>
        </w:rPr>
        <w:t>, 327(1–2), pp. 1–12.</w:t>
      </w:r>
    </w:p>
    <w:p w14:paraId="16B78117"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Bel, N. and Artigas, F. (1993) ‘Chronic treatment with fluvoxamine increases extracellular serotonin in frontal cortex but not in raphe nuclei’, </w:t>
      </w:r>
      <w:r w:rsidRPr="00D50F49">
        <w:rPr>
          <w:rFonts w:cs="Times New Roman"/>
          <w:i/>
          <w:iCs/>
          <w:noProof/>
          <w:szCs w:val="24"/>
        </w:rPr>
        <w:t>Synapse</w:t>
      </w:r>
      <w:r w:rsidRPr="00D50F49">
        <w:rPr>
          <w:rFonts w:cs="Times New Roman"/>
          <w:noProof/>
          <w:szCs w:val="24"/>
        </w:rPr>
        <w:t>, 15(3), pp. 243–245.</w:t>
      </w:r>
    </w:p>
    <w:p w14:paraId="18E00921" w14:textId="3D783106"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lastRenderedPageBreak/>
        <w:t xml:space="preserve">Benmansour, S., Owens, W. A., Cecchi, M., Morilak, D. A. and Frazer, A. (2002) ‘Serotonin clearance in vivo is altered to a greater extent by antidepressant-induced downregulation of the serotonin transporter than by acute blockade of this transporter’, </w:t>
      </w:r>
      <w:r w:rsidRPr="00D50F49">
        <w:rPr>
          <w:rFonts w:cs="Times New Roman"/>
          <w:i/>
          <w:iCs/>
          <w:noProof/>
          <w:szCs w:val="24"/>
        </w:rPr>
        <w:t xml:space="preserve">The Journal of </w:t>
      </w:r>
      <w:r>
        <w:rPr>
          <w:rFonts w:cs="Times New Roman"/>
          <w:i/>
          <w:iCs/>
          <w:noProof/>
          <w:szCs w:val="24"/>
        </w:rPr>
        <w:t>N</w:t>
      </w:r>
      <w:r w:rsidRPr="00D50F49">
        <w:rPr>
          <w:rFonts w:cs="Times New Roman"/>
          <w:i/>
          <w:iCs/>
          <w:noProof/>
          <w:szCs w:val="24"/>
        </w:rPr>
        <w:t xml:space="preserve">euroscience : </w:t>
      </w:r>
      <w:r>
        <w:rPr>
          <w:rFonts w:cs="Times New Roman"/>
          <w:i/>
          <w:iCs/>
          <w:noProof/>
          <w:szCs w:val="24"/>
        </w:rPr>
        <w:t>T</w:t>
      </w:r>
      <w:r w:rsidRPr="00D50F49">
        <w:rPr>
          <w:rFonts w:cs="Times New Roman"/>
          <w:i/>
          <w:iCs/>
          <w:noProof/>
          <w:szCs w:val="24"/>
        </w:rPr>
        <w:t xml:space="preserve">he </w:t>
      </w:r>
      <w:r>
        <w:rPr>
          <w:rFonts w:cs="Times New Roman"/>
          <w:i/>
          <w:iCs/>
          <w:noProof/>
          <w:szCs w:val="24"/>
        </w:rPr>
        <w:t>O</w:t>
      </w:r>
      <w:r w:rsidRPr="00D50F49">
        <w:rPr>
          <w:rFonts w:cs="Times New Roman"/>
          <w:i/>
          <w:iCs/>
          <w:noProof/>
          <w:szCs w:val="24"/>
        </w:rPr>
        <w:t xml:space="preserve">fficial </w:t>
      </w:r>
      <w:r>
        <w:rPr>
          <w:rFonts w:cs="Times New Roman"/>
          <w:i/>
          <w:iCs/>
          <w:noProof/>
          <w:szCs w:val="24"/>
        </w:rPr>
        <w:t>J</w:t>
      </w:r>
      <w:r w:rsidRPr="00D50F49">
        <w:rPr>
          <w:rFonts w:cs="Times New Roman"/>
          <w:i/>
          <w:iCs/>
          <w:noProof/>
          <w:szCs w:val="24"/>
        </w:rPr>
        <w:t>ournal of the Society for Neuroscience</w:t>
      </w:r>
      <w:r w:rsidRPr="00D50F49">
        <w:rPr>
          <w:rFonts w:cs="Times New Roman"/>
          <w:noProof/>
          <w:szCs w:val="24"/>
        </w:rPr>
        <w:t>, 22(15), pp. 6766–6772.</w:t>
      </w:r>
    </w:p>
    <w:p w14:paraId="65CAEC2F"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Bortolato, M. and Shih, J. C. (2011) </w:t>
      </w:r>
      <w:r w:rsidRPr="00D50F49">
        <w:rPr>
          <w:rFonts w:cs="Times New Roman"/>
          <w:i/>
          <w:iCs/>
          <w:noProof/>
          <w:szCs w:val="24"/>
        </w:rPr>
        <w:t>Behavioral outcomes of monoamine oxidase deficiency: Preclinical and clinical evidence</w:t>
      </w:r>
      <w:r w:rsidRPr="00D50F49">
        <w:rPr>
          <w:rFonts w:cs="Times New Roman"/>
          <w:noProof/>
          <w:szCs w:val="24"/>
        </w:rPr>
        <w:t xml:space="preserve">. 1st edn, </w:t>
      </w:r>
      <w:r w:rsidRPr="00D50F49">
        <w:rPr>
          <w:rFonts w:cs="Times New Roman"/>
          <w:i/>
          <w:iCs/>
          <w:noProof/>
          <w:szCs w:val="24"/>
        </w:rPr>
        <w:t>International Review of Neurobiology</w:t>
      </w:r>
      <w:r w:rsidRPr="00D50F49">
        <w:rPr>
          <w:rFonts w:cs="Times New Roman"/>
          <w:noProof/>
          <w:szCs w:val="24"/>
        </w:rPr>
        <w:t>. 1st edn. Elsevier Inc.</w:t>
      </w:r>
    </w:p>
    <w:p w14:paraId="34D3C5EE" w14:textId="46FD8500"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Brignull, H. R., Raible, D. W. and Stone, J. S. (2009) ‘Feathers and fins: non-mammalian models for hair cell regeneration’, </w:t>
      </w:r>
      <w:r w:rsidRPr="00D50F49">
        <w:rPr>
          <w:rFonts w:cs="Times New Roman"/>
          <w:i/>
          <w:iCs/>
          <w:noProof/>
          <w:szCs w:val="24"/>
        </w:rPr>
        <w:t xml:space="preserve">Brain </w:t>
      </w:r>
      <w:r>
        <w:rPr>
          <w:rFonts w:cs="Times New Roman"/>
          <w:i/>
          <w:iCs/>
          <w:noProof/>
          <w:szCs w:val="24"/>
        </w:rPr>
        <w:t>R</w:t>
      </w:r>
      <w:r w:rsidRPr="00D50F49">
        <w:rPr>
          <w:rFonts w:cs="Times New Roman"/>
          <w:i/>
          <w:iCs/>
          <w:noProof/>
          <w:szCs w:val="24"/>
        </w:rPr>
        <w:t>esearch</w:t>
      </w:r>
      <w:r w:rsidRPr="00D50F49">
        <w:rPr>
          <w:rFonts w:cs="Times New Roman"/>
          <w:noProof/>
          <w:szCs w:val="24"/>
        </w:rPr>
        <w:t>. 2009/02/24, 1277, pp. 12–23.</w:t>
      </w:r>
    </w:p>
    <w:p w14:paraId="3B5D02CB" w14:textId="06E43854"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Briley, M. and Moret, C. (1993) ‘Neurobiological mechanisms involved in antidepressant therapies.’, </w:t>
      </w:r>
      <w:r w:rsidRPr="00D50F49">
        <w:rPr>
          <w:rFonts w:cs="Times New Roman"/>
          <w:i/>
          <w:iCs/>
          <w:noProof/>
          <w:szCs w:val="24"/>
        </w:rPr>
        <w:t>Clinical Neuropharmacology</w:t>
      </w:r>
      <w:r w:rsidR="00FE1CE9">
        <w:rPr>
          <w:rFonts w:cs="Times New Roman"/>
          <w:noProof/>
          <w:szCs w:val="24"/>
        </w:rPr>
        <w:t xml:space="preserve">, </w:t>
      </w:r>
      <w:r w:rsidRPr="00D50F49">
        <w:rPr>
          <w:rFonts w:cs="Times New Roman"/>
          <w:noProof/>
          <w:szCs w:val="24"/>
        </w:rPr>
        <w:t>pp. 387–400.</w:t>
      </w:r>
    </w:p>
    <w:p w14:paraId="7A40FC96" w14:textId="6EF76E5F"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Bugel, S. M., Tanguay, R. L. and Planchart, A. (2014) ‘Zebrafish: A marvel of high-throughput biology for 21(st) century toxicology’, </w:t>
      </w:r>
      <w:r w:rsidRPr="00D50F49">
        <w:rPr>
          <w:rFonts w:cs="Times New Roman"/>
          <w:i/>
          <w:iCs/>
          <w:noProof/>
          <w:szCs w:val="24"/>
        </w:rPr>
        <w:t xml:space="preserve">Current </w:t>
      </w:r>
      <w:r>
        <w:rPr>
          <w:rFonts w:cs="Times New Roman"/>
          <w:i/>
          <w:iCs/>
          <w:noProof/>
          <w:szCs w:val="24"/>
        </w:rPr>
        <w:t>E</w:t>
      </w:r>
      <w:r w:rsidRPr="00D50F49">
        <w:rPr>
          <w:rFonts w:cs="Times New Roman"/>
          <w:i/>
          <w:iCs/>
          <w:noProof/>
          <w:szCs w:val="24"/>
        </w:rPr>
        <w:t xml:space="preserve">nvironmental </w:t>
      </w:r>
      <w:r>
        <w:rPr>
          <w:rFonts w:cs="Times New Roman"/>
          <w:i/>
          <w:iCs/>
          <w:noProof/>
          <w:szCs w:val="24"/>
        </w:rPr>
        <w:t>H</w:t>
      </w:r>
      <w:r w:rsidRPr="00D50F49">
        <w:rPr>
          <w:rFonts w:cs="Times New Roman"/>
          <w:i/>
          <w:iCs/>
          <w:noProof/>
          <w:szCs w:val="24"/>
        </w:rPr>
        <w:t xml:space="preserve">ealth </w:t>
      </w:r>
      <w:r>
        <w:rPr>
          <w:rFonts w:cs="Times New Roman"/>
          <w:i/>
          <w:iCs/>
          <w:noProof/>
          <w:szCs w:val="24"/>
        </w:rPr>
        <w:t>R</w:t>
      </w:r>
      <w:r w:rsidRPr="00D50F49">
        <w:rPr>
          <w:rFonts w:cs="Times New Roman"/>
          <w:i/>
          <w:iCs/>
          <w:noProof/>
          <w:szCs w:val="24"/>
        </w:rPr>
        <w:t>eports</w:t>
      </w:r>
      <w:r w:rsidRPr="00D50F49">
        <w:rPr>
          <w:rFonts w:cs="Times New Roman"/>
          <w:noProof/>
          <w:szCs w:val="24"/>
        </w:rPr>
        <w:t>, 1(4), pp. 341–352.</w:t>
      </w:r>
    </w:p>
    <w:p w14:paraId="2A26F457" w14:textId="595CF719"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Bushby, A. J., Mariggi, G., Armer, H. E. J. and Collinson, L. M. (2012) ‘Correlative Light and Volume Electron Microscopy: Using Focused Ion Beam Scanning Electron Microscopy to Image Transient Events in Model Organisms’, </w:t>
      </w:r>
      <w:r w:rsidRPr="00D50F49">
        <w:rPr>
          <w:rFonts w:cs="Times New Roman"/>
          <w:i/>
          <w:iCs/>
          <w:noProof/>
          <w:szCs w:val="24"/>
        </w:rPr>
        <w:t>Methods in Cell Biology</w:t>
      </w:r>
      <w:r w:rsidRPr="00D50F49">
        <w:rPr>
          <w:rFonts w:cs="Times New Roman"/>
          <w:noProof/>
          <w:szCs w:val="24"/>
        </w:rPr>
        <w:t>, 111, pp. 357–382.</w:t>
      </w:r>
    </w:p>
    <w:p w14:paraId="33786C2C"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Carvan, M. J., Dalton, T. P., Stuart, G. W. and Nebert, D. W. (2006) ‘Transgenic Zebrafish as Sentinels for Aquatic Pollution’, </w:t>
      </w:r>
      <w:r w:rsidRPr="00D50F49">
        <w:rPr>
          <w:rFonts w:cs="Times New Roman"/>
          <w:i/>
          <w:iCs/>
          <w:noProof/>
          <w:szCs w:val="24"/>
        </w:rPr>
        <w:t>Annals of the New York Academy of Sciences</w:t>
      </w:r>
      <w:r w:rsidRPr="00D50F49">
        <w:rPr>
          <w:rFonts w:cs="Times New Roman"/>
          <w:noProof/>
          <w:szCs w:val="24"/>
        </w:rPr>
        <w:t>, 919(1), pp. 133–147.</w:t>
      </w:r>
    </w:p>
    <w:p w14:paraId="2DDAA129" w14:textId="51B98531"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Center for Disease Control and Prevention (2020) ‘Facts about Birth Defects’.</w:t>
      </w:r>
      <w:r>
        <w:rPr>
          <w:rFonts w:cs="Times New Roman"/>
          <w:noProof/>
          <w:szCs w:val="24"/>
        </w:rPr>
        <w:t xml:space="preserve"> </w:t>
      </w:r>
      <w:r>
        <w:rPr>
          <w:sz w:val="23"/>
          <w:szCs w:val="23"/>
        </w:rPr>
        <w:t>Available at: https://www.cdc.gov/ncbddd/birthdefects/facts.html.</w:t>
      </w:r>
    </w:p>
    <w:p w14:paraId="37657F2E" w14:textId="7C067791"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Charles, B. and Brandom, B. W. (2015) ‘Methylene Blue and the Risk of Serotonin Toxicity’, </w:t>
      </w:r>
      <w:r>
        <w:rPr>
          <w:rFonts w:cs="Times New Roman"/>
          <w:i/>
          <w:iCs/>
          <w:noProof/>
          <w:szCs w:val="24"/>
        </w:rPr>
        <w:t>APSF</w:t>
      </w:r>
      <w:r w:rsidRPr="00D50F49">
        <w:rPr>
          <w:rFonts w:cs="Times New Roman"/>
          <w:i/>
          <w:iCs/>
          <w:noProof/>
          <w:szCs w:val="24"/>
        </w:rPr>
        <w:t xml:space="preserve"> </w:t>
      </w:r>
      <w:r>
        <w:rPr>
          <w:rFonts w:cs="Times New Roman"/>
          <w:i/>
          <w:iCs/>
          <w:noProof/>
          <w:szCs w:val="24"/>
        </w:rPr>
        <w:t>Newsletter</w:t>
      </w:r>
      <w:r w:rsidRPr="00D50F49">
        <w:rPr>
          <w:rFonts w:cs="Times New Roman"/>
          <w:noProof/>
          <w:szCs w:val="24"/>
        </w:rPr>
        <w:t>, 30(1), pp. 1–6.</w:t>
      </w:r>
    </w:p>
    <w:p w14:paraId="4BCCE705" w14:textId="1F25F428"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Chevalier, F., Lavergne, M., Negroni, E., Ferratge, S., Carpentier, G., Gilbert-Sirieix, M., Siñeriz, </w:t>
      </w:r>
      <w:r w:rsidRPr="00D50F49">
        <w:rPr>
          <w:rFonts w:cs="Times New Roman"/>
          <w:noProof/>
          <w:szCs w:val="24"/>
        </w:rPr>
        <w:lastRenderedPageBreak/>
        <w:t xml:space="preserve">F., Uzan, G. and Albanese, P. (2014) ‘Glycosaminoglycan mimetic improves enrichment and cell functions of human endothelial progenitor cell colonies’, </w:t>
      </w:r>
      <w:r w:rsidRPr="00D50F49">
        <w:rPr>
          <w:rFonts w:cs="Times New Roman"/>
          <w:i/>
          <w:iCs/>
          <w:noProof/>
          <w:szCs w:val="24"/>
        </w:rPr>
        <w:t>Stem Cell Research</w:t>
      </w:r>
      <w:r w:rsidRPr="00D50F49">
        <w:rPr>
          <w:rFonts w:cs="Times New Roman"/>
          <w:noProof/>
          <w:szCs w:val="24"/>
        </w:rPr>
        <w:t>, 12(3), pp. 703–715.</w:t>
      </w:r>
    </w:p>
    <w:p w14:paraId="0EC78675" w14:textId="0E146D63"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Chitnis, A. B., Nogare, D. D. and Matsuda, M. (2012) ‘Building the posterior lateral line system in zebrafish’, </w:t>
      </w:r>
      <w:r w:rsidRPr="00D50F49">
        <w:rPr>
          <w:rFonts w:cs="Times New Roman"/>
          <w:i/>
          <w:iCs/>
          <w:noProof/>
          <w:szCs w:val="24"/>
        </w:rPr>
        <w:t xml:space="preserve">Developmental </w:t>
      </w:r>
      <w:r>
        <w:rPr>
          <w:rFonts w:cs="Times New Roman"/>
          <w:i/>
          <w:iCs/>
          <w:noProof/>
          <w:szCs w:val="24"/>
        </w:rPr>
        <w:t>N</w:t>
      </w:r>
      <w:r w:rsidRPr="00D50F49">
        <w:rPr>
          <w:rFonts w:cs="Times New Roman"/>
          <w:i/>
          <w:iCs/>
          <w:noProof/>
          <w:szCs w:val="24"/>
        </w:rPr>
        <w:t>eurobiology</w:t>
      </w:r>
      <w:r w:rsidRPr="00D50F49">
        <w:rPr>
          <w:rFonts w:cs="Times New Roman"/>
          <w:noProof/>
          <w:szCs w:val="24"/>
        </w:rPr>
        <w:t>, 72(3), pp. 234–255.</w:t>
      </w:r>
    </w:p>
    <w:p w14:paraId="177DEF9A"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Chiu, L. L., Cunningham, L. L., Raible, D. W., Rubel, E. W. and Ou, H. C. (2008) ‘Using the zebrafish lateral line to screen for ototoxicity’, </w:t>
      </w:r>
      <w:r w:rsidRPr="00D50F49">
        <w:rPr>
          <w:rFonts w:cs="Times New Roman"/>
          <w:i/>
          <w:iCs/>
          <w:noProof/>
          <w:szCs w:val="24"/>
        </w:rPr>
        <w:t>JARO - Journal of the Association for Research in Otolaryngology</w:t>
      </w:r>
      <w:r w:rsidRPr="00D50F49">
        <w:rPr>
          <w:rFonts w:cs="Times New Roman"/>
          <w:noProof/>
          <w:szCs w:val="24"/>
        </w:rPr>
        <w:t>, 9(2), pp. 178–190.</w:t>
      </w:r>
    </w:p>
    <w:p w14:paraId="555DAA28" w14:textId="40B5340D"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Coccimiglio, M. L. and Jonz, M. G. (2012) ‘Serotonergic neuroepithelial cells of the skin in developing zebrafish: morphology, innervation and oxygen-sensitive properties’, </w:t>
      </w:r>
      <w:r w:rsidRPr="00D50F49">
        <w:rPr>
          <w:rFonts w:cs="Times New Roman"/>
          <w:i/>
          <w:iCs/>
          <w:noProof/>
          <w:szCs w:val="24"/>
        </w:rPr>
        <w:t>The Journal of Experimental Biology</w:t>
      </w:r>
      <w:r w:rsidRPr="00D50F49">
        <w:rPr>
          <w:rFonts w:cs="Times New Roman"/>
          <w:noProof/>
          <w:szCs w:val="24"/>
        </w:rPr>
        <w:t xml:space="preserve">, </w:t>
      </w:r>
      <w:r w:rsidR="00FE1CE9">
        <w:rPr>
          <w:rFonts w:cs="Times New Roman"/>
          <w:noProof/>
          <w:szCs w:val="24"/>
        </w:rPr>
        <w:t>215, pp. 3881</w:t>
      </w:r>
      <w:r w:rsidR="00FE1CE9" w:rsidRPr="00D50F49">
        <w:rPr>
          <w:rFonts w:cs="Times New Roman"/>
          <w:noProof/>
          <w:szCs w:val="24"/>
        </w:rPr>
        <w:t>–</w:t>
      </w:r>
      <w:r w:rsidR="00FE1CE9">
        <w:rPr>
          <w:rFonts w:cs="Times New Roman"/>
          <w:noProof/>
          <w:szCs w:val="24"/>
        </w:rPr>
        <w:t>3894</w:t>
      </w:r>
      <w:r w:rsidRPr="00D50F49">
        <w:rPr>
          <w:rFonts w:cs="Times New Roman"/>
          <w:noProof/>
          <w:szCs w:val="24"/>
        </w:rPr>
        <w:t>.</w:t>
      </w:r>
    </w:p>
    <w:p w14:paraId="055597C0" w14:textId="52CFCF75"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Crewe, H. K., Lennard, M. S., Tucker, G. T., Woods, F. R. and Haddock, R. E. (1992) ‘The effect of selective serotonin re-uptake inhibitors on cytochrome P4502D6 (CYP2D6) activity in human liver microsomes’, </w:t>
      </w:r>
      <w:r w:rsidRPr="00D50F49">
        <w:rPr>
          <w:rFonts w:cs="Times New Roman"/>
          <w:i/>
          <w:iCs/>
          <w:noProof/>
          <w:szCs w:val="24"/>
        </w:rPr>
        <w:t xml:space="preserve">British </w:t>
      </w:r>
      <w:r>
        <w:rPr>
          <w:rFonts w:cs="Times New Roman"/>
          <w:i/>
          <w:iCs/>
          <w:noProof/>
          <w:szCs w:val="24"/>
        </w:rPr>
        <w:t>J</w:t>
      </w:r>
      <w:r w:rsidRPr="00D50F49">
        <w:rPr>
          <w:rFonts w:cs="Times New Roman"/>
          <w:i/>
          <w:iCs/>
          <w:noProof/>
          <w:szCs w:val="24"/>
        </w:rPr>
        <w:t>ournal of</w:t>
      </w:r>
      <w:r>
        <w:rPr>
          <w:rFonts w:cs="Times New Roman"/>
          <w:i/>
          <w:iCs/>
          <w:noProof/>
          <w:szCs w:val="24"/>
        </w:rPr>
        <w:t>C</w:t>
      </w:r>
      <w:r w:rsidRPr="00D50F49">
        <w:rPr>
          <w:rFonts w:cs="Times New Roman"/>
          <w:i/>
          <w:iCs/>
          <w:noProof/>
          <w:szCs w:val="24"/>
        </w:rPr>
        <w:t xml:space="preserve">clinical </w:t>
      </w:r>
      <w:r>
        <w:rPr>
          <w:rFonts w:cs="Times New Roman"/>
          <w:i/>
          <w:iCs/>
          <w:noProof/>
          <w:szCs w:val="24"/>
        </w:rPr>
        <w:t>P</w:t>
      </w:r>
      <w:r w:rsidRPr="00D50F49">
        <w:rPr>
          <w:rFonts w:cs="Times New Roman"/>
          <w:i/>
          <w:iCs/>
          <w:noProof/>
          <w:szCs w:val="24"/>
        </w:rPr>
        <w:t>harmacology</w:t>
      </w:r>
      <w:r w:rsidRPr="00D50F49">
        <w:rPr>
          <w:rFonts w:cs="Times New Roman"/>
          <w:noProof/>
          <w:szCs w:val="24"/>
        </w:rPr>
        <w:t>, 34(3), pp. 262–265.</w:t>
      </w:r>
    </w:p>
    <w:p w14:paraId="3FAB64B6"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Dahm, R. and Geisler, R. (2006) ‘Learning from small fry: The zebrafish as a genetic model organism for aquaculture fish species’, </w:t>
      </w:r>
      <w:r w:rsidRPr="00D50F49">
        <w:rPr>
          <w:rFonts w:cs="Times New Roman"/>
          <w:i/>
          <w:iCs/>
          <w:noProof/>
          <w:szCs w:val="24"/>
        </w:rPr>
        <w:t>Marine Biotechnology</w:t>
      </w:r>
      <w:r w:rsidRPr="00D50F49">
        <w:rPr>
          <w:rFonts w:cs="Times New Roman"/>
          <w:noProof/>
          <w:szCs w:val="24"/>
        </w:rPr>
        <w:t>, 8(4), pp. 329–345.</w:t>
      </w:r>
    </w:p>
    <w:p w14:paraId="2D436A4B" w14:textId="56DD88B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Davis, P. J., Davis, F. B. and Mousa, S. A. (2009) ‘Thyroid hormone-induced angiogenesis’, </w:t>
      </w:r>
      <w:r w:rsidRPr="00D50F49">
        <w:rPr>
          <w:rFonts w:cs="Times New Roman"/>
          <w:i/>
          <w:iCs/>
          <w:noProof/>
          <w:szCs w:val="24"/>
        </w:rPr>
        <w:t xml:space="preserve">Current </w:t>
      </w:r>
      <w:r>
        <w:rPr>
          <w:rFonts w:cs="Times New Roman"/>
          <w:i/>
          <w:iCs/>
          <w:noProof/>
          <w:szCs w:val="24"/>
        </w:rPr>
        <w:t>C</w:t>
      </w:r>
      <w:r w:rsidRPr="00D50F49">
        <w:rPr>
          <w:rFonts w:cs="Times New Roman"/>
          <w:i/>
          <w:iCs/>
          <w:noProof/>
          <w:szCs w:val="24"/>
        </w:rPr>
        <w:t>ardiology</w:t>
      </w:r>
      <w:r>
        <w:rPr>
          <w:rFonts w:cs="Times New Roman"/>
          <w:i/>
          <w:iCs/>
          <w:noProof/>
          <w:szCs w:val="24"/>
        </w:rPr>
        <w:t xml:space="preserve"> Re</w:t>
      </w:r>
      <w:r w:rsidRPr="00D50F49">
        <w:rPr>
          <w:rFonts w:cs="Times New Roman"/>
          <w:i/>
          <w:iCs/>
          <w:noProof/>
          <w:szCs w:val="24"/>
        </w:rPr>
        <w:t>views</w:t>
      </w:r>
      <w:r w:rsidRPr="00D50F49">
        <w:rPr>
          <w:rFonts w:cs="Times New Roman"/>
          <w:noProof/>
          <w:szCs w:val="24"/>
        </w:rPr>
        <w:t>, 5(1), pp. 12–16.</w:t>
      </w:r>
    </w:p>
    <w:p w14:paraId="0E51805D"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Dix, D. J., Houck, K. A., Martin, M. T., Richard, A. M., Setzer, R. W. and Kavlock, R. J. (2007) ‘The toxcast program for prioritizing toxicity testing of environmental chemicals’, </w:t>
      </w:r>
      <w:r w:rsidRPr="00D50F49">
        <w:rPr>
          <w:rFonts w:cs="Times New Roman"/>
          <w:i/>
          <w:iCs/>
          <w:noProof/>
          <w:szCs w:val="24"/>
        </w:rPr>
        <w:t>Toxicological Sciences</w:t>
      </w:r>
      <w:r w:rsidRPr="00D50F49">
        <w:rPr>
          <w:rFonts w:cs="Times New Roman"/>
          <w:noProof/>
          <w:szCs w:val="24"/>
        </w:rPr>
        <w:t>, 95(1), pp. 5–12.</w:t>
      </w:r>
    </w:p>
    <w:p w14:paraId="67B61D57" w14:textId="0BD2B2BE"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Driever, W., Stemple, D., Schier, A. and Solnica-Krezel, L. (1994) ‘Zebrafish: genetic tools for studying vertebrate development’, </w:t>
      </w:r>
      <w:r w:rsidRPr="00D50F49">
        <w:rPr>
          <w:rFonts w:cs="Times New Roman"/>
          <w:i/>
          <w:iCs/>
          <w:noProof/>
          <w:szCs w:val="24"/>
        </w:rPr>
        <w:t>Trends in Genetics</w:t>
      </w:r>
      <w:r w:rsidRPr="00D50F49">
        <w:rPr>
          <w:rFonts w:cs="Times New Roman"/>
          <w:noProof/>
          <w:szCs w:val="24"/>
        </w:rPr>
        <w:t>, 10(5), pp. 152–159.</w:t>
      </w:r>
    </w:p>
    <w:p w14:paraId="50907D3A" w14:textId="2D1FE9D5"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Dringenberg, H. C., Hargreaves, E. L., Baker, G. B., Cooley, R. K. and Vanderwolf, C. H. (1995) ‘p-Chlorophenylalanine-induced serotonin depletion: reduction in exploratory locomotion but no </w:t>
      </w:r>
      <w:r w:rsidRPr="00D50F49">
        <w:rPr>
          <w:rFonts w:cs="Times New Roman"/>
          <w:noProof/>
          <w:szCs w:val="24"/>
        </w:rPr>
        <w:lastRenderedPageBreak/>
        <w:t xml:space="preserve">obvious sensory-motor deficits’, </w:t>
      </w:r>
      <w:r w:rsidRPr="00D50F49">
        <w:rPr>
          <w:rFonts w:cs="Times New Roman"/>
          <w:i/>
          <w:iCs/>
          <w:noProof/>
          <w:szCs w:val="24"/>
        </w:rPr>
        <w:t>Behavioural Brain Research</w:t>
      </w:r>
      <w:r w:rsidRPr="00D50F49">
        <w:rPr>
          <w:rFonts w:cs="Times New Roman"/>
          <w:noProof/>
          <w:szCs w:val="24"/>
        </w:rPr>
        <w:t>, 68(2), pp. 229–237.</w:t>
      </w:r>
    </w:p>
    <w:p w14:paraId="5221061E"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Dutheil, F., Beaune, P. and Loriot, M. A. (2008) ‘Xenobiotic metabolizing enzymes in the central nervous system: Contribution of cytochrome P450 enzymes in normal and pathological human brain’, </w:t>
      </w:r>
      <w:r w:rsidRPr="00D50F49">
        <w:rPr>
          <w:rFonts w:cs="Times New Roman"/>
          <w:i/>
          <w:iCs/>
          <w:noProof/>
          <w:szCs w:val="24"/>
        </w:rPr>
        <w:t>Biochimie</w:t>
      </w:r>
      <w:r w:rsidRPr="00D50F49">
        <w:rPr>
          <w:rFonts w:cs="Times New Roman"/>
          <w:noProof/>
          <w:szCs w:val="24"/>
        </w:rPr>
        <w:t>, 90(3), pp. 426–436.</w:t>
      </w:r>
    </w:p>
    <w:p w14:paraId="57F483E4" w14:textId="70534B4D"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Environmental Protection Agency (2018) ‘Releases of Chemicals’, </w:t>
      </w:r>
      <w:r w:rsidRPr="00D50F49">
        <w:rPr>
          <w:rFonts w:cs="Times New Roman"/>
          <w:i/>
          <w:iCs/>
          <w:noProof/>
          <w:szCs w:val="24"/>
        </w:rPr>
        <w:t>TRI National Analysis:Release of Chemicals</w:t>
      </w:r>
      <w:r w:rsidRPr="00D50F49">
        <w:rPr>
          <w:rFonts w:cs="Times New Roman"/>
          <w:noProof/>
          <w:szCs w:val="24"/>
        </w:rPr>
        <w:t>, (January), pp. 1–22.</w:t>
      </w:r>
      <w:r w:rsidR="00F365E8">
        <w:rPr>
          <w:rFonts w:cs="Times New Roman"/>
          <w:noProof/>
          <w:szCs w:val="24"/>
        </w:rPr>
        <w:t xml:space="preserve"> </w:t>
      </w:r>
      <w:r w:rsidR="00F365E8">
        <w:rPr>
          <w:sz w:val="23"/>
          <w:szCs w:val="23"/>
        </w:rPr>
        <w:t>Available at: https://www.epa.gov/trinationalanalysis/releases-chemicals.</w:t>
      </w:r>
    </w:p>
    <w:p w14:paraId="5A74973F" w14:textId="6778CC5E"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Faucherre, A., Pujol-Martí, J., Kawakami, K. and López-Schier, H. (2009) ‘Afferent neurons of the zebrafish lateral line are strict selectors of hair-cell orientation’, </w:t>
      </w:r>
      <w:r w:rsidRPr="00D50F49">
        <w:rPr>
          <w:rFonts w:cs="Times New Roman"/>
          <w:i/>
          <w:iCs/>
          <w:noProof/>
          <w:szCs w:val="24"/>
        </w:rPr>
        <w:t>PLoS ONE</w:t>
      </w:r>
      <w:r w:rsidRPr="00D50F49">
        <w:rPr>
          <w:rFonts w:cs="Times New Roman"/>
          <w:noProof/>
          <w:szCs w:val="24"/>
        </w:rPr>
        <w:t>, 4(2).</w:t>
      </w:r>
    </w:p>
    <w:p w14:paraId="45DB286C"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Folkman, J. and Haudenschild, C. (1980) ‘Angiogenesis in vitro’, </w:t>
      </w:r>
      <w:r w:rsidRPr="00D50F49">
        <w:rPr>
          <w:rFonts w:cs="Times New Roman"/>
          <w:i/>
          <w:iCs/>
          <w:noProof/>
          <w:szCs w:val="24"/>
        </w:rPr>
        <w:t>Nature</w:t>
      </w:r>
      <w:r w:rsidRPr="00D50F49">
        <w:rPr>
          <w:rFonts w:cs="Times New Roman"/>
          <w:noProof/>
          <w:szCs w:val="24"/>
        </w:rPr>
        <w:t>, 288(5791), pp. 551–556.</w:t>
      </w:r>
    </w:p>
    <w:p w14:paraId="03AA9D97"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Forrest, D., Erway, L. C., Ng, L., Altschuler, R. and Curran, T. (1996) ‘Thyroid hormone receptor β is essential for development of auditory function’, </w:t>
      </w:r>
      <w:r w:rsidRPr="00D50F49">
        <w:rPr>
          <w:rFonts w:cs="Times New Roman"/>
          <w:i/>
          <w:iCs/>
          <w:noProof/>
          <w:szCs w:val="24"/>
        </w:rPr>
        <w:t>Nature Genetics</w:t>
      </w:r>
      <w:r w:rsidRPr="00D50F49">
        <w:rPr>
          <w:rFonts w:cs="Times New Roman"/>
          <w:noProof/>
          <w:szCs w:val="24"/>
        </w:rPr>
        <w:t>, 13(3), pp. 354–357.</w:t>
      </w:r>
    </w:p>
    <w:p w14:paraId="436C61FA"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Fouquet, B., Weinstein, B. M., Serluca, F. C. and Fishman, M. C. (1997) ‘Vessel Patterning in the Embryo of the Zebrafish: Guidance by Notochord’, </w:t>
      </w:r>
      <w:r w:rsidRPr="00D50F49">
        <w:rPr>
          <w:rFonts w:cs="Times New Roman"/>
          <w:i/>
          <w:iCs/>
          <w:noProof/>
          <w:szCs w:val="24"/>
        </w:rPr>
        <w:t>Developmental Biology</w:t>
      </w:r>
      <w:r w:rsidRPr="00D50F49">
        <w:rPr>
          <w:rFonts w:cs="Times New Roman"/>
          <w:noProof/>
          <w:szCs w:val="24"/>
        </w:rPr>
        <w:t>. Academic Press, 183(1), pp. 37–48.</w:t>
      </w:r>
    </w:p>
    <w:p w14:paraId="2FF78F89"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Gallardo, V. E., Varshney, G. K., Lee, M., Bupp, S., Xu, L., Shinn, P., Crawford, N. P., Inglese, J. and Burgess, S. M. (2015) ‘Phenotype-driven chemical screening in zebrafish for compounds that inhibit collective cell migration identifies multiple pathways potentially involved in metastatic invasion’, </w:t>
      </w:r>
      <w:r w:rsidRPr="00D50F49">
        <w:rPr>
          <w:rFonts w:cs="Times New Roman"/>
          <w:i/>
          <w:iCs/>
          <w:noProof/>
          <w:szCs w:val="24"/>
        </w:rPr>
        <w:t>DMM Disease Models and Mechanisms</w:t>
      </w:r>
      <w:r w:rsidRPr="00D50F49">
        <w:rPr>
          <w:rFonts w:cs="Times New Roman"/>
          <w:noProof/>
          <w:szCs w:val="24"/>
        </w:rPr>
        <w:t>, 8(6), pp. 565–576.</w:t>
      </w:r>
    </w:p>
    <w:p w14:paraId="474A3AD5" w14:textId="3C5A5CCE"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Garcia-Miralles, M., Ooi, J., Ferrari Bardile, C., Tan, L. J., George, M., Drum, C. L., Lin, R. Y., Hayden, M. R. and Pouladi, M. A. (2016) ‘Treatment with the MAO-A inhibitor clorgyline elevates monoamine neurotransmitter levels and improves affective phenotypes in a mouse model of Huntington disease’, </w:t>
      </w:r>
      <w:r w:rsidRPr="00D50F49">
        <w:rPr>
          <w:rFonts w:cs="Times New Roman"/>
          <w:i/>
          <w:iCs/>
          <w:noProof/>
          <w:szCs w:val="24"/>
        </w:rPr>
        <w:t>Experimental Neurology</w:t>
      </w:r>
      <w:r w:rsidRPr="00D50F49">
        <w:rPr>
          <w:rFonts w:cs="Times New Roman"/>
          <w:noProof/>
          <w:szCs w:val="24"/>
        </w:rPr>
        <w:t>, 278, pp. 4–10.</w:t>
      </w:r>
    </w:p>
    <w:p w14:paraId="05BFE2D6"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lastRenderedPageBreak/>
        <w:t xml:space="preserve">Ghysen, A. and Dambly-Chaudière, C. (2007) ‘The lateral line microcosmos’, </w:t>
      </w:r>
      <w:r w:rsidRPr="00D50F49">
        <w:rPr>
          <w:rFonts w:cs="Times New Roman"/>
          <w:i/>
          <w:iCs/>
          <w:noProof/>
          <w:szCs w:val="24"/>
        </w:rPr>
        <w:t>Genes and Development</w:t>
      </w:r>
      <w:r w:rsidRPr="00D50F49">
        <w:rPr>
          <w:rFonts w:cs="Times New Roman"/>
          <w:noProof/>
          <w:szCs w:val="24"/>
        </w:rPr>
        <w:t>, 21(17), pp. 2118–2130.</w:t>
      </w:r>
    </w:p>
    <w:p w14:paraId="2D6DDCF9" w14:textId="71A72F2A"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Giacomini, A. C. V. V., Abreu, M. S., Giacomini, L. V., Siebel, A. M., Zimerman, F. F., Rambo, C. L., Mocelin, R., Bonan, C. D., Piato, A. L. and Barcellos, L. J. G. (2016) ‘Fluoxetine and diazepam acutely modulate stress induced-behavior’, </w:t>
      </w:r>
      <w:r w:rsidRPr="00D50F49">
        <w:rPr>
          <w:rFonts w:cs="Times New Roman"/>
          <w:i/>
          <w:iCs/>
          <w:noProof/>
          <w:szCs w:val="24"/>
        </w:rPr>
        <w:t>Behavioural Brain Research</w:t>
      </w:r>
      <w:r w:rsidRPr="00D50F49">
        <w:rPr>
          <w:rFonts w:cs="Times New Roman"/>
          <w:noProof/>
          <w:szCs w:val="24"/>
        </w:rPr>
        <w:t>, 296, pp. 301–310.</w:t>
      </w:r>
    </w:p>
    <w:p w14:paraId="6AC2FCE5" w14:textId="35C9406A"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Goldstone, J. V., McArthur, A. G., Kubota, A., Zanette, J., Parente, T., Jönsson, M. E., Nelson, D. R. and Stegeman, J. J. (2010) ‘Identification and developmental expression of the full complement of Cytochrome P450 genes in Zebrafish’, </w:t>
      </w:r>
      <w:r w:rsidRPr="00D50F49">
        <w:rPr>
          <w:rFonts w:cs="Times New Roman"/>
          <w:i/>
          <w:iCs/>
          <w:noProof/>
          <w:szCs w:val="24"/>
        </w:rPr>
        <w:t>BMC Genomics</w:t>
      </w:r>
      <w:r w:rsidRPr="00D50F49">
        <w:rPr>
          <w:rFonts w:cs="Times New Roman"/>
          <w:noProof/>
          <w:szCs w:val="24"/>
        </w:rPr>
        <w:t>, 11(1), p. 643.</w:t>
      </w:r>
    </w:p>
    <w:p w14:paraId="556CBF1F"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Gompel, N., Cubedo, N., Thisse, C., Thisse, B., Dambly-Chaudière, C. and Ghysen, A. (2001) ‘Pattern formation in the lateral line of zebrafish’, </w:t>
      </w:r>
      <w:r w:rsidRPr="00D50F49">
        <w:rPr>
          <w:rFonts w:cs="Times New Roman"/>
          <w:i/>
          <w:iCs/>
          <w:noProof/>
          <w:szCs w:val="24"/>
        </w:rPr>
        <w:t>Mechanisms of Development</w:t>
      </w:r>
      <w:r w:rsidRPr="00D50F49">
        <w:rPr>
          <w:rFonts w:cs="Times New Roman"/>
          <w:noProof/>
          <w:szCs w:val="24"/>
        </w:rPr>
        <w:t>, 105(1–2), pp. 69–77.</w:t>
      </w:r>
    </w:p>
    <w:p w14:paraId="47ECF19C" w14:textId="4D232C79"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Gore, A. V, Monzo, K., Cha, Y. R., Pan, W. and Weinstein, B. M. (2012) ‘Vascular development in the zebrafish’, </w:t>
      </w:r>
      <w:r w:rsidRPr="00D50F49">
        <w:rPr>
          <w:rFonts w:cs="Times New Roman"/>
          <w:i/>
          <w:iCs/>
          <w:noProof/>
          <w:szCs w:val="24"/>
        </w:rPr>
        <w:t xml:space="preserve">Cold Spring Harbor </w:t>
      </w:r>
      <w:r>
        <w:rPr>
          <w:rFonts w:cs="Times New Roman"/>
          <w:i/>
          <w:iCs/>
          <w:noProof/>
          <w:szCs w:val="24"/>
        </w:rPr>
        <w:t>P</w:t>
      </w:r>
      <w:r w:rsidRPr="00D50F49">
        <w:rPr>
          <w:rFonts w:cs="Times New Roman"/>
          <w:i/>
          <w:iCs/>
          <w:noProof/>
          <w:szCs w:val="24"/>
        </w:rPr>
        <w:t xml:space="preserve">erspectives in </w:t>
      </w:r>
      <w:r>
        <w:rPr>
          <w:rFonts w:cs="Times New Roman"/>
          <w:i/>
          <w:iCs/>
          <w:noProof/>
          <w:szCs w:val="24"/>
        </w:rPr>
        <w:t>M</w:t>
      </w:r>
      <w:r w:rsidRPr="00D50F49">
        <w:rPr>
          <w:rFonts w:cs="Times New Roman"/>
          <w:i/>
          <w:iCs/>
          <w:noProof/>
          <w:szCs w:val="24"/>
        </w:rPr>
        <w:t>edicine</w:t>
      </w:r>
      <w:r w:rsidRPr="00D50F49">
        <w:rPr>
          <w:rFonts w:cs="Times New Roman"/>
          <w:noProof/>
          <w:szCs w:val="24"/>
        </w:rPr>
        <w:t>, 2(5), pp. a006684–a006684.</w:t>
      </w:r>
    </w:p>
    <w:p w14:paraId="67FDD658"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Gorelick, D. A. and Halpern, M. E. (2011) ‘Visualization of estrogen receptor transcriptional activation in zebrafish’, </w:t>
      </w:r>
      <w:r w:rsidRPr="00D50F49">
        <w:rPr>
          <w:rFonts w:cs="Times New Roman"/>
          <w:i/>
          <w:iCs/>
          <w:noProof/>
          <w:szCs w:val="24"/>
        </w:rPr>
        <w:t>Endocrinology</w:t>
      </w:r>
      <w:r w:rsidRPr="00D50F49">
        <w:rPr>
          <w:rFonts w:cs="Times New Roman"/>
          <w:noProof/>
          <w:szCs w:val="24"/>
        </w:rPr>
        <w:t>, 152(7), pp. 2690–2703.</w:t>
      </w:r>
    </w:p>
    <w:p w14:paraId="1014E4A9"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Grau, R., Punzón, C., Fresno, M. and Iñiguez, M. A. (2006) ‘Peroxisome-proliferator-activated receptor α agonists inhibit cyclo-oxygenase 2 and vascular endothelial growth factor transcriptional activation in human colorectal carcinoma cells via inhibition of activator protein-1’, </w:t>
      </w:r>
      <w:r w:rsidRPr="00D50F49">
        <w:rPr>
          <w:rFonts w:cs="Times New Roman"/>
          <w:i/>
          <w:iCs/>
          <w:noProof/>
          <w:szCs w:val="24"/>
        </w:rPr>
        <w:t>Biochemical Journal</w:t>
      </w:r>
      <w:r w:rsidRPr="00D50F49">
        <w:rPr>
          <w:rFonts w:cs="Times New Roman"/>
          <w:noProof/>
          <w:szCs w:val="24"/>
        </w:rPr>
        <w:t>, 395(1), pp. 81–88.</w:t>
      </w:r>
    </w:p>
    <w:p w14:paraId="0C94D016" w14:textId="596DF180"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Gustafson, A. L., Stedman, D. B., Ball, J., Hillegass, J. M., Flood, A., Zhang, C. X., Panzica-Kelly, J., Cao, J., Coburn, A., Enright, B. P., Tornesi, M. B., Hetheridge, M. and Augustine-Rauch, K. A. (2012) ‘Inter-laboratory assessment of a harmonized zebrafish developmental toxicology assay - Progress report on phase I’, </w:t>
      </w:r>
      <w:r w:rsidRPr="00D50F49">
        <w:rPr>
          <w:rFonts w:cs="Times New Roman"/>
          <w:i/>
          <w:iCs/>
          <w:noProof/>
          <w:szCs w:val="24"/>
        </w:rPr>
        <w:t>Reproductive Toxicology</w:t>
      </w:r>
      <w:r w:rsidRPr="00D50F49">
        <w:rPr>
          <w:rFonts w:cs="Times New Roman"/>
          <w:noProof/>
          <w:szCs w:val="24"/>
        </w:rPr>
        <w:t>, 33(2), pp. 155–164.</w:t>
      </w:r>
    </w:p>
    <w:p w14:paraId="43FF814E" w14:textId="69D6A9A4"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Haas, P. and Gilmour, D. (2006) ‘Chemokine Signaling Mediates Self-Organizing Tissue </w:t>
      </w:r>
      <w:r w:rsidRPr="00D50F49">
        <w:rPr>
          <w:rFonts w:cs="Times New Roman"/>
          <w:noProof/>
          <w:szCs w:val="24"/>
        </w:rPr>
        <w:lastRenderedPageBreak/>
        <w:t xml:space="preserve">Migration in the Zebrafish Lateral Line’, </w:t>
      </w:r>
      <w:r w:rsidRPr="00D50F49">
        <w:rPr>
          <w:rFonts w:cs="Times New Roman"/>
          <w:i/>
          <w:iCs/>
          <w:noProof/>
          <w:szCs w:val="24"/>
        </w:rPr>
        <w:t>Developmental Cell</w:t>
      </w:r>
      <w:r w:rsidRPr="00D50F49">
        <w:rPr>
          <w:rFonts w:cs="Times New Roman"/>
          <w:noProof/>
          <w:szCs w:val="24"/>
        </w:rPr>
        <w:t>, 10(5), pp. 673–680.</w:t>
      </w:r>
    </w:p>
    <w:p w14:paraId="3C1078B5" w14:textId="6B36F93A"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Haduch, A., Bromek, E., Sadakierska-Chudy, A., Wójcikowski, J. and Daniel, W. A. (2013) ‘The catalytic competence of cytochrome P450 in the synthesis of serotonin from 5-methoxytryptamine in the brain: An in vitro study’, </w:t>
      </w:r>
      <w:r w:rsidRPr="00D50F49">
        <w:rPr>
          <w:rFonts w:cs="Times New Roman"/>
          <w:i/>
          <w:iCs/>
          <w:noProof/>
          <w:szCs w:val="24"/>
        </w:rPr>
        <w:t>Pharmacological Research</w:t>
      </w:r>
      <w:r w:rsidRPr="00D50F49">
        <w:rPr>
          <w:rFonts w:cs="Times New Roman"/>
          <w:noProof/>
          <w:szCs w:val="24"/>
        </w:rPr>
        <w:t>, 67(1), pp. 53–59.</w:t>
      </w:r>
    </w:p>
    <w:p w14:paraId="5EF39CC1" w14:textId="17595303"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Hamilton, F. (1822) </w:t>
      </w:r>
      <w:r w:rsidRPr="00D50F49">
        <w:rPr>
          <w:rFonts w:cs="Times New Roman"/>
          <w:i/>
          <w:iCs/>
          <w:noProof/>
          <w:szCs w:val="24"/>
        </w:rPr>
        <w:t>An account of the fishes found in the river Ganges and its branches</w:t>
      </w:r>
      <w:r w:rsidRPr="00D50F49">
        <w:rPr>
          <w:rFonts w:cs="Times New Roman"/>
          <w:noProof/>
          <w:szCs w:val="24"/>
        </w:rPr>
        <w:t>. Edinburgh : Printed for A. Constable and company; [etc., etc.].</w:t>
      </w:r>
      <w:r w:rsidR="00F365E8">
        <w:rPr>
          <w:rFonts w:cs="Times New Roman"/>
          <w:noProof/>
          <w:szCs w:val="24"/>
        </w:rPr>
        <w:t xml:space="preserve"> </w:t>
      </w:r>
      <w:r w:rsidR="00F365E8">
        <w:rPr>
          <w:sz w:val="23"/>
          <w:szCs w:val="23"/>
        </w:rPr>
        <w:t>Available at: https://www.biodiversitylibrary.org/item/30042.</w:t>
      </w:r>
    </w:p>
    <w:p w14:paraId="42D1929F" w14:textId="613E38B9"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Henson, H. E., Parupalli, C., Ju, B. and Taylor, M. R. (2014) ‘Functional and genetic analysis of choroid plexus development in zebrafish’, </w:t>
      </w:r>
      <w:r w:rsidRPr="00D50F49">
        <w:rPr>
          <w:rFonts w:cs="Times New Roman"/>
          <w:i/>
          <w:iCs/>
          <w:noProof/>
          <w:szCs w:val="24"/>
        </w:rPr>
        <w:t xml:space="preserve">Frontiers in </w:t>
      </w:r>
      <w:r>
        <w:rPr>
          <w:rFonts w:cs="Times New Roman"/>
          <w:i/>
          <w:iCs/>
          <w:noProof/>
          <w:szCs w:val="24"/>
        </w:rPr>
        <w:t>N</w:t>
      </w:r>
      <w:r w:rsidRPr="00D50F49">
        <w:rPr>
          <w:rFonts w:cs="Times New Roman"/>
          <w:i/>
          <w:iCs/>
          <w:noProof/>
          <w:szCs w:val="24"/>
        </w:rPr>
        <w:t>euroscience</w:t>
      </w:r>
      <w:r w:rsidRPr="00D50F49">
        <w:rPr>
          <w:rFonts w:cs="Times New Roman"/>
          <w:noProof/>
          <w:szCs w:val="24"/>
        </w:rPr>
        <w:t>, 8, p. 364.</w:t>
      </w:r>
    </w:p>
    <w:p w14:paraId="7CF2B6EC"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Hill, A. J., Teraoka, H., Heideman, W. and Peterson, R. E. (2005) ‘Zebrafish as a model vertebrate for investigating chemical toxicity’, </w:t>
      </w:r>
      <w:r w:rsidRPr="00D50F49">
        <w:rPr>
          <w:rFonts w:cs="Times New Roman"/>
          <w:i/>
          <w:iCs/>
          <w:noProof/>
          <w:szCs w:val="24"/>
        </w:rPr>
        <w:t>Toxicological Sciences</w:t>
      </w:r>
      <w:r w:rsidRPr="00D50F49">
        <w:rPr>
          <w:rFonts w:cs="Times New Roman"/>
          <w:noProof/>
          <w:szCs w:val="24"/>
        </w:rPr>
        <w:t>, 86(1), pp. 6–19.</w:t>
      </w:r>
    </w:p>
    <w:p w14:paraId="066081C9" w14:textId="2B12EE32"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Hogan, B. M. and Schulte-Merker, S. (2017) ‘How to Plumb a Pisces: Understanding Vascular Development and Disease Using Zebrafish Embryos’, </w:t>
      </w:r>
      <w:r w:rsidRPr="00D50F49">
        <w:rPr>
          <w:rFonts w:cs="Times New Roman"/>
          <w:i/>
          <w:iCs/>
          <w:noProof/>
          <w:szCs w:val="24"/>
        </w:rPr>
        <w:t>Developmental Cell</w:t>
      </w:r>
      <w:r w:rsidRPr="00D50F49">
        <w:rPr>
          <w:rFonts w:cs="Times New Roman"/>
          <w:noProof/>
          <w:szCs w:val="24"/>
        </w:rPr>
        <w:t>, 42(6), pp. 567–583.</w:t>
      </w:r>
    </w:p>
    <w:p w14:paraId="3F5FADD9"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Howe, K., Clark, M. D., Torroja, C. F., Torrance, J., Berthelot, C., Muffato, M., Collins, J. E., Humphray, S., McLaren, K., Matthews, L., McLaren, S., Sealy, I., Caccamo, M., Churcher, C., Scott, C., Barrett, J. C., Koch, R., Rauch, G. J., White, S., </w:t>
      </w:r>
      <w:r w:rsidRPr="00D50F49">
        <w:rPr>
          <w:rFonts w:cs="Times New Roman"/>
          <w:i/>
          <w:iCs/>
          <w:noProof/>
          <w:szCs w:val="24"/>
        </w:rPr>
        <w:t>et al.</w:t>
      </w:r>
      <w:r w:rsidRPr="00D50F49">
        <w:rPr>
          <w:rFonts w:cs="Times New Roman"/>
          <w:noProof/>
          <w:szCs w:val="24"/>
        </w:rPr>
        <w:t xml:space="preserve"> (2013) ‘The zebrafish reference genome sequence and its relationship to the human genome’, </w:t>
      </w:r>
      <w:r w:rsidRPr="00D50F49">
        <w:rPr>
          <w:rFonts w:cs="Times New Roman"/>
          <w:i/>
          <w:iCs/>
          <w:noProof/>
          <w:szCs w:val="24"/>
        </w:rPr>
        <w:t>Nature</w:t>
      </w:r>
      <w:r w:rsidRPr="00D50F49">
        <w:rPr>
          <w:rFonts w:cs="Times New Roman"/>
          <w:noProof/>
          <w:szCs w:val="24"/>
        </w:rPr>
        <w:t>, 496(7446), pp. 498–503.</w:t>
      </w:r>
    </w:p>
    <w:p w14:paraId="549D2FA7"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Inoue, I., Shino, K., Noji, S., Awata, T. and Katayama, S. (1998) ‘Expression of peroxisome proliferator-activated receptor α (PPARα) in primary cultures of human vascular endothelial cells’, </w:t>
      </w:r>
      <w:r w:rsidRPr="00D50F49">
        <w:rPr>
          <w:rFonts w:cs="Times New Roman"/>
          <w:i/>
          <w:iCs/>
          <w:noProof/>
          <w:szCs w:val="24"/>
        </w:rPr>
        <w:t>Biochemical and Biophysical Research Communications</w:t>
      </w:r>
      <w:r w:rsidRPr="00D50F49">
        <w:rPr>
          <w:rFonts w:cs="Times New Roman"/>
          <w:noProof/>
          <w:szCs w:val="24"/>
        </w:rPr>
        <w:t>, 246(2), pp. 370–374.</w:t>
      </w:r>
    </w:p>
    <w:p w14:paraId="2D3A00FF"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Isogai, S., Horiguchi, M. and Weinstein, B. M. (2001) ‘The vascular anatomy of the developing zebrafish: An atlas of embryonic and early larval development’, </w:t>
      </w:r>
      <w:r w:rsidRPr="00D50F49">
        <w:rPr>
          <w:rFonts w:cs="Times New Roman"/>
          <w:i/>
          <w:iCs/>
          <w:noProof/>
          <w:szCs w:val="24"/>
        </w:rPr>
        <w:t>Developmental Biology</w:t>
      </w:r>
      <w:r w:rsidRPr="00D50F49">
        <w:rPr>
          <w:rFonts w:cs="Times New Roman"/>
          <w:noProof/>
          <w:szCs w:val="24"/>
        </w:rPr>
        <w:t>, 230(2), pp. 278–301.</w:t>
      </w:r>
    </w:p>
    <w:p w14:paraId="2544FC9F" w14:textId="1048B79A"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Judson, R., Houck, K., Martin, M., Richard, A. M., Knudsen, T. B., Shah, I., Little, S., Wambaugh, </w:t>
      </w:r>
      <w:r w:rsidRPr="00D50F49">
        <w:rPr>
          <w:rFonts w:cs="Times New Roman"/>
          <w:noProof/>
          <w:szCs w:val="24"/>
        </w:rPr>
        <w:lastRenderedPageBreak/>
        <w:t xml:space="preserve">J., Woodrow Setzer, R., Kothiya, P., Phuong, J., Filer, D., Smith, D., Reif, D., Rotroff, D., Kleinstreuer, N., Sipes, N., Xia, M., Huang, R., </w:t>
      </w:r>
      <w:r w:rsidRPr="00D50F49">
        <w:rPr>
          <w:rFonts w:cs="Times New Roman"/>
          <w:i/>
          <w:iCs/>
          <w:noProof/>
          <w:szCs w:val="24"/>
        </w:rPr>
        <w:t>et al.</w:t>
      </w:r>
      <w:r w:rsidRPr="00D50F49">
        <w:rPr>
          <w:rFonts w:cs="Times New Roman"/>
          <w:noProof/>
          <w:szCs w:val="24"/>
        </w:rPr>
        <w:t xml:space="preserve"> (2016) ‘Editor’s Highlight: Analysis of the Effects of Cell Stress and Cytotoxicity on In  Vitro Assay Activity Across a Diverse Chemical and Assay Space.’, </w:t>
      </w:r>
      <w:r w:rsidRPr="00D50F49">
        <w:rPr>
          <w:rFonts w:cs="Times New Roman"/>
          <w:i/>
          <w:iCs/>
          <w:noProof/>
          <w:szCs w:val="24"/>
        </w:rPr>
        <w:t xml:space="preserve">Toxicological </w:t>
      </w:r>
      <w:r>
        <w:rPr>
          <w:rFonts w:cs="Times New Roman"/>
          <w:i/>
          <w:iCs/>
          <w:noProof/>
          <w:szCs w:val="24"/>
        </w:rPr>
        <w:t>S</w:t>
      </w:r>
      <w:r w:rsidRPr="00D50F49">
        <w:rPr>
          <w:rFonts w:cs="Times New Roman"/>
          <w:i/>
          <w:iCs/>
          <w:noProof/>
          <w:szCs w:val="24"/>
        </w:rPr>
        <w:t>ciences : an official journal of the Society of Toxicology</w:t>
      </w:r>
      <w:r w:rsidRPr="00D50F49">
        <w:rPr>
          <w:rFonts w:cs="Times New Roman"/>
          <w:noProof/>
          <w:szCs w:val="24"/>
        </w:rPr>
        <w:t>, 152(2), pp. 323–339.</w:t>
      </w:r>
    </w:p>
    <w:p w14:paraId="629C2C43"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Judson, R. S., Houck, K. A., Kavlock, R. J., Knudsen, T. B., Martin, M. T., Mortensen, H. M., Reif, D. M., Rotroff, D. M., Shah, I., Richard, A. M. and Dix, D. J. (2010) ‘In vitro screening of environmental chemicals for targeted testing prioritization: The toxcast project’, </w:t>
      </w:r>
      <w:r w:rsidRPr="00D50F49">
        <w:rPr>
          <w:rFonts w:cs="Times New Roman"/>
          <w:i/>
          <w:iCs/>
          <w:noProof/>
          <w:szCs w:val="24"/>
        </w:rPr>
        <w:t>Environmental Health Perspectives</w:t>
      </w:r>
      <w:r w:rsidRPr="00D50F49">
        <w:rPr>
          <w:rFonts w:cs="Times New Roman"/>
          <w:noProof/>
          <w:szCs w:val="24"/>
        </w:rPr>
        <w:t>, 118(4), pp. 485–492.</w:t>
      </w:r>
    </w:p>
    <w:p w14:paraId="1C5AF1A4"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Kalluri, R. (2003) ‘Basement membranes: Structure, assembly and role in tumour angiogenesis’, </w:t>
      </w:r>
      <w:r w:rsidRPr="00D50F49">
        <w:rPr>
          <w:rFonts w:cs="Times New Roman"/>
          <w:i/>
          <w:iCs/>
          <w:noProof/>
          <w:szCs w:val="24"/>
        </w:rPr>
        <w:t>Nature Reviews Cancer</w:t>
      </w:r>
      <w:r w:rsidRPr="00D50F49">
        <w:rPr>
          <w:rFonts w:cs="Times New Roman"/>
          <w:noProof/>
          <w:szCs w:val="24"/>
        </w:rPr>
        <w:t>, 3(6), pp. 422–433.</w:t>
      </w:r>
    </w:p>
    <w:p w14:paraId="67F4D83F" w14:textId="50B854B4"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Kaslin, J. and Panula, P. (2001) ‘Comparative anatomy of the histaminergic and other aminergic systems in zebrafish (Danio rerio)’, </w:t>
      </w:r>
      <w:r w:rsidRPr="00D50F49">
        <w:rPr>
          <w:rFonts w:cs="Times New Roman"/>
          <w:i/>
          <w:iCs/>
          <w:noProof/>
          <w:szCs w:val="24"/>
        </w:rPr>
        <w:t>Journal of Comparative Neurology</w:t>
      </w:r>
      <w:r w:rsidRPr="00D50F49">
        <w:rPr>
          <w:rFonts w:cs="Times New Roman"/>
          <w:noProof/>
          <w:szCs w:val="24"/>
        </w:rPr>
        <w:t>, 440(4), pp. 342–377.</w:t>
      </w:r>
    </w:p>
    <w:p w14:paraId="3718E784"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Kelley, M. W., Xu, X. M., Wagner, M. A., Warchol, M. E. and Corwin, J. T. (1993) ‘The developing organ of Corti contains retinoic acid and forms supernumerary hair cells in response to exogenous retinoic acid in culture’, </w:t>
      </w:r>
      <w:r w:rsidRPr="00D50F49">
        <w:rPr>
          <w:rFonts w:cs="Times New Roman"/>
          <w:i/>
          <w:iCs/>
          <w:noProof/>
          <w:szCs w:val="24"/>
        </w:rPr>
        <w:t>Development</w:t>
      </w:r>
      <w:r w:rsidRPr="00D50F49">
        <w:rPr>
          <w:rFonts w:cs="Times New Roman"/>
          <w:noProof/>
          <w:szCs w:val="24"/>
        </w:rPr>
        <w:t>, 119(4), pp. 1041–1053.</w:t>
      </w:r>
    </w:p>
    <w:p w14:paraId="51768BBE"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Kim, T. H., Hur, E. G., Kang, S. J., Kim, J. A., Thapa, D., Mie Lee, Y., Ku, S. K., Jung, Y. and Kwak, M. K. (2011) ‘NRF2 blockade suppresses colon tumor angiogenesis by inhibiting hypoxia-induced activation of HIF-1α’, </w:t>
      </w:r>
      <w:r w:rsidRPr="00D50F49">
        <w:rPr>
          <w:rFonts w:cs="Times New Roman"/>
          <w:i/>
          <w:iCs/>
          <w:noProof/>
          <w:szCs w:val="24"/>
        </w:rPr>
        <w:t>Cancer Research</w:t>
      </w:r>
      <w:r w:rsidRPr="00D50F49">
        <w:rPr>
          <w:rFonts w:cs="Times New Roman"/>
          <w:noProof/>
          <w:szCs w:val="24"/>
        </w:rPr>
        <w:t>, 71(6), pp. 2260–2275.</w:t>
      </w:r>
    </w:p>
    <w:p w14:paraId="4BDBDB3A"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Kimmel, C. B., Warga, R. M. and Schilling, T. F. (1990) ‘Origin and organization of the zebrafish fate map’, </w:t>
      </w:r>
      <w:r w:rsidRPr="00D50F49">
        <w:rPr>
          <w:rFonts w:cs="Times New Roman"/>
          <w:i/>
          <w:iCs/>
          <w:noProof/>
          <w:szCs w:val="24"/>
        </w:rPr>
        <w:t>Development</w:t>
      </w:r>
      <w:r w:rsidRPr="00D50F49">
        <w:rPr>
          <w:rFonts w:cs="Times New Roman"/>
          <w:noProof/>
          <w:szCs w:val="24"/>
        </w:rPr>
        <w:t>, 108(4), pp. 581 LP – 594.</w:t>
      </w:r>
    </w:p>
    <w:p w14:paraId="4C762CCA"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Kleinstreuer, N. C., Judson, R. S., Reif, D. M., Sipes, N. S., Singh, A. V., Chandler, K. J., DeWoskin, R., Dix, D. J., Kavlock, R. J. and Knudsen, T. B. (2011) ‘Environmental impact on vascular development predicted by high-throughput screening’, </w:t>
      </w:r>
      <w:r w:rsidRPr="00D50F49">
        <w:rPr>
          <w:rFonts w:cs="Times New Roman"/>
          <w:i/>
          <w:iCs/>
          <w:noProof/>
          <w:szCs w:val="24"/>
        </w:rPr>
        <w:t>Environmental Health Perspectives</w:t>
      </w:r>
      <w:r w:rsidRPr="00D50F49">
        <w:rPr>
          <w:rFonts w:cs="Times New Roman"/>
          <w:noProof/>
          <w:szCs w:val="24"/>
        </w:rPr>
        <w:t>, 119(11), pp. 1596–1603.</w:t>
      </w:r>
    </w:p>
    <w:p w14:paraId="6CA130B9"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lastRenderedPageBreak/>
        <w:t xml:space="preserve">Koehler, K. R., Nie, J., Longworth-Mills, E., Liu, X.-P., Lee, J., Holt, J. R. and Hashino, E. (2017) ‘Generation of inner ear organoids containing functional hair cells from human pluripotent stem cells’, </w:t>
      </w:r>
      <w:r w:rsidRPr="00D50F49">
        <w:rPr>
          <w:rFonts w:cs="Times New Roman"/>
          <w:i/>
          <w:iCs/>
          <w:noProof/>
          <w:szCs w:val="24"/>
        </w:rPr>
        <w:t>Nature Biotechnology</w:t>
      </w:r>
      <w:r w:rsidRPr="00D50F49">
        <w:rPr>
          <w:rFonts w:cs="Times New Roman"/>
          <w:noProof/>
          <w:szCs w:val="24"/>
        </w:rPr>
        <w:t>, 35(6), pp. 583–589.</w:t>
      </w:r>
    </w:p>
    <w:p w14:paraId="7ED72642" w14:textId="4A965B5A"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Kondrychyn, I., Teh, C., Garcia-Lecea, M., Guan, Y., Kang, A. and Korzh, V. (2011) ‘Zebrafish Enhancer TRAP Transgenic Line Database ZETRAP 2.0’, </w:t>
      </w:r>
      <w:r w:rsidRPr="00D50F49">
        <w:rPr>
          <w:rFonts w:cs="Times New Roman"/>
          <w:i/>
          <w:iCs/>
          <w:noProof/>
          <w:szCs w:val="24"/>
        </w:rPr>
        <w:t>Zebrafish</w:t>
      </w:r>
      <w:r w:rsidRPr="00D50F49">
        <w:rPr>
          <w:rFonts w:cs="Times New Roman"/>
          <w:noProof/>
          <w:szCs w:val="24"/>
        </w:rPr>
        <w:t>, 8(4), pp. 181–182.</w:t>
      </w:r>
    </w:p>
    <w:p w14:paraId="1EE3B853"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Kraska, R. C. (2001) ‘Industrial chemicals: Regulation of new and existing chemicals (The Toxic Substances Control Act and similar worldwide chemical control laws)’, in </w:t>
      </w:r>
      <w:r w:rsidRPr="00D50F49">
        <w:rPr>
          <w:rFonts w:cs="Times New Roman"/>
          <w:i/>
          <w:iCs/>
          <w:noProof/>
          <w:szCs w:val="24"/>
        </w:rPr>
        <w:t>Regulatory Toxicology, 2nd Ed.,</w:t>
      </w:r>
      <w:r w:rsidRPr="00D50F49">
        <w:rPr>
          <w:rFonts w:cs="Times New Roman"/>
          <w:noProof/>
          <w:szCs w:val="24"/>
        </w:rPr>
        <w:t xml:space="preserve"> pp. 244–276.</w:t>
      </w:r>
    </w:p>
    <w:p w14:paraId="212315DB" w14:textId="516B592F"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Kubota, Y., Kleinman, H. K., Martin, G. R. and Lawley, T. J. (1988) ‘Role of laminin and basement membrane in the morphological differentiation of human endothelial cells into capillary-like structures.’, </w:t>
      </w:r>
      <w:r w:rsidRPr="00D50F49">
        <w:rPr>
          <w:rFonts w:cs="Times New Roman"/>
          <w:i/>
          <w:iCs/>
          <w:noProof/>
          <w:szCs w:val="24"/>
        </w:rPr>
        <w:t xml:space="preserve">The Journal of </w:t>
      </w:r>
      <w:r w:rsidR="00F253EC">
        <w:rPr>
          <w:rFonts w:cs="Times New Roman"/>
          <w:i/>
          <w:iCs/>
          <w:noProof/>
          <w:szCs w:val="24"/>
        </w:rPr>
        <w:t>C</w:t>
      </w:r>
      <w:r w:rsidRPr="00D50F49">
        <w:rPr>
          <w:rFonts w:cs="Times New Roman"/>
          <w:i/>
          <w:iCs/>
          <w:noProof/>
          <w:szCs w:val="24"/>
        </w:rPr>
        <w:t xml:space="preserve">ell </w:t>
      </w:r>
      <w:r w:rsidR="00F253EC">
        <w:rPr>
          <w:rFonts w:cs="Times New Roman"/>
          <w:i/>
          <w:iCs/>
          <w:noProof/>
          <w:szCs w:val="24"/>
        </w:rPr>
        <w:t>B</w:t>
      </w:r>
      <w:r w:rsidRPr="00D50F49">
        <w:rPr>
          <w:rFonts w:cs="Times New Roman"/>
          <w:i/>
          <w:iCs/>
          <w:noProof/>
          <w:szCs w:val="24"/>
        </w:rPr>
        <w:t>iology</w:t>
      </w:r>
      <w:r w:rsidRPr="00D50F49">
        <w:rPr>
          <w:rFonts w:cs="Times New Roman"/>
          <w:noProof/>
          <w:szCs w:val="24"/>
        </w:rPr>
        <w:t>, 107(4), pp. 1589–1598.</w:t>
      </w:r>
    </w:p>
    <w:p w14:paraId="5A0A33E5" w14:textId="1E4942E8"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Kysil, E. V, Meshalkina, D. A., Frick, E. E., Echevarria, D. J., Rosemberg, D. B., Maximino, C., Lima, M. G., Abreu, M. S., Giacomini, A. C., Barcellos, L. J. G., Song, C. and Kalueff, A. V (2017) ‘Comparative Analyses of Zebrafish Anxiety-Like Behavior Using Conflict-Based Novelty Tests’, </w:t>
      </w:r>
      <w:r w:rsidRPr="00D50F49">
        <w:rPr>
          <w:rFonts w:cs="Times New Roman"/>
          <w:i/>
          <w:iCs/>
          <w:noProof/>
          <w:szCs w:val="24"/>
        </w:rPr>
        <w:t>Zebrafish</w:t>
      </w:r>
      <w:r w:rsidRPr="00D50F49">
        <w:rPr>
          <w:rFonts w:cs="Times New Roman"/>
          <w:noProof/>
          <w:szCs w:val="24"/>
        </w:rPr>
        <w:t>, 14(3), pp. 197–208.</w:t>
      </w:r>
    </w:p>
    <w:p w14:paraId="5475C104" w14:textId="25AC6A7B"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Lawal, H. O. and Krantz, D. E. (2013) ‘SLC18: Vesicular neurotransmitter transporters for monoamines and acetylcholine’, </w:t>
      </w:r>
      <w:r w:rsidRPr="00D50F49">
        <w:rPr>
          <w:rFonts w:cs="Times New Roman"/>
          <w:i/>
          <w:iCs/>
          <w:noProof/>
          <w:szCs w:val="24"/>
        </w:rPr>
        <w:t xml:space="preserve">Molecular </w:t>
      </w:r>
      <w:r w:rsidR="00F253EC">
        <w:rPr>
          <w:rFonts w:cs="Times New Roman"/>
          <w:i/>
          <w:iCs/>
          <w:noProof/>
          <w:szCs w:val="24"/>
        </w:rPr>
        <w:t>A</w:t>
      </w:r>
      <w:r w:rsidRPr="00D50F49">
        <w:rPr>
          <w:rFonts w:cs="Times New Roman"/>
          <w:i/>
          <w:iCs/>
          <w:noProof/>
          <w:szCs w:val="24"/>
        </w:rPr>
        <w:t xml:space="preserve">spects of </w:t>
      </w:r>
      <w:r w:rsidR="00F253EC">
        <w:rPr>
          <w:rFonts w:cs="Times New Roman"/>
          <w:i/>
          <w:iCs/>
          <w:noProof/>
          <w:szCs w:val="24"/>
        </w:rPr>
        <w:t>M</w:t>
      </w:r>
      <w:r w:rsidRPr="00D50F49">
        <w:rPr>
          <w:rFonts w:cs="Times New Roman"/>
          <w:i/>
          <w:iCs/>
          <w:noProof/>
          <w:szCs w:val="24"/>
        </w:rPr>
        <w:t>edicine</w:t>
      </w:r>
      <w:r w:rsidRPr="00D50F49">
        <w:rPr>
          <w:rFonts w:cs="Times New Roman"/>
          <w:noProof/>
          <w:szCs w:val="24"/>
        </w:rPr>
        <w:t>, 34(2–3), pp. 360–372.</w:t>
      </w:r>
    </w:p>
    <w:p w14:paraId="447A94B7"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Ledent, V. (2002) ‘Postembryonic development of the posterior lateral line in zebrafish’, </w:t>
      </w:r>
      <w:r w:rsidRPr="00D50F49">
        <w:rPr>
          <w:rFonts w:cs="Times New Roman"/>
          <w:i/>
          <w:iCs/>
          <w:noProof/>
          <w:szCs w:val="24"/>
        </w:rPr>
        <w:t>Development</w:t>
      </w:r>
      <w:r w:rsidRPr="00D50F49">
        <w:rPr>
          <w:rFonts w:cs="Times New Roman"/>
          <w:noProof/>
          <w:szCs w:val="24"/>
        </w:rPr>
        <w:t>, 129(3), pp. 597 LP – 604.</w:t>
      </w:r>
    </w:p>
    <w:p w14:paraId="2DA7F74A" w14:textId="627DC593"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Lee, O., Green, J. M. and Tyler, C. R. (2015) ‘Transgenic fish systems and their application in ecotoxicology’, </w:t>
      </w:r>
      <w:r w:rsidRPr="00D50F49">
        <w:rPr>
          <w:rFonts w:cs="Times New Roman"/>
          <w:i/>
          <w:iCs/>
          <w:noProof/>
          <w:szCs w:val="24"/>
        </w:rPr>
        <w:t>Critical Reviews in Toxicology</w:t>
      </w:r>
      <w:r w:rsidRPr="00D50F49">
        <w:rPr>
          <w:rFonts w:cs="Times New Roman"/>
          <w:noProof/>
          <w:szCs w:val="24"/>
        </w:rPr>
        <w:t>, 45(2), pp. 124–141.</w:t>
      </w:r>
    </w:p>
    <w:p w14:paraId="1FC69E50" w14:textId="0E1190E4"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Lee, Y. M., Jeong, C.-H., Koo, S.-Y., Son, M. J., Song, H. S., Bae, S.-K., Raleigh, J. A., Chung, H.-Y., Yoo, M.-A. and Kim, K.-W. (2001) ‘Determination of hypoxic region by hypoxia marker in developing mouse embryos in vivo: A possible signal for vessel development’, </w:t>
      </w:r>
      <w:r w:rsidRPr="00D50F49">
        <w:rPr>
          <w:rFonts w:cs="Times New Roman"/>
          <w:i/>
          <w:iCs/>
          <w:noProof/>
          <w:szCs w:val="24"/>
        </w:rPr>
        <w:t>Developmental Dynamics</w:t>
      </w:r>
      <w:r w:rsidRPr="00D50F49">
        <w:rPr>
          <w:rFonts w:cs="Times New Roman"/>
          <w:noProof/>
          <w:szCs w:val="24"/>
        </w:rPr>
        <w:t>, 220(2), pp. 175–186.</w:t>
      </w:r>
    </w:p>
    <w:p w14:paraId="21B42108" w14:textId="35205EC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lastRenderedPageBreak/>
        <w:t xml:space="preserve">Lefebvre, P., Martin, P. J., Billaut, X. and Lefebvre, B. (2005) ‘Transciptional Activities of Retinoic Acid Receptors’, </w:t>
      </w:r>
      <w:r w:rsidRPr="00D50F49">
        <w:rPr>
          <w:rFonts w:cs="Times New Roman"/>
          <w:i/>
          <w:iCs/>
          <w:noProof/>
          <w:szCs w:val="24"/>
        </w:rPr>
        <w:t>Vitamins And Hormones</w:t>
      </w:r>
      <w:r w:rsidRPr="00D50F49">
        <w:rPr>
          <w:rFonts w:cs="Times New Roman"/>
          <w:noProof/>
          <w:szCs w:val="24"/>
        </w:rPr>
        <w:t>, 70</w:t>
      </w:r>
      <w:r w:rsidR="00F253EC">
        <w:rPr>
          <w:rFonts w:cs="Times New Roman"/>
          <w:noProof/>
          <w:szCs w:val="24"/>
        </w:rPr>
        <w:t>, pp. 199</w:t>
      </w:r>
      <w:r w:rsidR="00F253EC" w:rsidRPr="00D50F49">
        <w:rPr>
          <w:rFonts w:cs="Times New Roman"/>
          <w:noProof/>
          <w:szCs w:val="24"/>
        </w:rPr>
        <w:t>–</w:t>
      </w:r>
      <w:r w:rsidR="00F253EC">
        <w:rPr>
          <w:rFonts w:cs="Times New Roman"/>
          <w:noProof/>
          <w:szCs w:val="24"/>
        </w:rPr>
        <w:t xml:space="preserve">264 </w:t>
      </w:r>
      <w:r w:rsidRPr="00D50F49">
        <w:rPr>
          <w:rFonts w:cs="Times New Roman"/>
          <w:noProof/>
          <w:szCs w:val="24"/>
        </w:rPr>
        <w:t>.</w:t>
      </w:r>
    </w:p>
    <w:p w14:paraId="1663EBB4"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Leung, D. W., Cachianes, G., Kuang, W. J., Goeddel, D. V and Ferrara, N. (1989) ‘Vascular endothelial growth factor is a secreted angiogenic mitogen’, </w:t>
      </w:r>
      <w:r w:rsidRPr="00D50F49">
        <w:rPr>
          <w:rFonts w:cs="Times New Roman"/>
          <w:i/>
          <w:iCs/>
          <w:noProof/>
          <w:szCs w:val="24"/>
        </w:rPr>
        <w:t>Science</w:t>
      </w:r>
      <w:r w:rsidRPr="00D50F49">
        <w:rPr>
          <w:rFonts w:cs="Times New Roman"/>
          <w:noProof/>
          <w:szCs w:val="24"/>
        </w:rPr>
        <w:t>, 246(4935), pp. 1306 LP – 1309.</w:t>
      </w:r>
    </w:p>
    <w:p w14:paraId="125609EC" w14:textId="52F0314D"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Lieschke, G. J. and Trede, N. S. (2009) ‘Fish immunology’, </w:t>
      </w:r>
      <w:r w:rsidRPr="00D50F49">
        <w:rPr>
          <w:rFonts w:cs="Times New Roman"/>
          <w:i/>
          <w:iCs/>
          <w:noProof/>
          <w:szCs w:val="24"/>
        </w:rPr>
        <w:t>Current Biology</w:t>
      </w:r>
      <w:r w:rsidRPr="00D50F49">
        <w:rPr>
          <w:rFonts w:cs="Times New Roman"/>
          <w:noProof/>
          <w:szCs w:val="24"/>
        </w:rPr>
        <w:t>, 19(16), pp. R678–R682.</w:t>
      </w:r>
    </w:p>
    <w:p w14:paraId="09C758B0"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Lomasney, J. W., Lorenz, W., Allen, L. F., King, K., Regan, J. W., Yang-Feng, T. L., Caron, M. G. and Lefkowitz, R. J. (1990) ‘Expansion of the α2-adrenergic receptor family: Cloning and characterization of a human α2-adrenergic receptor subtype, the gene for which is located on chromosome 2’, </w:t>
      </w:r>
      <w:r w:rsidRPr="00D50F49">
        <w:rPr>
          <w:rFonts w:cs="Times New Roman"/>
          <w:i/>
          <w:iCs/>
          <w:noProof/>
          <w:szCs w:val="24"/>
        </w:rPr>
        <w:t>Proceedings of the National Academy of Sciences of the United States of America</w:t>
      </w:r>
      <w:r w:rsidRPr="00D50F49">
        <w:rPr>
          <w:rFonts w:cs="Times New Roman"/>
          <w:noProof/>
          <w:szCs w:val="24"/>
        </w:rPr>
        <w:t>, 87(13), pp. 5094–5098.</w:t>
      </w:r>
    </w:p>
    <w:p w14:paraId="3FA20306" w14:textId="63A032D5"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López-Schier, H. and Hudspeth, A. J. (2006) ‘A two-step mechanism underlies the planar polarization of regenerating sensory hair cells’, </w:t>
      </w:r>
      <w:r w:rsidRPr="00D50F49">
        <w:rPr>
          <w:rFonts w:cs="Times New Roman"/>
          <w:i/>
          <w:iCs/>
          <w:noProof/>
          <w:szCs w:val="24"/>
        </w:rPr>
        <w:t>Proceedings of the National Academy of Sciences of the United States of America</w:t>
      </w:r>
      <w:r w:rsidRPr="00D50F49">
        <w:rPr>
          <w:rFonts w:cs="Times New Roman"/>
          <w:noProof/>
          <w:szCs w:val="24"/>
        </w:rPr>
        <w:t>, 103(49), pp. 18615–18620.</w:t>
      </w:r>
    </w:p>
    <w:p w14:paraId="455AC1AA"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Ma, D., Rajakumaraswamy, N. and Maze, M. (2005) ‘α2-adrenoceptor agonists: Shedding light on neuroprotection?’, </w:t>
      </w:r>
      <w:r w:rsidRPr="00D50F49">
        <w:rPr>
          <w:rFonts w:cs="Times New Roman"/>
          <w:i/>
          <w:iCs/>
          <w:noProof/>
          <w:szCs w:val="24"/>
        </w:rPr>
        <w:t>British Medical Bulletin</w:t>
      </w:r>
      <w:r w:rsidRPr="00D50F49">
        <w:rPr>
          <w:rFonts w:cs="Times New Roman"/>
          <w:noProof/>
          <w:szCs w:val="24"/>
        </w:rPr>
        <w:t>, 71, pp. 77–92.</w:t>
      </w:r>
    </w:p>
    <w:p w14:paraId="45C47159"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Maciag, T., Kadish, J., Wllkins, L., Stemerman, M. B. and Weinstein, R. (1982) ‘Organizational behavior of human umbilical vein endothelial cells’, </w:t>
      </w:r>
      <w:r w:rsidRPr="00D50F49">
        <w:rPr>
          <w:rFonts w:cs="Times New Roman"/>
          <w:i/>
          <w:iCs/>
          <w:noProof/>
          <w:szCs w:val="24"/>
        </w:rPr>
        <w:t>Journal of Cell Biology</w:t>
      </w:r>
      <w:r w:rsidRPr="00D50F49">
        <w:rPr>
          <w:rFonts w:cs="Times New Roman"/>
          <w:noProof/>
          <w:szCs w:val="24"/>
        </w:rPr>
        <w:t>, 94(3), pp. 511–520.</w:t>
      </w:r>
    </w:p>
    <w:p w14:paraId="1C3D2DF7"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MacRae, C. A. and Peterson, R. T. (2015) ‘Zebrafish as tools for drug discovery’, </w:t>
      </w:r>
      <w:r w:rsidRPr="00D50F49">
        <w:rPr>
          <w:rFonts w:cs="Times New Roman"/>
          <w:i/>
          <w:iCs/>
          <w:noProof/>
          <w:szCs w:val="24"/>
        </w:rPr>
        <w:t>Nature Reviews Drug Discovery</w:t>
      </w:r>
      <w:r w:rsidRPr="00D50F49">
        <w:rPr>
          <w:rFonts w:cs="Times New Roman"/>
          <w:noProof/>
          <w:szCs w:val="24"/>
        </w:rPr>
        <w:t>, 14(10), pp. 721–731.</w:t>
      </w:r>
    </w:p>
    <w:p w14:paraId="72190CE8"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Madri, J. A. and Williams, S. K. (1983) ‘Capillary endothelial cell cultures: Phenotypic modulation by matrix components’, </w:t>
      </w:r>
      <w:r w:rsidRPr="00D50F49">
        <w:rPr>
          <w:rFonts w:cs="Times New Roman"/>
          <w:i/>
          <w:iCs/>
          <w:noProof/>
          <w:szCs w:val="24"/>
        </w:rPr>
        <w:t>Journal of Cell Biology</w:t>
      </w:r>
      <w:r w:rsidRPr="00D50F49">
        <w:rPr>
          <w:rFonts w:cs="Times New Roman"/>
          <w:noProof/>
          <w:szCs w:val="24"/>
        </w:rPr>
        <w:t>, 97(1), pp. 153–165.</w:t>
      </w:r>
    </w:p>
    <w:p w14:paraId="4611189E" w14:textId="13CB09BF"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Mahmood, N., Mihalcioiu, C. and Rabbani, S. A. (2018) ‘Multifaceted role of the urokinase-type </w:t>
      </w:r>
      <w:r w:rsidRPr="00D50F49">
        <w:rPr>
          <w:rFonts w:cs="Times New Roman"/>
          <w:noProof/>
          <w:szCs w:val="24"/>
        </w:rPr>
        <w:lastRenderedPageBreak/>
        <w:t xml:space="preserve">plasminogen activator (uPA) and its receptor (uPAR): Diagnostic, prognostic, and therapeutic applications’, </w:t>
      </w:r>
      <w:r w:rsidRPr="00D50F49">
        <w:rPr>
          <w:rFonts w:cs="Times New Roman"/>
          <w:i/>
          <w:iCs/>
          <w:noProof/>
          <w:szCs w:val="24"/>
        </w:rPr>
        <w:t>Frontiers in Oncology</w:t>
      </w:r>
      <w:r w:rsidRPr="00D50F49">
        <w:rPr>
          <w:rFonts w:cs="Times New Roman"/>
          <w:noProof/>
          <w:szCs w:val="24"/>
        </w:rPr>
        <w:t>, 8(</w:t>
      </w:r>
      <w:r w:rsidR="00F365E8">
        <w:rPr>
          <w:rFonts w:cs="Times New Roman"/>
          <w:noProof/>
          <w:szCs w:val="24"/>
        </w:rPr>
        <w:t>24</w:t>
      </w:r>
      <w:r w:rsidRPr="00D50F49">
        <w:rPr>
          <w:rFonts w:cs="Times New Roman"/>
          <w:noProof/>
          <w:szCs w:val="24"/>
        </w:rPr>
        <w:t>).</w:t>
      </w:r>
    </w:p>
    <w:p w14:paraId="18EA3473" w14:textId="42ED2523"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Marvel, S. W., To, K., Grimm, F. A., Wright, F. A., Rusyn, I. and Reif, D. M. (2018) ‘ToxPi Graphical User Interface 2.0: Dynamic exploration, visualization, and sharing of integrated data models’, </w:t>
      </w:r>
      <w:r w:rsidRPr="00D50F49">
        <w:rPr>
          <w:rFonts w:cs="Times New Roman"/>
          <w:i/>
          <w:iCs/>
          <w:noProof/>
          <w:szCs w:val="24"/>
        </w:rPr>
        <w:t>BMC bioinformatics</w:t>
      </w:r>
      <w:r w:rsidRPr="00D50F49">
        <w:rPr>
          <w:rFonts w:cs="Times New Roman"/>
          <w:noProof/>
          <w:szCs w:val="24"/>
        </w:rPr>
        <w:t>, 19(1), p. 80.</w:t>
      </w:r>
    </w:p>
    <w:p w14:paraId="6BEAEB74" w14:textId="1EB68F8D"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McCollum, C. W., Conde-Vancells, J., Hans, C., Vazquez-Chantada, M., Kleinstreuer, N., Tal, T., Knudsen, T., Shah, S. S., Merchant, F. A., Finnell, R. H., Gustafsson, J.-Å., Cabrera, R. and Bondesson, M. (2017) ‘Identification of vascular disruptor compounds by analysis in zebrafish embryos and mouse embryonic endothelial cells’, </w:t>
      </w:r>
      <w:r w:rsidRPr="00D50F49">
        <w:rPr>
          <w:rFonts w:cs="Times New Roman"/>
          <w:i/>
          <w:iCs/>
          <w:noProof/>
          <w:szCs w:val="24"/>
        </w:rPr>
        <w:t xml:space="preserve">Reproductive </w:t>
      </w:r>
      <w:r w:rsidR="00F253EC">
        <w:rPr>
          <w:rFonts w:cs="Times New Roman"/>
          <w:i/>
          <w:iCs/>
          <w:noProof/>
          <w:szCs w:val="24"/>
        </w:rPr>
        <w:t>T</w:t>
      </w:r>
      <w:r w:rsidRPr="00D50F49">
        <w:rPr>
          <w:rFonts w:cs="Times New Roman"/>
          <w:i/>
          <w:iCs/>
          <w:noProof/>
          <w:szCs w:val="24"/>
        </w:rPr>
        <w:t>oxicology (Elmsford, N.Y.)</w:t>
      </w:r>
      <w:r w:rsidRPr="00D50F49">
        <w:rPr>
          <w:rFonts w:cs="Times New Roman"/>
          <w:noProof/>
          <w:szCs w:val="24"/>
        </w:rPr>
        <w:t>, 70, p. 60—69.</w:t>
      </w:r>
    </w:p>
    <w:p w14:paraId="2E57AC84"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Meissner, M., Stein, M., Urbich, C., Reisinger, K., Suske, G., Staels, B., Kaufmann, R. and Gille, J. (2004) ‘PPARα Activators Inhibit Vascular Endothelial Growth Factor Receptor-2 Expression by Repressing Sp1-Dependent DNA Binding and Transactivation’, </w:t>
      </w:r>
      <w:r w:rsidRPr="00D50F49">
        <w:rPr>
          <w:rFonts w:cs="Times New Roman"/>
          <w:i/>
          <w:iCs/>
          <w:noProof/>
          <w:szCs w:val="24"/>
        </w:rPr>
        <w:t>Circulation Research</w:t>
      </w:r>
      <w:r w:rsidRPr="00D50F49">
        <w:rPr>
          <w:rFonts w:cs="Times New Roman"/>
          <w:noProof/>
          <w:szCs w:val="24"/>
        </w:rPr>
        <w:t>, 94(3), pp. 324–332.</w:t>
      </w:r>
    </w:p>
    <w:p w14:paraId="748202AA"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Miksys, S., Rao, Y., Sellers, E. M., Kwan, M., Mendis, D. and Tyndale, R. F. (2000) ‘Regional and cellular distribution of CYP2D subfamily members in rat brain’, </w:t>
      </w:r>
      <w:r w:rsidRPr="00D50F49">
        <w:rPr>
          <w:rFonts w:cs="Times New Roman"/>
          <w:i/>
          <w:iCs/>
          <w:noProof/>
          <w:szCs w:val="24"/>
        </w:rPr>
        <w:t>Xenobiotica</w:t>
      </w:r>
      <w:r w:rsidRPr="00D50F49">
        <w:rPr>
          <w:rFonts w:cs="Times New Roman"/>
          <w:noProof/>
          <w:szCs w:val="24"/>
        </w:rPr>
        <w:t>, 30(6), pp. 547–564.</w:t>
      </w:r>
    </w:p>
    <w:p w14:paraId="3AAD353C"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Namdaran, P., Reinhart, K. E., Owens, K. N., Raible, D. W. and Rubel, E. W. (2012) ‘Identification of modulators of hair cell regeneration in the zebrafish lateral line’, </w:t>
      </w:r>
      <w:r w:rsidRPr="00D50F49">
        <w:rPr>
          <w:rFonts w:cs="Times New Roman"/>
          <w:i/>
          <w:iCs/>
          <w:noProof/>
          <w:szCs w:val="24"/>
        </w:rPr>
        <w:t>Journal of Neuroscience</w:t>
      </w:r>
      <w:r w:rsidRPr="00D50F49">
        <w:rPr>
          <w:rFonts w:cs="Times New Roman"/>
          <w:noProof/>
          <w:szCs w:val="24"/>
        </w:rPr>
        <w:t>, 32(10), pp. 3516–3528.</w:t>
      </w:r>
    </w:p>
    <w:p w14:paraId="21E013D8"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National Research Council (2007) </w:t>
      </w:r>
      <w:r w:rsidRPr="00D50F49">
        <w:rPr>
          <w:rFonts w:cs="Times New Roman"/>
          <w:i/>
          <w:iCs/>
          <w:noProof/>
          <w:szCs w:val="24"/>
        </w:rPr>
        <w:t>Toxicity Testing in the 21st Century: A Vision and a Strategy</w:t>
      </w:r>
      <w:r w:rsidRPr="00D50F49">
        <w:rPr>
          <w:rFonts w:cs="Times New Roman"/>
          <w:noProof/>
          <w:szCs w:val="24"/>
        </w:rPr>
        <w:t>. Washington, DC: The National Academies Press.</w:t>
      </w:r>
    </w:p>
    <w:p w14:paraId="2C65FF2A" w14:textId="44BAA0D6"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National Toxicology Program (2020) ‘Toxicology in the 21st Century (Tox21)’.</w:t>
      </w:r>
      <w:r w:rsidR="00F253EC">
        <w:rPr>
          <w:rFonts w:cs="Times New Roman"/>
          <w:noProof/>
          <w:szCs w:val="24"/>
        </w:rPr>
        <w:t xml:space="preserve"> </w:t>
      </w:r>
      <w:r w:rsidR="00F253EC">
        <w:rPr>
          <w:sz w:val="23"/>
          <w:szCs w:val="23"/>
        </w:rPr>
        <w:t>Available at: https://ntp.niehs.nih.gov/results/tox21/index.html.</w:t>
      </w:r>
    </w:p>
    <w:p w14:paraId="5FFAC2DA" w14:textId="5CADD3E9"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Neufeld, G., Tessler, S., Gitay-Goren, H., Cohen, T. and Levi, B.-Z. (1994) ‘Vascular endothelial </w:t>
      </w:r>
      <w:r w:rsidRPr="00D50F49">
        <w:rPr>
          <w:rFonts w:cs="Times New Roman"/>
          <w:noProof/>
          <w:szCs w:val="24"/>
        </w:rPr>
        <w:lastRenderedPageBreak/>
        <w:t xml:space="preserve">growth factor and its receptors’, </w:t>
      </w:r>
      <w:r w:rsidRPr="00D50F49">
        <w:rPr>
          <w:rFonts w:cs="Times New Roman"/>
          <w:i/>
          <w:iCs/>
          <w:noProof/>
          <w:szCs w:val="24"/>
        </w:rPr>
        <w:t>Progress in Growth Factor Research</w:t>
      </w:r>
      <w:r w:rsidRPr="00D50F49">
        <w:rPr>
          <w:rFonts w:cs="Times New Roman"/>
          <w:noProof/>
          <w:szCs w:val="24"/>
        </w:rPr>
        <w:t>, 5(1), pp. 89–97.</w:t>
      </w:r>
    </w:p>
    <w:p w14:paraId="321201CF"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Nicholas, A. P., Pieribone, V. A., Elde, R. and Hökfelt, T. (1991) ‘Initial observations on the localization of mRNA for α and β adrenergic receptors in brain and peripheral tissues of rat using in situ hybridization’, </w:t>
      </w:r>
      <w:r w:rsidRPr="00D50F49">
        <w:rPr>
          <w:rFonts w:cs="Times New Roman"/>
          <w:i/>
          <w:iCs/>
          <w:noProof/>
          <w:szCs w:val="24"/>
        </w:rPr>
        <w:t>Molecular and Cellular Neuroscience</w:t>
      </w:r>
      <w:r w:rsidRPr="00D50F49">
        <w:rPr>
          <w:rFonts w:cs="Times New Roman"/>
          <w:noProof/>
          <w:szCs w:val="24"/>
        </w:rPr>
        <w:t>, 2(4), pp. 344–350.</w:t>
      </w:r>
    </w:p>
    <w:p w14:paraId="77DC2927"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Nichols, D. E. and Nichols, C. D. (2008) ‘Serotonin receptors’, </w:t>
      </w:r>
      <w:r w:rsidRPr="00D50F49">
        <w:rPr>
          <w:rFonts w:cs="Times New Roman"/>
          <w:i/>
          <w:iCs/>
          <w:noProof/>
          <w:szCs w:val="24"/>
        </w:rPr>
        <w:t>Chemical Reviews</w:t>
      </w:r>
      <w:r w:rsidRPr="00D50F49">
        <w:rPr>
          <w:rFonts w:cs="Times New Roman"/>
          <w:noProof/>
          <w:szCs w:val="24"/>
        </w:rPr>
        <w:t>, 108(5), pp. 1614–1641.</w:t>
      </w:r>
    </w:p>
    <w:p w14:paraId="5423BDE5" w14:textId="13A77A9F"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Nicolson, T. (2005) ‘The Genetics of Hearing and Balance in Zebrafish’, </w:t>
      </w:r>
      <w:r w:rsidRPr="00D50F49">
        <w:rPr>
          <w:rFonts w:cs="Times New Roman"/>
          <w:i/>
          <w:iCs/>
          <w:noProof/>
          <w:szCs w:val="24"/>
        </w:rPr>
        <w:t>Annual Review of Genetics</w:t>
      </w:r>
      <w:r w:rsidRPr="00D50F49">
        <w:rPr>
          <w:rFonts w:cs="Times New Roman"/>
          <w:noProof/>
          <w:szCs w:val="24"/>
        </w:rPr>
        <w:t>, 39(1), pp. 9–22.</w:t>
      </w:r>
    </w:p>
    <w:p w14:paraId="7A38D66D"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Nuñez, V. A., Sarrazin, A. F., Cubedo, N., Allende, M. L., Dambly-Chaudière, C. and Ghysen, A. (2009) ‘Postembryonic development of the posterior lateral line in the zebrafish’, </w:t>
      </w:r>
      <w:r w:rsidRPr="00D50F49">
        <w:rPr>
          <w:rFonts w:cs="Times New Roman"/>
          <w:i/>
          <w:iCs/>
          <w:noProof/>
          <w:szCs w:val="24"/>
        </w:rPr>
        <w:t>Evolution and Development</w:t>
      </w:r>
      <w:r w:rsidRPr="00D50F49">
        <w:rPr>
          <w:rFonts w:cs="Times New Roman"/>
          <w:noProof/>
          <w:szCs w:val="24"/>
        </w:rPr>
        <w:t>, 11(4), pp. 391–404.</w:t>
      </w:r>
    </w:p>
    <w:p w14:paraId="71870470" w14:textId="05D67DFC"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Olive, R., Wolf, S., Dubreuil, A., Bormuth, V., Debrégeas, G. and Candelier, R. (2016) ‘Rheotaxis of Larval Zebrafish: Behavioral Study of a Multi-Sensory Process’, </w:t>
      </w:r>
      <w:r w:rsidRPr="00D50F49">
        <w:rPr>
          <w:rFonts w:cs="Times New Roman"/>
          <w:i/>
          <w:iCs/>
          <w:noProof/>
          <w:szCs w:val="24"/>
        </w:rPr>
        <w:t xml:space="preserve">Frontiers in </w:t>
      </w:r>
      <w:r w:rsidR="00F253EC">
        <w:rPr>
          <w:rFonts w:cs="Times New Roman"/>
          <w:i/>
          <w:iCs/>
          <w:noProof/>
          <w:szCs w:val="24"/>
        </w:rPr>
        <w:t>S</w:t>
      </w:r>
      <w:r w:rsidRPr="00D50F49">
        <w:rPr>
          <w:rFonts w:cs="Times New Roman"/>
          <w:i/>
          <w:iCs/>
          <w:noProof/>
          <w:szCs w:val="24"/>
        </w:rPr>
        <w:t xml:space="preserve">ystems </w:t>
      </w:r>
      <w:r w:rsidR="00F253EC">
        <w:rPr>
          <w:rFonts w:cs="Times New Roman"/>
          <w:i/>
          <w:iCs/>
          <w:noProof/>
          <w:szCs w:val="24"/>
        </w:rPr>
        <w:t>N</w:t>
      </w:r>
      <w:r w:rsidRPr="00D50F49">
        <w:rPr>
          <w:rFonts w:cs="Times New Roman"/>
          <w:i/>
          <w:iCs/>
          <w:noProof/>
          <w:szCs w:val="24"/>
        </w:rPr>
        <w:t>euroscience</w:t>
      </w:r>
      <w:r w:rsidRPr="00D50F49">
        <w:rPr>
          <w:rFonts w:cs="Times New Roman"/>
          <w:noProof/>
          <w:szCs w:val="24"/>
        </w:rPr>
        <w:t>, 10, p. 14.</w:t>
      </w:r>
    </w:p>
    <w:p w14:paraId="63C22BCE" w14:textId="2D4811A5"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Ooi, J., Hayden, M. R. and Pouladi, M. A. (2015) ‘Inhibition of Excessive Monoamine Oxidase A/B Activity Protects Against Stress-induced Neuronal Death in Huntington Disease’, </w:t>
      </w:r>
      <w:r w:rsidRPr="00D50F49">
        <w:rPr>
          <w:rFonts w:cs="Times New Roman"/>
          <w:i/>
          <w:iCs/>
          <w:noProof/>
          <w:szCs w:val="24"/>
        </w:rPr>
        <w:t xml:space="preserve">Molecular </w:t>
      </w:r>
      <w:r w:rsidR="00F253EC">
        <w:rPr>
          <w:rFonts w:cs="Times New Roman"/>
          <w:i/>
          <w:iCs/>
          <w:noProof/>
          <w:szCs w:val="24"/>
        </w:rPr>
        <w:t>N</w:t>
      </w:r>
      <w:r w:rsidRPr="00D50F49">
        <w:rPr>
          <w:rFonts w:cs="Times New Roman"/>
          <w:i/>
          <w:iCs/>
          <w:noProof/>
          <w:szCs w:val="24"/>
        </w:rPr>
        <w:t>eurobiology</w:t>
      </w:r>
      <w:r w:rsidRPr="00D50F49">
        <w:rPr>
          <w:rFonts w:cs="Times New Roman"/>
          <w:noProof/>
          <w:szCs w:val="24"/>
        </w:rPr>
        <w:t>, 52(3), pp. 1850–1861.</w:t>
      </w:r>
    </w:p>
    <w:p w14:paraId="2B176610"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Ou, H. C., Cunningham, L. L., Francis, S. P., Brandon, C. S., Simon, J. A., Raible, D. W. and Rubel, E. W. (2009) ‘Identification of FDA-approved drugs and bioactives that protect hair cells in the zebrafish (danio rerio) lateral line and mouse (mus musculus) utricle’, </w:t>
      </w:r>
      <w:r w:rsidRPr="00D50F49">
        <w:rPr>
          <w:rFonts w:cs="Times New Roman"/>
          <w:i/>
          <w:iCs/>
          <w:noProof/>
          <w:szCs w:val="24"/>
        </w:rPr>
        <w:t>JARO - Journal of the Association for Research in Otolaryngology</w:t>
      </w:r>
      <w:r w:rsidRPr="00D50F49">
        <w:rPr>
          <w:rFonts w:cs="Times New Roman"/>
          <w:noProof/>
          <w:szCs w:val="24"/>
        </w:rPr>
        <w:t>, 10(2), pp. 191–203.</w:t>
      </w:r>
    </w:p>
    <w:p w14:paraId="3BB340B1" w14:textId="7BCE5572"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Owens, K. N., Santos, F., Roberts, B., Linbo, T., Coffin, A. B., Knisely, A. J., Simon, J. A., Rubel, E. W. and Raible, D. W. (2008) ‘Identification of Genetic and Chemical Modulators of Zebrafish Mechanosensory Hair Cell Death’, </w:t>
      </w:r>
      <w:r w:rsidRPr="00D50F49">
        <w:rPr>
          <w:rFonts w:cs="Times New Roman"/>
          <w:i/>
          <w:iCs/>
          <w:noProof/>
          <w:szCs w:val="24"/>
        </w:rPr>
        <w:t>PLoS Genetics</w:t>
      </w:r>
      <w:r w:rsidRPr="00D50F49">
        <w:rPr>
          <w:rFonts w:cs="Times New Roman"/>
          <w:noProof/>
          <w:szCs w:val="24"/>
        </w:rPr>
        <w:t>, 4(2), p. e1000020.</w:t>
      </w:r>
    </w:p>
    <w:p w14:paraId="66C587B6" w14:textId="35B0FF4F"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lastRenderedPageBreak/>
        <w:t>Padilla, S., Corum, D., Padnos, B., Hunter, D. L., Beam, A., Houck, K. A., Sipes, N., Kleinstreuer, N., Knudsen, T., Dix, D. J. and Reif, D. M. (2012) ‘Zebrafish developmental screening of the ToxCast</w:t>
      </w:r>
      <w:r w:rsidRPr="00D50F49">
        <w:rPr>
          <w:rFonts w:cs="Times New Roman"/>
          <w:noProof/>
          <w:szCs w:val="24"/>
          <w:vertAlign w:val="superscript"/>
        </w:rPr>
        <w:t>TM</w:t>
      </w:r>
      <w:r w:rsidRPr="00D50F49">
        <w:rPr>
          <w:rFonts w:cs="Times New Roman"/>
          <w:noProof/>
          <w:szCs w:val="24"/>
        </w:rPr>
        <w:t xml:space="preserve"> Phase I chemical library’, </w:t>
      </w:r>
      <w:r w:rsidRPr="00D50F49">
        <w:rPr>
          <w:rFonts w:cs="Times New Roman"/>
          <w:i/>
          <w:iCs/>
          <w:noProof/>
          <w:szCs w:val="24"/>
        </w:rPr>
        <w:t>Reproductive Toxicology</w:t>
      </w:r>
      <w:r w:rsidRPr="00D50F49">
        <w:rPr>
          <w:rFonts w:cs="Times New Roman"/>
          <w:noProof/>
          <w:szCs w:val="24"/>
        </w:rPr>
        <w:t>, 33(2), pp. 174–187.</w:t>
      </w:r>
    </w:p>
    <w:p w14:paraId="42F440E9"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Pagès, G. and Pouysségur, J. (2005) ‘Transcriptional regulation of the Vascular Endothelial Growth Factor gene - A concert of activating factors’, </w:t>
      </w:r>
      <w:r w:rsidRPr="00D50F49">
        <w:rPr>
          <w:rFonts w:cs="Times New Roman"/>
          <w:i/>
          <w:iCs/>
          <w:noProof/>
          <w:szCs w:val="24"/>
        </w:rPr>
        <w:t>Cardiovascular Research</w:t>
      </w:r>
      <w:r w:rsidRPr="00D50F49">
        <w:rPr>
          <w:rFonts w:cs="Times New Roman"/>
          <w:noProof/>
          <w:szCs w:val="24"/>
        </w:rPr>
        <w:t>, 65(3), pp. 564–573.</w:t>
      </w:r>
    </w:p>
    <w:p w14:paraId="2F6B04C9" w14:textId="31A5B01E"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Pawlikowski, B., Wragge, J. and Siegenthaler, J. A. (2019) ‘Retinoic acid signaling in vascular development’, </w:t>
      </w:r>
      <w:r w:rsidRPr="00D50F49">
        <w:rPr>
          <w:rFonts w:cs="Times New Roman"/>
          <w:i/>
          <w:iCs/>
          <w:noProof/>
          <w:szCs w:val="24"/>
        </w:rPr>
        <w:t>Genesis (New York, N.Y. : 2000</w:t>
      </w:r>
      <w:r w:rsidR="00497C37">
        <w:rPr>
          <w:rFonts w:cs="Times New Roman"/>
          <w:noProof/>
          <w:szCs w:val="24"/>
        </w:rPr>
        <w:t>)</w:t>
      </w:r>
      <w:r w:rsidRPr="00D50F49">
        <w:rPr>
          <w:rFonts w:cs="Times New Roman"/>
          <w:noProof/>
          <w:szCs w:val="24"/>
        </w:rPr>
        <w:t>, 57(7–8), pp. e23287–e23287.</w:t>
      </w:r>
    </w:p>
    <w:p w14:paraId="37A35A34"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Pinto-Teixeira, F., Viader-Llargués, O., Torres-Mejía, E., Turan, M., González-Gualda, E., Pola-Morell, L. and Loṕez-Schier, H. (2015) ‘Inexhaustible hair-cell regeneration in young and aged zebrafish’, </w:t>
      </w:r>
      <w:r w:rsidRPr="00D50F49">
        <w:rPr>
          <w:rFonts w:cs="Times New Roman"/>
          <w:i/>
          <w:iCs/>
          <w:noProof/>
          <w:szCs w:val="24"/>
        </w:rPr>
        <w:t>Biology Open</w:t>
      </w:r>
      <w:r w:rsidRPr="00D50F49">
        <w:rPr>
          <w:rFonts w:cs="Times New Roman"/>
          <w:noProof/>
          <w:szCs w:val="24"/>
        </w:rPr>
        <w:t>, 4(7), pp. 903–909.</w:t>
      </w:r>
    </w:p>
    <w:p w14:paraId="10C845CD" w14:textId="3C623E19"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Ramírez-Bergeron, D. L., Runge, A., Adelman, D. M., Gohil, M. and Simon, M. C. (2006) ‘HIF-dependent hematopoietic factors regulate the development of the embryonic vasculature’, </w:t>
      </w:r>
      <w:r w:rsidRPr="00D50F49">
        <w:rPr>
          <w:rFonts w:cs="Times New Roman"/>
          <w:i/>
          <w:iCs/>
          <w:noProof/>
          <w:szCs w:val="24"/>
        </w:rPr>
        <w:t xml:space="preserve">Developmental </w:t>
      </w:r>
      <w:r w:rsidR="00F253EC">
        <w:rPr>
          <w:rFonts w:cs="Times New Roman"/>
          <w:i/>
          <w:iCs/>
          <w:noProof/>
          <w:szCs w:val="24"/>
        </w:rPr>
        <w:t>C</w:t>
      </w:r>
      <w:r w:rsidRPr="00D50F49">
        <w:rPr>
          <w:rFonts w:cs="Times New Roman"/>
          <w:i/>
          <w:iCs/>
          <w:noProof/>
          <w:szCs w:val="24"/>
        </w:rPr>
        <w:t>ell</w:t>
      </w:r>
      <w:r w:rsidRPr="00D50F49">
        <w:rPr>
          <w:rFonts w:cs="Times New Roman"/>
          <w:noProof/>
          <w:szCs w:val="24"/>
        </w:rPr>
        <w:t>, 11(1), pp. 81–92.</w:t>
      </w:r>
    </w:p>
    <w:p w14:paraId="6E2A72D5"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Ramsay, R. R., Dunford, C. and Gillman, P. K. (2007) ‘Methylene blue and serotonin toxicity: Inhibition of monoamine oxidase A (MAO A) confirms a theoretical prediction’, </w:t>
      </w:r>
      <w:r w:rsidRPr="00D50F49">
        <w:rPr>
          <w:rFonts w:cs="Times New Roman"/>
          <w:i/>
          <w:iCs/>
          <w:noProof/>
          <w:szCs w:val="24"/>
        </w:rPr>
        <w:t>British Journal of Pharmacology</w:t>
      </w:r>
      <w:r w:rsidRPr="00D50F49">
        <w:rPr>
          <w:rFonts w:cs="Times New Roman"/>
          <w:noProof/>
          <w:szCs w:val="24"/>
        </w:rPr>
        <w:t>, 152(6), pp. 946–951.</w:t>
      </w:r>
    </w:p>
    <w:p w14:paraId="6D843968" w14:textId="485ED280"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Reif, D. M., Martin, M. T., Tan, S. W., Houck, K. A., Judson, R. S., Richard, A. M., Knudsen, T. B., Dix, D. J. and Kavlock, R. J. (2010) ‘Endocrine profiling and prioritization of environmental chemicals using ToxCast data’, </w:t>
      </w:r>
      <w:r w:rsidRPr="00D50F49">
        <w:rPr>
          <w:rFonts w:cs="Times New Roman"/>
          <w:i/>
          <w:iCs/>
          <w:noProof/>
          <w:szCs w:val="24"/>
        </w:rPr>
        <w:t xml:space="preserve">Environmental </w:t>
      </w:r>
      <w:r w:rsidR="00F253EC">
        <w:rPr>
          <w:rFonts w:cs="Times New Roman"/>
          <w:i/>
          <w:iCs/>
          <w:noProof/>
          <w:szCs w:val="24"/>
        </w:rPr>
        <w:t>H</w:t>
      </w:r>
      <w:r w:rsidRPr="00D50F49">
        <w:rPr>
          <w:rFonts w:cs="Times New Roman"/>
          <w:i/>
          <w:iCs/>
          <w:noProof/>
          <w:szCs w:val="24"/>
        </w:rPr>
        <w:t xml:space="preserve">ealth </w:t>
      </w:r>
      <w:r w:rsidR="00F253EC">
        <w:rPr>
          <w:rFonts w:cs="Times New Roman"/>
          <w:i/>
          <w:iCs/>
          <w:noProof/>
          <w:szCs w:val="24"/>
        </w:rPr>
        <w:t>P</w:t>
      </w:r>
      <w:r w:rsidRPr="00D50F49">
        <w:rPr>
          <w:rFonts w:cs="Times New Roman"/>
          <w:i/>
          <w:iCs/>
          <w:noProof/>
          <w:szCs w:val="24"/>
        </w:rPr>
        <w:t>erspectives</w:t>
      </w:r>
      <w:r w:rsidRPr="00D50F49">
        <w:rPr>
          <w:rFonts w:cs="Times New Roman"/>
          <w:noProof/>
          <w:szCs w:val="24"/>
        </w:rPr>
        <w:t>, 118(12), pp. 1714–1720.</w:t>
      </w:r>
    </w:p>
    <w:p w14:paraId="049B3782"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Rey, S. and Semenza, G. L. (2010) ‘Hypoxia-inducible factor-1-dependent mechanisms of vascularization and vascular remodelling’, </w:t>
      </w:r>
      <w:r w:rsidRPr="00D50F49">
        <w:rPr>
          <w:rFonts w:cs="Times New Roman"/>
          <w:i/>
          <w:iCs/>
          <w:noProof/>
          <w:szCs w:val="24"/>
        </w:rPr>
        <w:t>Cardiovascular Research</w:t>
      </w:r>
      <w:r w:rsidRPr="00D50F49">
        <w:rPr>
          <w:rFonts w:cs="Times New Roman"/>
          <w:noProof/>
          <w:szCs w:val="24"/>
        </w:rPr>
        <w:t>, 86(2), pp. 236–242.</w:t>
      </w:r>
    </w:p>
    <w:p w14:paraId="51AD18EB" w14:textId="1D3DC148"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Richard, A., Judson, R., Houck, K., Grulke, C., Volarath, P., Thillainadarajah, I., Yang, C., Rathman, J., Martin, M., Wambaugh, J., Knudsen, T., Kancherla, J., Kamel, M., Patlewicz, G., Williams, A., Little, S., Crofton, K. and Thomas, R. (2016) ‘The ToxCast Chemical Landscape: </w:t>
      </w:r>
      <w:r w:rsidRPr="00D50F49">
        <w:rPr>
          <w:rFonts w:cs="Times New Roman"/>
          <w:noProof/>
          <w:szCs w:val="24"/>
        </w:rPr>
        <w:lastRenderedPageBreak/>
        <w:t xml:space="preserve">Paving the Road to 21st Century Toxicology’, </w:t>
      </w:r>
      <w:r w:rsidRPr="00D50F49">
        <w:rPr>
          <w:rFonts w:cs="Times New Roman"/>
          <w:i/>
          <w:iCs/>
          <w:noProof/>
          <w:szCs w:val="24"/>
        </w:rPr>
        <w:t>Chemical Research in Toxicology</w:t>
      </w:r>
      <w:r w:rsidRPr="00D50F49">
        <w:rPr>
          <w:rFonts w:cs="Times New Roman"/>
          <w:noProof/>
          <w:szCs w:val="24"/>
        </w:rPr>
        <w:t>, 29</w:t>
      </w:r>
      <w:r w:rsidR="00FE1CE9">
        <w:rPr>
          <w:rFonts w:cs="Times New Roman"/>
          <w:noProof/>
          <w:szCs w:val="24"/>
        </w:rPr>
        <w:t>(8), pp. 1225</w:t>
      </w:r>
      <w:r w:rsidR="00FE1CE9" w:rsidRPr="00D50F49">
        <w:rPr>
          <w:rFonts w:cs="Times New Roman"/>
          <w:noProof/>
          <w:szCs w:val="24"/>
        </w:rPr>
        <w:t>–</w:t>
      </w:r>
      <w:r w:rsidR="00FE1CE9">
        <w:rPr>
          <w:rFonts w:cs="Times New Roman"/>
          <w:noProof/>
          <w:szCs w:val="24"/>
        </w:rPr>
        <w:t>1251</w:t>
      </w:r>
      <w:r w:rsidRPr="00D50F49">
        <w:rPr>
          <w:rFonts w:cs="Times New Roman"/>
          <w:noProof/>
          <w:szCs w:val="24"/>
        </w:rPr>
        <w:t>.</w:t>
      </w:r>
    </w:p>
    <w:p w14:paraId="78A1CD07" w14:textId="78BE4599"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Romand, R., Dollé, P. and Hashino, E. (2006) ‘Retinoid signaling in inner ear development’, </w:t>
      </w:r>
      <w:r w:rsidRPr="00D50F49">
        <w:rPr>
          <w:rFonts w:cs="Times New Roman"/>
          <w:i/>
          <w:iCs/>
          <w:noProof/>
          <w:szCs w:val="24"/>
        </w:rPr>
        <w:t>Journal of Neurobiology</w:t>
      </w:r>
      <w:r w:rsidR="00F253EC">
        <w:rPr>
          <w:rFonts w:cs="Times New Roman"/>
          <w:noProof/>
          <w:szCs w:val="24"/>
        </w:rPr>
        <w:t xml:space="preserve">, </w:t>
      </w:r>
      <w:r w:rsidRPr="00D50F49">
        <w:rPr>
          <w:rFonts w:cs="Times New Roman"/>
          <w:noProof/>
          <w:szCs w:val="24"/>
        </w:rPr>
        <w:t>66(7), pp. 687–704.</w:t>
      </w:r>
    </w:p>
    <w:p w14:paraId="724387B1"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Rousseaux, C. G. and Greene, S. F. (2016) ‘Sigma receptors [ σ Rs]: Biology in normal and diseased states’, </w:t>
      </w:r>
      <w:r w:rsidRPr="00D50F49">
        <w:rPr>
          <w:rFonts w:cs="Times New Roman"/>
          <w:i/>
          <w:iCs/>
          <w:noProof/>
          <w:szCs w:val="24"/>
        </w:rPr>
        <w:t>Journal of Receptors and Signal Transduction</w:t>
      </w:r>
      <w:r w:rsidRPr="00D50F49">
        <w:rPr>
          <w:rFonts w:cs="Times New Roman"/>
          <w:noProof/>
          <w:szCs w:val="24"/>
        </w:rPr>
        <w:t>, 36(4), pp. 327–388.</w:t>
      </w:r>
    </w:p>
    <w:p w14:paraId="23B97EC6"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Rupprecht, R., Papadopoulos, V., Rammes, G., Baghai, T. C., Fan, J., Akula, N., Groyer, G., Adams, D. and Schumacher, M. (2010) ‘Translocator protein (18 kDa) (TSPO) as a therapeutic target for neurological and psychiatric disorders’, </w:t>
      </w:r>
      <w:r w:rsidRPr="00D50F49">
        <w:rPr>
          <w:rFonts w:cs="Times New Roman"/>
          <w:i/>
          <w:iCs/>
          <w:noProof/>
          <w:szCs w:val="24"/>
        </w:rPr>
        <w:t>Nature Reviews Drug Discovery</w:t>
      </w:r>
      <w:r w:rsidRPr="00D50F49">
        <w:rPr>
          <w:rFonts w:cs="Times New Roman"/>
          <w:noProof/>
          <w:szCs w:val="24"/>
        </w:rPr>
        <w:t>, 9(12), pp. 971–988.</w:t>
      </w:r>
    </w:p>
    <w:p w14:paraId="1E4133F2"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Saad, M., Cavanaugh, K., Verbueken, E., Pype, C., Casteleyn, C., Ginneken, C. Van and Cruchten, S. Van (2016) ‘Xenobiotic metabolism in the zebrafish: A review of the spatiotemporal distribution, modulation and activity of cytochrome p450 families 1 to 3’, </w:t>
      </w:r>
      <w:r w:rsidRPr="00D50F49">
        <w:rPr>
          <w:rFonts w:cs="Times New Roman"/>
          <w:i/>
          <w:iCs/>
          <w:noProof/>
          <w:szCs w:val="24"/>
        </w:rPr>
        <w:t>Journal of Toxicological Sciences</w:t>
      </w:r>
      <w:r w:rsidRPr="00D50F49">
        <w:rPr>
          <w:rFonts w:cs="Times New Roman"/>
          <w:noProof/>
          <w:szCs w:val="24"/>
        </w:rPr>
        <w:t>, 41(1), pp. 1–11.</w:t>
      </w:r>
    </w:p>
    <w:p w14:paraId="46727F5D"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Saito, A., Sugawara, A., Uruno, A., Kudo, M., Kagechika, H., Sato, Y., Owada, Y., Kondo, H., Sato, M., Kurabayashi, M., Imaizumi, M., Tsuchiya, S. and Ito, S. (2007) ‘All-trans retinoic acid induces in vitro angiogenesis via retinoic acid receptor: Possible involvement of paracrine effects of endogenous vascular endothelial growth factor signaling’, </w:t>
      </w:r>
      <w:r w:rsidRPr="00D50F49">
        <w:rPr>
          <w:rFonts w:cs="Times New Roman"/>
          <w:i/>
          <w:iCs/>
          <w:noProof/>
          <w:szCs w:val="24"/>
        </w:rPr>
        <w:t>Endocrinology</w:t>
      </w:r>
      <w:r w:rsidRPr="00D50F49">
        <w:rPr>
          <w:rFonts w:cs="Times New Roman"/>
          <w:noProof/>
          <w:szCs w:val="24"/>
        </w:rPr>
        <w:t>, 148(3), pp. 1412–1423.</w:t>
      </w:r>
    </w:p>
    <w:p w14:paraId="318CF252"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Sangkuhl, K., Klein, T. E. and Altman, R. B. (2009) ‘Selective serotonin reuptake inhibitors pathway’, </w:t>
      </w:r>
      <w:r w:rsidRPr="00D50F49">
        <w:rPr>
          <w:rFonts w:cs="Times New Roman"/>
          <w:i/>
          <w:iCs/>
          <w:noProof/>
          <w:szCs w:val="24"/>
        </w:rPr>
        <w:t>Pharmacogenetics and Genomics</w:t>
      </w:r>
      <w:r w:rsidRPr="00D50F49">
        <w:rPr>
          <w:rFonts w:cs="Times New Roman"/>
          <w:noProof/>
          <w:szCs w:val="24"/>
        </w:rPr>
        <w:t>, 19(11), pp. 907–909.</w:t>
      </w:r>
    </w:p>
    <w:p w14:paraId="0738FDF9"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Singh, A., Mudawal, A., Shukla, R. K., Yadav, S., Khanna, V. K., Sethumadhavan, R. and Parmar, D. (2015) ‘Effect of Gestational Exposure of Cypermethrin on Postnatal Development of Brain Cytochrome P450 2D1 and 3A1 and Neurotransmitter Receptors’, </w:t>
      </w:r>
      <w:r w:rsidRPr="00D50F49">
        <w:rPr>
          <w:rFonts w:cs="Times New Roman"/>
          <w:i/>
          <w:iCs/>
          <w:noProof/>
          <w:szCs w:val="24"/>
        </w:rPr>
        <w:t>Molecular Neurobiology</w:t>
      </w:r>
      <w:r w:rsidRPr="00D50F49">
        <w:rPr>
          <w:rFonts w:cs="Times New Roman"/>
          <w:noProof/>
          <w:szCs w:val="24"/>
        </w:rPr>
        <w:t>, 52(1), pp. 741–756.</w:t>
      </w:r>
    </w:p>
    <w:p w14:paraId="3073E631"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lastRenderedPageBreak/>
        <w:t xml:space="preserve">Sipes, N. S., Martin, M. T., Reif, D. M., Kleinstreuer, N. C., Judson, R. S., Singh, A. V, Chandler, K. J., Dix, D. J., Kavlock, R. J. and Knudsen, T. B. (2011) ‘Predictive Models of Prenatal Developmental Toxicity from ToxCast High-Throughput Screening Data’, </w:t>
      </w:r>
      <w:r w:rsidRPr="00D50F49">
        <w:rPr>
          <w:rFonts w:cs="Times New Roman"/>
          <w:i/>
          <w:iCs/>
          <w:noProof/>
          <w:szCs w:val="24"/>
        </w:rPr>
        <w:t>Toxicological Sciences</w:t>
      </w:r>
      <w:r w:rsidRPr="00D50F49">
        <w:rPr>
          <w:rFonts w:cs="Times New Roman"/>
          <w:noProof/>
          <w:szCs w:val="24"/>
        </w:rPr>
        <w:t>, 124(1), pp. 109–127.</w:t>
      </w:r>
    </w:p>
    <w:p w14:paraId="6952AA22" w14:textId="23408CD5"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Tal, T., Kilty, C., Smith, A., LaLone, C., Kennedy, B., Tennant, A., McCollum, C. W., Bondesson, M., Knudsen, T., Padilla, S. and Kleinstreuer, N. (2017) ‘Screening for angiogenic inhibitors in zebrafish to evaluate a predictive model for developmental vascular toxicity’, </w:t>
      </w:r>
      <w:r w:rsidRPr="00D50F49">
        <w:rPr>
          <w:rFonts w:cs="Times New Roman"/>
          <w:i/>
          <w:iCs/>
          <w:noProof/>
          <w:szCs w:val="24"/>
        </w:rPr>
        <w:t xml:space="preserve">Reproductive </w:t>
      </w:r>
      <w:r w:rsidR="00F253EC">
        <w:rPr>
          <w:rFonts w:cs="Times New Roman"/>
          <w:i/>
          <w:iCs/>
          <w:noProof/>
          <w:szCs w:val="24"/>
        </w:rPr>
        <w:t>T</w:t>
      </w:r>
      <w:r w:rsidRPr="00D50F49">
        <w:rPr>
          <w:rFonts w:cs="Times New Roman"/>
          <w:i/>
          <w:iCs/>
          <w:noProof/>
          <w:szCs w:val="24"/>
        </w:rPr>
        <w:t>oxicology (Elmsford, N.Y.)</w:t>
      </w:r>
      <w:r w:rsidRPr="00D50F49">
        <w:rPr>
          <w:rFonts w:cs="Times New Roman"/>
          <w:noProof/>
          <w:szCs w:val="24"/>
        </w:rPr>
        <w:t>, 70, pp. 70–81.</w:t>
      </w:r>
    </w:p>
    <w:p w14:paraId="2355CD5E" w14:textId="7E6783FE"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Tal, T. L., McCollum, C. W., Harris, P. S., Olin, J., Kleinstreuer, N., Wood, C. E., Hans, C., Shah, S., Merchant, F. A., Bondesson, M., Knudsen, T. B., Padilla, S. and Hemmer, M. J. (2014) ‘Immediate and long-term consequences of vascular toxicity during zebrafish development’, </w:t>
      </w:r>
      <w:r w:rsidRPr="00D50F49">
        <w:rPr>
          <w:rFonts w:cs="Times New Roman"/>
          <w:i/>
          <w:iCs/>
          <w:noProof/>
          <w:szCs w:val="24"/>
        </w:rPr>
        <w:t>Reproductive Toxicology</w:t>
      </w:r>
      <w:r w:rsidRPr="00D50F49">
        <w:rPr>
          <w:rFonts w:cs="Times New Roman"/>
          <w:noProof/>
          <w:szCs w:val="24"/>
        </w:rPr>
        <w:t>, 48, pp. 51–61.</w:t>
      </w:r>
    </w:p>
    <w:p w14:paraId="2DB46205"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Teodoro, J. G., Evans, S. K. and Green, M. R. (2007) ‘Inhibition of tumor angiogenesis by p53: A new role for the guardian of the genome’, </w:t>
      </w:r>
      <w:r w:rsidRPr="00D50F49">
        <w:rPr>
          <w:rFonts w:cs="Times New Roman"/>
          <w:i/>
          <w:iCs/>
          <w:noProof/>
          <w:szCs w:val="24"/>
        </w:rPr>
        <w:t>Journal of Molecular Medicine</w:t>
      </w:r>
      <w:r w:rsidRPr="00D50F49">
        <w:rPr>
          <w:rFonts w:cs="Times New Roman"/>
          <w:noProof/>
          <w:szCs w:val="24"/>
        </w:rPr>
        <w:t>, 85(11), pp. 1175–1186.</w:t>
      </w:r>
    </w:p>
    <w:p w14:paraId="7C212F9B" w14:textId="643FA573"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Teraoka, H., Dong, W. and Hiraga, T. (2003) ‘Zebrafish as a novel experimental model for developmental toxicology.’, </w:t>
      </w:r>
      <w:r w:rsidRPr="00D50F49">
        <w:rPr>
          <w:rFonts w:cs="Times New Roman"/>
          <w:i/>
          <w:iCs/>
          <w:noProof/>
          <w:szCs w:val="24"/>
        </w:rPr>
        <w:t xml:space="preserve">Congenital </w:t>
      </w:r>
      <w:r w:rsidR="00F253EC">
        <w:rPr>
          <w:rFonts w:cs="Times New Roman"/>
          <w:i/>
          <w:iCs/>
          <w:noProof/>
          <w:szCs w:val="24"/>
        </w:rPr>
        <w:t>A</w:t>
      </w:r>
      <w:r w:rsidRPr="00D50F49">
        <w:rPr>
          <w:rFonts w:cs="Times New Roman"/>
          <w:i/>
          <w:iCs/>
          <w:noProof/>
          <w:szCs w:val="24"/>
        </w:rPr>
        <w:t>nomalies</w:t>
      </w:r>
      <w:r w:rsidRPr="00D50F49">
        <w:rPr>
          <w:rFonts w:cs="Times New Roman"/>
          <w:noProof/>
          <w:szCs w:val="24"/>
        </w:rPr>
        <w:t>, 43(2), pp. 123–132.</w:t>
      </w:r>
    </w:p>
    <w:p w14:paraId="202C4CB0" w14:textId="78BB287B"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Therapontos, C., Erskine, L., Gardner, E. R., Figg, W. D. and Vargesson, N. (2009) ‘Thalidomide induces limb defects by preventing angiogenic outgrowth during early limb formation’, </w:t>
      </w:r>
      <w:r w:rsidRPr="00D50F49">
        <w:rPr>
          <w:rFonts w:cs="Times New Roman"/>
          <w:i/>
          <w:iCs/>
          <w:noProof/>
          <w:szCs w:val="24"/>
        </w:rPr>
        <w:t>Proceedings of the National Academy of Sciences of the United States of America</w:t>
      </w:r>
      <w:r w:rsidRPr="00D50F49">
        <w:rPr>
          <w:rFonts w:cs="Times New Roman"/>
          <w:noProof/>
          <w:szCs w:val="24"/>
        </w:rPr>
        <w:t>, 106(21), pp. 8573–8578.</w:t>
      </w:r>
    </w:p>
    <w:p w14:paraId="5E86CDAF"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Top, W. M. C., Gillman, P. K., de Langen, C. J. and Kooy, A. (2014) ‘Fatal methylene blue associated serotonin toxicity’, </w:t>
      </w:r>
      <w:r w:rsidRPr="00D50F49">
        <w:rPr>
          <w:rFonts w:cs="Times New Roman"/>
          <w:i/>
          <w:iCs/>
          <w:noProof/>
          <w:szCs w:val="24"/>
        </w:rPr>
        <w:t>Netherlands Journal of Medicine</w:t>
      </w:r>
      <w:r w:rsidRPr="00D50F49">
        <w:rPr>
          <w:rFonts w:cs="Times New Roman"/>
          <w:noProof/>
          <w:szCs w:val="24"/>
        </w:rPr>
        <w:t>, 72(3), pp. 179–181.</w:t>
      </w:r>
    </w:p>
    <w:p w14:paraId="748D92EE" w14:textId="6EC45BA8"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Ulhaq, Z. S. and Kishida, M. (2018) ‘Brain Aromatase Modulates Serotonergic Neuron by Regulating Serotonin Levels in Zebrafish Embryos and Larvae’, </w:t>
      </w:r>
      <w:r w:rsidRPr="00D50F49">
        <w:rPr>
          <w:rFonts w:cs="Times New Roman"/>
          <w:i/>
          <w:iCs/>
          <w:noProof/>
          <w:szCs w:val="24"/>
        </w:rPr>
        <w:t xml:space="preserve">Frontiers in </w:t>
      </w:r>
      <w:r w:rsidR="00F253EC">
        <w:rPr>
          <w:rFonts w:cs="Times New Roman"/>
          <w:i/>
          <w:iCs/>
          <w:noProof/>
          <w:szCs w:val="24"/>
        </w:rPr>
        <w:t>E</w:t>
      </w:r>
      <w:r w:rsidRPr="00D50F49">
        <w:rPr>
          <w:rFonts w:cs="Times New Roman"/>
          <w:i/>
          <w:iCs/>
          <w:noProof/>
          <w:szCs w:val="24"/>
        </w:rPr>
        <w:t>ndocrinology</w:t>
      </w:r>
      <w:r w:rsidRPr="00D50F49">
        <w:rPr>
          <w:rFonts w:cs="Times New Roman"/>
          <w:noProof/>
          <w:szCs w:val="24"/>
        </w:rPr>
        <w:t>, 9, p. 230.</w:t>
      </w:r>
    </w:p>
    <w:p w14:paraId="764AA4ED"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lastRenderedPageBreak/>
        <w:t xml:space="preserve">Vlasits, A. L., Simon, J. A., Raible, D. W., Rubel, E. W. and Owen, K. N. (2012) ‘Screen of FDA-approved drug library reveals compounds that protect hair cells from aminoglycosides and cisplatin’, </w:t>
      </w:r>
      <w:r w:rsidRPr="00D50F49">
        <w:rPr>
          <w:rFonts w:cs="Times New Roman"/>
          <w:i/>
          <w:iCs/>
          <w:noProof/>
          <w:szCs w:val="24"/>
        </w:rPr>
        <w:t>Hearing Research</w:t>
      </w:r>
      <w:r w:rsidRPr="00D50F49">
        <w:rPr>
          <w:rFonts w:cs="Times New Roman"/>
          <w:noProof/>
          <w:szCs w:val="24"/>
        </w:rPr>
        <w:t>, 294(1–2), pp. 153–165.</w:t>
      </w:r>
    </w:p>
    <w:p w14:paraId="28A60AAA"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Wada, H., Dambly-Chaudière, C., Kawakami, K. and Ghysen, A. (2013) ‘Innervation is required for sense organ development in the lateral line system of adult zebrafish’, </w:t>
      </w:r>
      <w:r w:rsidRPr="00D50F49">
        <w:rPr>
          <w:rFonts w:cs="Times New Roman"/>
          <w:i/>
          <w:iCs/>
          <w:noProof/>
          <w:szCs w:val="24"/>
        </w:rPr>
        <w:t>Proceedings of the National Academy of Sciences of the United States of America</w:t>
      </w:r>
      <w:r w:rsidRPr="00D50F49">
        <w:rPr>
          <w:rFonts w:cs="Times New Roman"/>
          <w:noProof/>
          <w:szCs w:val="24"/>
        </w:rPr>
        <w:t>, 110(14), pp. 5659–5664.</w:t>
      </w:r>
    </w:p>
    <w:p w14:paraId="04F3EB43" w14:textId="7DFD2813"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Wei, Y.</w:t>
      </w:r>
      <w:r w:rsidR="00FE1CE9">
        <w:rPr>
          <w:rFonts w:cs="Times New Roman"/>
          <w:noProof/>
          <w:szCs w:val="24"/>
        </w:rPr>
        <w:t xml:space="preserve"> B</w:t>
      </w:r>
      <w:r w:rsidRPr="00D50F49">
        <w:rPr>
          <w:rFonts w:cs="Times New Roman"/>
          <w:noProof/>
          <w:szCs w:val="24"/>
        </w:rPr>
        <w:t xml:space="preserve">, McCarthy, M., Ren, H., Carrillo-Roa, T., Shekhtman, T., DeModena, A., Liu, J. J., Leckband, S. G., Mors, O., Rietschel, M., Henigsberg, N., Cattaneo, A., Binder, E. B., Aitchison, K. J. and Kelsoe, J. R. (2019) ‘A functional variant in the serotonin receptor 7 gene (HTR7), rs7905446, is associated with good response to SSRIs in bipolar and unipolar depression’, </w:t>
      </w:r>
      <w:r w:rsidRPr="00D50F49">
        <w:rPr>
          <w:rFonts w:cs="Times New Roman"/>
          <w:i/>
          <w:iCs/>
          <w:noProof/>
          <w:szCs w:val="24"/>
        </w:rPr>
        <w:t>Molecular Psychiatry</w:t>
      </w:r>
      <w:r w:rsidRPr="00D50F49">
        <w:rPr>
          <w:rFonts w:cs="Times New Roman"/>
          <w:noProof/>
          <w:szCs w:val="24"/>
        </w:rPr>
        <w:t>.</w:t>
      </w:r>
    </w:p>
    <w:p w14:paraId="1C95121A"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Weiskopf, R. B. and Todd, M. M. (2000) ‘Clinical Uses of alpha 2 -Adrenergic Agonists’, </w:t>
      </w:r>
      <w:r w:rsidRPr="00D50F49">
        <w:rPr>
          <w:rFonts w:cs="Times New Roman"/>
          <w:i/>
          <w:iCs/>
          <w:noProof/>
          <w:szCs w:val="24"/>
        </w:rPr>
        <w:t>Anesthesiology</w:t>
      </w:r>
      <w:r w:rsidRPr="00D50F49">
        <w:rPr>
          <w:rFonts w:cs="Times New Roman"/>
          <w:noProof/>
          <w:szCs w:val="24"/>
        </w:rPr>
        <w:t>, 93(5), pp. 1345–1349.</w:t>
      </w:r>
    </w:p>
    <w:p w14:paraId="1DE44218"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Whitfield, T. T. (2002) ‘Zebrafish as a model for hearing and deafness’, </w:t>
      </w:r>
      <w:r w:rsidRPr="00D50F49">
        <w:rPr>
          <w:rFonts w:cs="Times New Roman"/>
          <w:i/>
          <w:iCs/>
          <w:noProof/>
          <w:szCs w:val="24"/>
        </w:rPr>
        <w:t>Journal of Neurobiology</w:t>
      </w:r>
      <w:r w:rsidRPr="00D50F49">
        <w:rPr>
          <w:rFonts w:cs="Times New Roman"/>
          <w:noProof/>
          <w:szCs w:val="24"/>
        </w:rPr>
        <w:t>, 53(2), pp. 157–171.</w:t>
      </w:r>
    </w:p>
    <w:p w14:paraId="58C8539B"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Wilkinson, R. N. and Van Eeden, F. J. M. (2014) </w:t>
      </w:r>
      <w:r w:rsidRPr="00D50F49">
        <w:rPr>
          <w:rFonts w:cs="Times New Roman"/>
          <w:i/>
          <w:iCs/>
          <w:noProof/>
          <w:szCs w:val="24"/>
        </w:rPr>
        <w:t>The zebrafish as a model of vascular development and disease</w:t>
      </w:r>
      <w:r w:rsidRPr="00D50F49">
        <w:rPr>
          <w:rFonts w:cs="Times New Roman"/>
          <w:noProof/>
          <w:szCs w:val="24"/>
        </w:rPr>
        <w:t xml:space="preserve">. 1st edn, </w:t>
      </w:r>
      <w:r w:rsidRPr="00D50F49">
        <w:rPr>
          <w:rFonts w:cs="Times New Roman"/>
          <w:i/>
          <w:iCs/>
          <w:noProof/>
          <w:szCs w:val="24"/>
        </w:rPr>
        <w:t>Progress in Molecular Biology and Translational Science</w:t>
      </w:r>
      <w:r w:rsidRPr="00D50F49">
        <w:rPr>
          <w:rFonts w:cs="Times New Roman"/>
          <w:noProof/>
          <w:szCs w:val="24"/>
        </w:rPr>
        <w:t>. 1st edn. Elsevier Inc.</w:t>
      </w:r>
    </w:p>
    <w:p w14:paraId="183C46B0" w14:textId="73ED9F35"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Winter, H., Rüttiger, L., Müller, M., Kuhn, S., Brandt, N., Zimmermann, U., Hirt, B., Bress, A., Sausbier, M., Conscience, A., Flamant, F., Tian, Y., Zuo, J., Pfister, M., Ruth, P., Löwenheim, H., Samarut, J., Engel, J. and Knipper, M. (2009) ‘Deafness in TRbeta mutants is caused by malformation of the tectorial membrane’, </w:t>
      </w:r>
      <w:r w:rsidRPr="00D50F49">
        <w:rPr>
          <w:rFonts w:cs="Times New Roman"/>
          <w:i/>
          <w:iCs/>
          <w:noProof/>
          <w:szCs w:val="24"/>
        </w:rPr>
        <w:t xml:space="preserve">The Journal of </w:t>
      </w:r>
      <w:r w:rsidR="00F253EC">
        <w:rPr>
          <w:rFonts w:cs="Times New Roman"/>
          <w:i/>
          <w:iCs/>
          <w:noProof/>
          <w:szCs w:val="24"/>
        </w:rPr>
        <w:t>N</w:t>
      </w:r>
      <w:r w:rsidRPr="00D50F49">
        <w:rPr>
          <w:rFonts w:cs="Times New Roman"/>
          <w:i/>
          <w:iCs/>
          <w:noProof/>
          <w:szCs w:val="24"/>
        </w:rPr>
        <w:t>euroscience : the official journal of the Society for Neuroscience</w:t>
      </w:r>
      <w:r w:rsidRPr="00D50F49">
        <w:rPr>
          <w:rFonts w:cs="Times New Roman"/>
          <w:noProof/>
          <w:szCs w:val="24"/>
        </w:rPr>
        <w:t>, 29(8), pp. 2581–2587.</w:t>
      </w:r>
    </w:p>
    <w:p w14:paraId="5B709E8F" w14:textId="7E01B5F4"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Wong, D. T., Bymaster, F. P. and Engleman, E. A. (1995) ‘Prozac (fluoxetine, lilly 110140), the first selective serotonin uptake inhibitor and an antidepressant drug: Twenty years since its first publication’, </w:t>
      </w:r>
      <w:r w:rsidRPr="00D50F49">
        <w:rPr>
          <w:rFonts w:cs="Times New Roman"/>
          <w:i/>
          <w:iCs/>
          <w:noProof/>
          <w:szCs w:val="24"/>
        </w:rPr>
        <w:t>Life Sciences</w:t>
      </w:r>
      <w:r w:rsidRPr="00D50F49">
        <w:rPr>
          <w:rFonts w:cs="Times New Roman"/>
          <w:noProof/>
          <w:szCs w:val="24"/>
        </w:rPr>
        <w:t>, 57(5), pp. 411–441.</w:t>
      </w:r>
    </w:p>
    <w:p w14:paraId="0A7FBEE0"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lastRenderedPageBreak/>
        <w:t xml:space="preserve">Yoshida, S., Ikeda, Y. and Aihara, K. (2016) ‘Roles of the Androgen – Androgen Receptor System in Vascular Angiogenesis’, </w:t>
      </w:r>
      <w:r w:rsidRPr="00D50F49">
        <w:rPr>
          <w:rFonts w:cs="Times New Roman"/>
          <w:i/>
          <w:iCs/>
          <w:noProof/>
          <w:szCs w:val="24"/>
        </w:rPr>
        <w:t>Journal of Atherosclerosis and Thrombosis</w:t>
      </w:r>
      <w:r w:rsidRPr="00D50F49">
        <w:rPr>
          <w:rFonts w:cs="Times New Roman"/>
          <w:noProof/>
          <w:szCs w:val="24"/>
        </w:rPr>
        <w:t>, 23(3), pp. 257–265.</w:t>
      </w:r>
    </w:p>
    <w:p w14:paraId="61CA5291"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Zhong, T., Childs, S., Leu, J. and Fishman, M. (2001) ‘Gridlock Signalling Pathway Fashions the first embryonic artery’, </w:t>
      </w:r>
      <w:r w:rsidRPr="00D50F49">
        <w:rPr>
          <w:rFonts w:cs="Times New Roman"/>
          <w:i/>
          <w:iCs/>
          <w:noProof/>
          <w:szCs w:val="24"/>
        </w:rPr>
        <w:t>Nature</w:t>
      </w:r>
      <w:r w:rsidRPr="00D50F49">
        <w:rPr>
          <w:rFonts w:cs="Times New Roman"/>
          <w:noProof/>
          <w:szCs w:val="24"/>
        </w:rPr>
        <w:t>, 414, pp. 216–220.</w:t>
      </w:r>
    </w:p>
    <w:p w14:paraId="29CE718C" w14:textId="77777777" w:rsidR="00D50F49" w:rsidRPr="00D50F49" w:rsidRDefault="00D50F49" w:rsidP="00DD79FA">
      <w:pPr>
        <w:widowControl w:val="0"/>
        <w:autoSpaceDE w:val="0"/>
        <w:autoSpaceDN w:val="0"/>
        <w:adjustRightInd w:val="0"/>
        <w:spacing w:before="0" w:line="360" w:lineRule="auto"/>
        <w:jc w:val="both"/>
        <w:rPr>
          <w:rFonts w:cs="Times New Roman"/>
          <w:noProof/>
          <w:szCs w:val="24"/>
        </w:rPr>
      </w:pPr>
      <w:r w:rsidRPr="00D50F49">
        <w:rPr>
          <w:rFonts w:cs="Times New Roman"/>
          <w:noProof/>
          <w:szCs w:val="24"/>
        </w:rPr>
        <w:t xml:space="preserve">Zhou, H., Yang, L., Wang, C., Li, Z., Ouyang, Z., Shan, M., Gu, J. and Wei, Y. (2019) ‘CYP2D1 gene knockout reduces the metabolism and efficacy of venlafaxine in rats’, </w:t>
      </w:r>
      <w:r w:rsidRPr="00D50F49">
        <w:rPr>
          <w:rFonts w:cs="Times New Roman"/>
          <w:i/>
          <w:iCs/>
          <w:noProof/>
          <w:szCs w:val="24"/>
        </w:rPr>
        <w:t>Drug Metabolism and Disposition</w:t>
      </w:r>
      <w:r w:rsidRPr="00D50F49">
        <w:rPr>
          <w:rFonts w:cs="Times New Roman"/>
          <w:noProof/>
          <w:szCs w:val="24"/>
        </w:rPr>
        <w:t>, 47(12), pp. 1425–1432.</w:t>
      </w:r>
    </w:p>
    <w:p w14:paraId="6FE6DEC6" w14:textId="09DFB7B5" w:rsidR="00D50F49" w:rsidRPr="00D50F49" w:rsidRDefault="00D50F49" w:rsidP="00DD79FA">
      <w:pPr>
        <w:widowControl w:val="0"/>
        <w:autoSpaceDE w:val="0"/>
        <w:autoSpaceDN w:val="0"/>
        <w:adjustRightInd w:val="0"/>
        <w:spacing w:before="0" w:line="360" w:lineRule="auto"/>
        <w:jc w:val="both"/>
        <w:rPr>
          <w:rFonts w:cs="Times New Roman"/>
          <w:noProof/>
        </w:rPr>
      </w:pPr>
      <w:r w:rsidRPr="00D50F49">
        <w:rPr>
          <w:rFonts w:cs="Times New Roman"/>
          <w:noProof/>
          <w:szCs w:val="24"/>
        </w:rPr>
        <w:t xml:space="preserve">Zygmunt, T., Trzaska, S., Edelstein, L., Walls, J., Rajamani, S., Gale, N., Daroles, L., Ramírez, C., Ulrich, F. and Torres-Vázquez, J. (2012) ‘“In parallel” interconnectivity of the dorsal longitudinal anastomotic vessels requires both VEGF signaling and circulatory flow’, </w:t>
      </w:r>
      <w:r w:rsidRPr="00D50F49">
        <w:rPr>
          <w:rFonts w:cs="Times New Roman"/>
          <w:i/>
          <w:iCs/>
          <w:noProof/>
          <w:szCs w:val="24"/>
        </w:rPr>
        <w:t xml:space="preserve">Journal of </w:t>
      </w:r>
      <w:r w:rsidR="00F253EC">
        <w:rPr>
          <w:rFonts w:cs="Times New Roman"/>
          <w:i/>
          <w:iCs/>
          <w:noProof/>
          <w:szCs w:val="24"/>
        </w:rPr>
        <w:t>C</w:t>
      </w:r>
      <w:r w:rsidRPr="00D50F49">
        <w:rPr>
          <w:rFonts w:cs="Times New Roman"/>
          <w:i/>
          <w:iCs/>
          <w:noProof/>
          <w:szCs w:val="24"/>
        </w:rPr>
        <w:t xml:space="preserve">ell </w:t>
      </w:r>
      <w:r w:rsidR="00F253EC">
        <w:rPr>
          <w:rFonts w:cs="Times New Roman"/>
          <w:i/>
          <w:iCs/>
          <w:noProof/>
          <w:szCs w:val="24"/>
        </w:rPr>
        <w:t>S</w:t>
      </w:r>
      <w:r w:rsidRPr="00D50F49">
        <w:rPr>
          <w:rFonts w:cs="Times New Roman"/>
          <w:i/>
          <w:iCs/>
          <w:noProof/>
          <w:szCs w:val="24"/>
        </w:rPr>
        <w:t>cience</w:t>
      </w:r>
      <w:r w:rsidRPr="00D50F49">
        <w:rPr>
          <w:rFonts w:cs="Times New Roman"/>
          <w:noProof/>
          <w:szCs w:val="24"/>
        </w:rPr>
        <w:t>, 125(Pt 21), pp. 5159–5167.</w:t>
      </w:r>
    </w:p>
    <w:p w14:paraId="108E53F5" w14:textId="669742B0" w:rsidR="00F63AEB" w:rsidRPr="004E419E" w:rsidRDefault="00D50F49" w:rsidP="00DD79FA">
      <w:pPr>
        <w:widowControl w:val="0"/>
        <w:autoSpaceDE w:val="0"/>
        <w:autoSpaceDN w:val="0"/>
        <w:adjustRightInd w:val="0"/>
        <w:spacing w:before="0" w:line="360" w:lineRule="auto"/>
        <w:jc w:val="both"/>
        <w:rPr>
          <w:rFonts w:eastAsia="Times New Roman" w:cs="Times New Roman"/>
          <w:b/>
          <w:color w:val="auto"/>
          <w:szCs w:val="24"/>
        </w:rPr>
      </w:pPr>
      <w:r>
        <w:rPr>
          <w:rFonts w:eastAsia="Times New Roman" w:cs="Times New Roman"/>
          <w:b/>
          <w:color w:val="auto"/>
          <w:szCs w:val="24"/>
        </w:rPr>
        <w:fldChar w:fldCharType="end"/>
      </w:r>
    </w:p>
    <w:sectPr w:rsidR="00F63AEB" w:rsidRPr="004E419E" w:rsidSect="00811E47">
      <w:pgSz w:w="12240" w:h="15840"/>
      <w:pgMar w:top="1440" w:right="1440" w:bottom="1800" w:left="1440" w:header="720" w:footer="108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E49D9A" w14:textId="77777777" w:rsidR="004660BB" w:rsidRDefault="004660BB" w:rsidP="003355C9">
      <w:pPr>
        <w:spacing w:before="0" w:after="0" w:line="240" w:lineRule="auto"/>
      </w:pPr>
      <w:r>
        <w:separator/>
      </w:r>
    </w:p>
  </w:endnote>
  <w:endnote w:type="continuationSeparator" w:id="0">
    <w:p w14:paraId="4BD3E2EC" w14:textId="77777777" w:rsidR="004660BB" w:rsidRDefault="004660BB" w:rsidP="003355C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6101742"/>
      <w:docPartObj>
        <w:docPartGallery w:val="Page Numbers (Bottom of Page)"/>
        <w:docPartUnique/>
      </w:docPartObj>
    </w:sdtPr>
    <w:sdtEndPr>
      <w:rPr>
        <w:noProof/>
      </w:rPr>
    </w:sdtEndPr>
    <w:sdtContent>
      <w:p w14:paraId="1213C6D1" w14:textId="4E54B03E" w:rsidR="00A26D09" w:rsidRDefault="00A26D09">
        <w:pPr>
          <w:pStyle w:val="Footer"/>
          <w:jc w:val="center"/>
        </w:pPr>
        <w:r>
          <w:fldChar w:fldCharType="begin"/>
        </w:r>
        <w:r>
          <w:instrText xml:space="preserve"> PAGE   \* MERGEFORMAT </w:instrText>
        </w:r>
        <w:r>
          <w:fldChar w:fldCharType="separate"/>
        </w:r>
        <w:r>
          <w:rPr>
            <w:noProof/>
          </w:rPr>
          <w:t>82</w:t>
        </w:r>
        <w:r>
          <w:rPr>
            <w:noProof/>
          </w:rPr>
          <w:fldChar w:fldCharType="end"/>
        </w:r>
      </w:p>
    </w:sdtContent>
  </w:sdt>
  <w:p w14:paraId="1BBEEE02" w14:textId="77777777" w:rsidR="00A26D09" w:rsidRPr="006923C6" w:rsidRDefault="00A26D09" w:rsidP="006923C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BB7DCD" w14:textId="77777777" w:rsidR="004660BB" w:rsidRDefault="004660BB" w:rsidP="003355C9">
      <w:pPr>
        <w:spacing w:before="0" w:after="0" w:line="240" w:lineRule="auto"/>
      </w:pPr>
      <w:r>
        <w:separator/>
      </w:r>
    </w:p>
  </w:footnote>
  <w:footnote w:type="continuationSeparator" w:id="0">
    <w:p w14:paraId="032EAABE" w14:textId="77777777" w:rsidR="004660BB" w:rsidRDefault="004660BB" w:rsidP="003355C9">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84AFE"/>
    <w:multiLevelType w:val="multilevel"/>
    <w:tmpl w:val="1F4633E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6D5082"/>
    <w:multiLevelType w:val="multilevel"/>
    <w:tmpl w:val="BB149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31639A"/>
    <w:multiLevelType w:val="hybridMultilevel"/>
    <w:tmpl w:val="B4B2B264"/>
    <w:lvl w:ilvl="0" w:tplc="2C70186E">
      <w:start w:val="1"/>
      <w:numFmt w:val="decimal"/>
      <w:lvlText w:val="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D45A1A"/>
    <w:multiLevelType w:val="multilevel"/>
    <w:tmpl w:val="B82E6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F33E04"/>
    <w:multiLevelType w:val="hybridMultilevel"/>
    <w:tmpl w:val="A44227C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AF06D2"/>
    <w:multiLevelType w:val="multilevel"/>
    <w:tmpl w:val="C0C25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D297525"/>
    <w:multiLevelType w:val="multilevel"/>
    <w:tmpl w:val="9C06F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DB902CF"/>
    <w:multiLevelType w:val="multilevel"/>
    <w:tmpl w:val="F35CA3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965072"/>
    <w:multiLevelType w:val="multilevel"/>
    <w:tmpl w:val="F8E2B1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FB076B"/>
    <w:multiLevelType w:val="hybridMultilevel"/>
    <w:tmpl w:val="6B68EDB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10C75F4"/>
    <w:multiLevelType w:val="hybridMultilevel"/>
    <w:tmpl w:val="C7EA1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9D4555"/>
    <w:multiLevelType w:val="multilevel"/>
    <w:tmpl w:val="02F6F6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642886"/>
    <w:multiLevelType w:val="hybridMultilevel"/>
    <w:tmpl w:val="8D100D08"/>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2A7A41AF"/>
    <w:multiLevelType w:val="multilevel"/>
    <w:tmpl w:val="220A6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EB7A82"/>
    <w:multiLevelType w:val="hybridMultilevel"/>
    <w:tmpl w:val="8A4E356A"/>
    <w:lvl w:ilvl="0" w:tplc="2C70186E">
      <w:start w:val="1"/>
      <w:numFmt w:val="decimal"/>
      <w:lvlText w:val="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1525A03"/>
    <w:multiLevelType w:val="multilevel"/>
    <w:tmpl w:val="FD4E325C"/>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57D2B5C"/>
    <w:multiLevelType w:val="hybridMultilevel"/>
    <w:tmpl w:val="40DEF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5C0DB2"/>
    <w:multiLevelType w:val="hybridMultilevel"/>
    <w:tmpl w:val="5742DFB4"/>
    <w:lvl w:ilvl="0" w:tplc="1A90582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8F261E1"/>
    <w:multiLevelType w:val="hybridMultilevel"/>
    <w:tmpl w:val="7F509A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12159F8"/>
    <w:multiLevelType w:val="multilevel"/>
    <w:tmpl w:val="915AB0D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3665E62"/>
    <w:multiLevelType w:val="hybridMultilevel"/>
    <w:tmpl w:val="9FAC02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7CB6988"/>
    <w:multiLevelType w:val="multilevel"/>
    <w:tmpl w:val="C2527E2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071571C"/>
    <w:multiLevelType w:val="hybridMultilevel"/>
    <w:tmpl w:val="04DE08BC"/>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236320D"/>
    <w:multiLevelType w:val="multilevel"/>
    <w:tmpl w:val="CBD8A6C4"/>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58200595"/>
    <w:multiLevelType w:val="multilevel"/>
    <w:tmpl w:val="AFA60A1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C4C1AA0"/>
    <w:multiLevelType w:val="multilevel"/>
    <w:tmpl w:val="3F7012AA"/>
    <w:lvl w:ilvl="0">
      <w:start w:val="1"/>
      <w:numFmt w:val="decimal"/>
      <w:lvlText w:val="%1"/>
      <w:lvlJc w:val="left"/>
      <w:pPr>
        <w:ind w:left="420" w:hanging="420"/>
      </w:pPr>
    </w:lvl>
    <w:lvl w:ilvl="1">
      <w:start w:val="1"/>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6" w15:restartNumberingAfterBreak="0">
    <w:nsid w:val="5ED8542D"/>
    <w:multiLevelType w:val="multilevel"/>
    <w:tmpl w:val="FB545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7A44BCF"/>
    <w:multiLevelType w:val="hybridMultilevel"/>
    <w:tmpl w:val="03B449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EFD2658"/>
    <w:multiLevelType w:val="hybridMultilevel"/>
    <w:tmpl w:val="58AADEB4"/>
    <w:lvl w:ilvl="0" w:tplc="26AC1182">
      <w:start w:val="1"/>
      <w:numFmt w:val="bullet"/>
      <w:lvlText w:val="•"/>
      <w:lvlJc w:val="left"/>
      <w:pPr>
        <w:tabs>
          <w:tab w:val="num" w:pos="720"/>
        </w:tabs>
        <w:ind w:left="720" w:hanging="360"/>
      </w:pPr>
      <w:rPr>
        <w:rFonts w:ascii="Arial" w:hAnsi="Arial" w:hint="default"/>
      </w:rPr>
    </w:lvl>
    <w:lvl w:ilvl="1" w:tplc="273C8FC8" w:tentative="1">
      <w:start w:val="1"/>
      <w:numFmt w:val="bullet"/>
      <w:lvlText w:val="•"/>
      <w:lvlJc w:val="left"/>
      <w:pPr>
        <w:tabs>
          <w:tab w:val="num" w:pos="1440"/>
        </w:tabs>
        <w:ind w:left="1440" w:hanging="360"/>
      </w:pPr>
      <w:rPr>
        <w:rFonts w:ascii="Arial" w:hAnsi="Arial" w:hint="default"/>
      </w:rPr>
    </w:lvl>
    <w:lvl w:ilvl="2" w:tplc="8D265256" w:tentative="1">
      <w:start w:val="1"/>
      <w:numFmt w:val="bullet"/>
      <w:lvlText w:val="•"/>
      <w:lvlJc w:val="left"/>
      <w:pPr>
        <w:tabs>
          <w:tab w:val="num" w:pos="2160"/>
        </w:tabs>
        <w:ind w:left="2160" w:hanging="360"/>
      </w:pPr>
      <w:rPr>
        <w:rFonts w:ascii="Arial" w:hAnsi="Arial" w:hint="default"/>
      </w:rPr>
    </w:lvl>
    <w:lvl w:ilvl="3" w:tplc="10EEFA96" w:tentative="1">
      <w:start w:val="1"/>
      <w:numFmt w:val="bullet"/>
      <w:lvlText w:val="•"/>
      <w:lvlJc w:val="left"/>
      <w:pPr>
        <w:tabs>
          <w:tab w:val="num" w:pos="2880"/>
        </w:tabs>
        <w:ind w:left="2880" w:hanging="360"/>
      </w:pPr>
      <w:rPr>
        <w:rFonts w:ascii="Arial" w:hAnsi="Arial" w:hint="default"/>
      </w:rPr>
    </w:lvl>
    <w:lvl w:ilvl="4" w:tplc="DA0A4E8A" w:tentative="1">
      <w:start w:val="1"/>
      <w:numFmt w:val="bullet"/>
      <w:lvlText w:val="•"/>
      <w:lvlJc w:val="left"/>
      <w:pPr>
        <w:tabs>
          <w:tab w:val="num" w:pos="3600"/>
        </w:tabs>
        <w:ind w:left="3600" w:hanging="360"/>
      </w:pPr>
      <w:rPr>
        <w:rFonts w:ascii="Arial" w:hAnsi="Arial" w:hint="default"/>
      </w:rPr>
    </w:lvl>
    <w:lvl w:ilvl="5" w:tplc="55DE8B3E" w:tentative="1">
      <w:start w:val="1"/>
      <w:numFmt w:val="bullet"/>
      <w:lvlText w:val="•"/>
      <w:lvlJc w:val="left"/>
      <w:pPr>
        <w:tabs>
          <w:tab w:val="num" w:pos="4320"/>
        </w:tabs>
        <w:ind w:left="4320" w:hanging="360"/>
      </w:pPr>
      <w:rPr>
        <w:rFonts w:ascii="Arial" w:hAnsi="Arial" w:hint="default"/>
      </w:rPr>
    </w:lvl>
    <w:lvl w:ilvl="6" w:tplc="5B9AC016" w:tentative="1">
      <w:start w:val="1"/>
      <w:numFmt w:val="bullet"/>
      <w:lvlText w:val="•"/>
      <w:lvlJc w:val="left"/>
      <w:pPr>
        <w:tabs>
          <w:tab w:val="num" w:pos="5040"/>
        </w:tabs>
        <w:ind w:left="5040" w:hanging="360"/>
      </w:pPr>
      <w:rPr>
        <w:rFonts w:ascii="Arial" w:hAnsi="Arial" w:hint="default"/>
      </w:rPr>
    </w:lvl>
    <w:lvl w:ilvl="7" w:tplc="ADA635B0" w:tentative="1">
      <w:start w:val="1"/>
      <w:numFmt w:val="bullet"/>
      <w:lvlText w:val="•"/>
      <w:lvlJc w:val="left"/>
      <w:pPr>
        <w:tabs>
          <w:tab w:val="num" w:pos="5760"/>
        </w:tabs>
        <w:ind w:left="5760" w:hanging="360"/>
      </w:pPr>
      <w:rPr>
        <w:rFonts w:ascii="Arial" w:hAnsi="Arial" w:hint="default"/>
      </w:rPr>
    </w:lvl>
    <w:lvl w:ilvl="8" w:tplc="EA8A6C1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0EC5931"/>
    <w:multiLevelType w:val="hybridMultilevel"/>
    <w:tmpl w:val="0C56BA6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FD0641"/>
    <w:multiLevelType w:val="multilevel"/>
    <w:tmpl w:val="2F7AE4C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3"/>
  </w:num>
  <w:num w:numId="2">
    <w:abstractNumId w:val="30"/>
    <w:lvlOverride w:ilvl="0">
      <w:lvl w:ilvl="0">
        <w:numFmt w:val="decimal"/>
        <w:lvlText w:val="%1."/>
        <w:lvlJc w:val="left"/>
      </w:lvl>
    </w:lvlOverride>
  </w:num>
  <w:num w:numId="3">
    <w:abstractNumId w:val="19"/>
    <w:lvlOverride w:ilvl="0">
      <w:lvl w:ilvl="0">
        <w:numFmt w:val="decimal"/>
        <w:lvlText w:val="%1."/>
        <w:lvlJc w:val="left"/>
      </w:lvl>
    </w:lvlOverride>
  </w:num>
  <w:num w:numId="4">
    <w:abstractNumId w:val="0"/>
  </w:num>
  <w:num w:numId="5">
    <w:abstractNumId w:val="24"/>
    <w:lvlOverride w:ilvl="0">
      <w:lvl w:ilvl="0">
        <w:numFmt w:val="decimal"/>
        <w:lvlText w:val="%1."/>
        <w:lvlJc w:val="left"/>
      </w:lvl>
    </w:lvlOverride>
  </w:num>
  <w:num w:numId="6">
    <w:abstractNumId w:val="21"/>
    <w:lvlOverride w:ilvl="0">
      <w:lvl w:ilvl="0">
        <w:numFmt w:val="decimal"/>
        <w:lvlText w:val="%1."/>
        <w:lvlJc w:val="left"/>
      </w:lvl>
    </w:lvlOverride>
  </w:num>
  <w:num w:numId="7">
    <w:abstractNumId w:val="15"/>
    <w:lvlOverride w:ilvl="0">
      <w:lvl w:ilvl="0">
        <w:numFmt w:val="decimal"/>
        <w:lvlText w:val="%1."/>
        <w:lvlJc w:val="left"/>
      </w:lvl>
    </w:lvlOverride>
  </w:num>
  <w:num w:numId="8">
    <w:abstractNumId w:val="16"/>
  </w:num>
  <w:num w:numId="9">
    <w:abstractNumId w:val="26"/>
  </w:num>
  <w:num w:numId="10">
    <w:abstractNumId w:val="6"/>
  </w:num>
  <w:num w:numId="11">
    <w:abstractNumId w:val="1"/>
  </w:num>
  <w:num w:numId="12">
    <w:abstractNumId w:val="5"/>
  </w:num>
  <w:num w:numId="13">
    <w:abstractNumId w:val="29"/>
  </w:num>
  <w:num w:numId="14">
    <w:abstractNumId w:val="4"/>
  </w:num>
  <w:num w:numId="15">
    <w:abstractNumId w:val="12"/>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11"/>
  </w:num>
  <w:num w:numId="19">
    <w:abstractNumId w:val="7"/>
  </w:num>
  <w:num w:numId="20">
    <w:abstractNumId w:val="2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num>
  <w:num w:numId="22">
    <w:abstractNumId w:val="13"/>
  </w:num>
  <w:num w:numId="23">
    <w:abstractNumId w:val="18"/>
  </w:num>
  <w:num w:numId="24">
    <w:abstractNumId w:val="22"/>
  </w:num>
  <w:num w:numId="25">
    <w:abstractNumId w:val="14"/>
  </w:num>
  <w:num w:numId="26">
    <w:abstractNumId w:val="2"/>
  </w:num>
  <w:num w:numId="27">
    <w:abstractNumId w:val="9"/>
  </w:num>
  <w:num w:numId="28">
    <w:abstractNumId w:val="28"/>
  </w:num>
  <w:num w:numId="29">
    <w:abstractNumId w:val="3"/>
  </w:num>
  <w:num w:numId="30">
    <w:abstractNumId w:val="17"/>
  </w:num>
  <w:num w:numId="31">
    <w:abstractNumId w:val="10"/>
  </w:num>
  <w:num w:numId="32">
    <w:abstractNumId w:val="20"/>
  </w:num>
  <w:num w:numId="3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Environ Health Persp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1&lt;/SpaceAfter&gt;&lt;HyperlinksEnabled&gt;1&lt;/HyperlinksEnabled&gt;&lt;HyperlinksVisible&gt;0&lt;/HyperlinksVisible&gt;&lt;EnableBibliographyCategories&gt;0&lt;/EnableBibliographyCategories&gt;&lt;/ENLayout&gt;"/>
    <w:docVar w:name="EN.Libraries" w:val="&lt;Libraries&gt;&lt;item db-id=&quot;e5xxaprwzzdxvxe9s0sxztehafs95ez9srrp&quot;&gt;My EndNote Library&lt;record-ids&gt;&lt;item&gt;3&lt;/item&gt;&lt;item&gt;7&lt;/item&gt;&lt;item&gt;9&lt;/item&gt;&lt;item&gt;10&lt;/item&gt;&lt;item&gt;13&lt;/item&gt;&lt;item&gt;14&lt;/item&gt;&lt;item&gt;16&lt;/item&gt;&lt;item&gt;17&lt;/item&gt;&lt;item&gt;19&lt;/item&gt;&lt;item&gt;20&lt;/item&gt;&lt;item&gt;21&lt;/item&gt;&lt;item&gt;57&lt;/item&gt;&lt;item&gt;90&lt;/item&gt;&lt;item&gt;104&lt;/item&gt;&lt;item&gt;105&lt;/item&gt;&lt;item&gt;108&lt;/item&gt;&lt;item&gt;109&lt;/item&gt;&lt;item&gt;110&lt;/item&gt;&lt;item&gt;136&lt;/item&gt;&lt;item&gt;144&lt;/item&gt;&lt;item&gt;150&lt;/item&gt;&lt;item&gt;160&lt;/item&gt;&lt;item&gt;163&lt;/item&gt;&lt;item&gt;182&lt;/item&gt;&lt;item&gt;183&lt;/item&gt;&lt;item&gt;187&lt;/item&gt;&lt;item&gt;188&lt;/item&gt;&lt;item&gt;189&lt;/item&gt;&lt;item&gt;193&lt;/item&gt;&lt;item&gt;201&lt;/item&gt;&lt;item&gt;232&lt;/item&gt;&lt;item&gt;233&lt;/item&gt;&lt;item&gt;247&lt;/item&gt;&lt;item&gt;252&lt;/item&gt;&lt;item&gt;254&lt;/item&gt;&lt;item&gt;269&lt;/item&gt;&lt;item&gt;270&lt;/item&gt;&lt;item&gt;307&lt;/item&gt;&lt;item&gt;313&lt;/item&gt;&lt;item&gt;316&lt;/item&gt;&lt;item&gt;319&lt;/item&gt;&lt;item&gt;320&lt;/item&gt;&lt;item&gt;323&lt;/item&gt;&lt;item&gt;324&lt;/item&gt;&lt;item&gt;336&lt;/item&gt;&lt;item&gt;344&lt;/item&gt;&lt;item&gt;346&lt;/item&gt;&lt;item&gt;351&lt;/item&gt;&lt;item&gt;353&lt;/item&gt;&lt;item&gt;355&lt;/item&gt;&lt;item&gt;361&lt;/item&gt;&lt;item&gt;369&lt;/item&gt;&lt;item&gt;444&lt;/item&gt;&lt;item&gt;477&lt;/item&gt;&lt;item&gt;478&lt;/item&gt;&lt;item&gt;480&lt;/item&gt;&lt;item&gt;481&lt;/item&gt;&lt;item&gt;482&lt;/item&gt;&lt;item&gt;483&lt;/item&gt;&lt;item&gt;484&lt;/item&gt;&lt;item&gt;485&lt;/item&gt;&lt;item&gt;486&lt;/item&gt;&lt;item&gt;487&lt;/item&gt;&lt;item&gt;488&lt;/item&gt;&lt;item&gt;489&lt;/item&gt;&lt;item&gt;490&lt;/item&gt;&lt;item&gt;491&lt;/item&gt;&lt;item&gt;492&lt;/item&gt;&lt;item&gt;493&lt;/item&gt;&lt;item&gt;494&lt;/item&gt;&lt;item&gt;495&lt;/item&gt;&lt;item&gt;496&lt;/item&gt;&lt;item&gt;497&lt;/item&gt;&lt;item&gt;498&lt;/item&gt;&lt;item&gt;501&lt;/item&gt;&lt;item&gt;502&lt;/item&gt;&lt;item&gt;503&lt;/item&gt;&lt;item&gt;504&lt;/item&gt;&lt;item&gt;505&lt;/item&gt;&lt;item&gt;507&lt;/item&gt;&lt;item&gt;508&lt;/item&gt;&lt;item&gt;509&lt;/item&gt;&lt;item&gt;510&lt;/item&gt;&lt;item&gt;512&lt;/item&gt;&lt;item&gt;513&lt;/item&gt;&lt;item&gt;514&lt;/item&gt;&lt;item&gt;515&lt;/item&gt;&lt;item&gt;518&lt;/item&gt;&lt;item&gt;519&lt;/item&gt;&lt;item&gt;520&lt;/item&gt;&lt;item&gt;521&lt;/item&gt;&lt;item&gt;523&lt;/item&gt;&lt;item&gt;525&lt;/item&gt;&lt;item&gt;526&lt;/item&gt;&lt;item&gt;527&lt;/item&gt;&lt;item&gt;528&lt;/item&gt;&lt;item&gt;529&lt;/item&gt;&lt;item&gt;530&lt;/item&gt;&lt;item&gt;531&lt;/item&gt;&lt;item&gt;532&lt;/item&gt;&lt;item&gt;533&lt;/item&gt;&lt;item&gt;534&lt;/item&gt;&lt;item&gt;535&lt;/item&gt;&lt;item&gt;536&lt;/item&gt;&lt;item&gt;537&lt;/item&gt;&lt;item&gt;538&lt;/item&gt;&lt;item&gt;540&lt;/item&gt;&lt;item&gt;541&lt;/item&gt;&lt;item&gt;542&lt;/item&gt;&lt;item&gt;544&lt;/item&gt;&lt;item&gt;545&lt;/item&gt;&lt;item&gt;546&lt;/item&gt;&lt;item&gt;547&lt;/item&gt;&lt;item&gt;548&lt;/item&gt;&lt;item&gt;549&lt;/item&gt;&lt;item&gt;550&lt;/item&gt;&lt;item&gt;553&lt;/item&gt;&lt;item&gt;554&lt;/item&gt;&lt;item&gt;555&lt;/item&gt;&lt;item&gt;556&lt;/item&gt;&lt;item&gt;559&lt;/item&gt;&lt;item&gt;560&lt;/item&gt;&lt;item&gt;561&lt;/item&gt;&lt;item&gt;562&lt;/item&gt;&lt;item&gt;564&lt;/item&gt;&lt;item&gt;565&lt;/item&gt;&lt;item&gt;566&lt;/item&gt;&lt;item&gt;567&lt;/item&gt;&lt;item&gt;568&lt;/item&gt;&lt;item&gt;569&lt;/item&gt;&lt;item&gt;570&lt;/item&gt;&lt;item&gt;571&lt;/item&gt;&lt;item&gt;574&lt;/item&gt;&lt;item&gt;575&lt;/item&gt;&lt;item&gt;576&lt;/item&gt;&lt;item&gt;577&lt;/item&gt;&lt;item&gt;578&lt;/item&gt;&lt;item&gt;579&lt;/item&gt;&lt;item&gt;580&lt;/item&gt;&lt;item&gt;581&lt;/item&gt;&lt;item&gt;582&lt;/item&gt;&lt;item&gt;583&lt;/item&gt;&lt;item&gt;584&lt;/item&gt;&lt;item&gt;585&lt;/item&gt;&lt;item&gt;586&lt;/item&gt;&lt;item&gt;587&lt;/item&gt;&lt;item&gt;588&lt;/item&gt;&lt;item&gt;590&lt;/item&gt;&lt;item&gt;591&lt;/item&gt;&lt;item&gt;593&lt;/item&gt;&lt;item&gt;595&lt;/item&gt;&lt;item&gt;596&lt;/item&gt;&lt;item&gt;597&lt;/item&gt;&lt;item&gt;598&lt;/item&gt;&lt;item&gt;599&lt;/item&gt;&lt;item&gt;600&lt;/item&gt;&lt;item&gt;601&lt;/item&gt;&lt;item&gt;602&lt;/item&gt;&lt;item&gt;603&lt;/item&gt;&lt;item&gt;604&lt;/item&gt;&lt;item&gt;605&lt;/item&gt;&lt;item&gt;606&lt;/item&gt;&lt;item&gt;607&lt;/item&gt;&lt;item&gt;608&lt;/item&gt;&lt;item&gt;610&lt;/item&gt;&lt;item&gt;611&lt;/item&gt;&lt;item&gt;612&lt;/item&gt;&lt;item&gt;614&lt;/item&gt;&lt;item&gt;616&lt;/item&gt;&lt;item&gt;617&lt;/item&gt;&lt;item&gt;618&lt;/item&gt;&lt;item&gt;619&lt;/item&gt;&lt;item&gt;620&lt;/item&gt;&lt;item&gt;621&lt;/item&gt;&lt;item&gt;622&lt;/item&gt;&lt;item&gt;623&lt;/item&gt;&lt;item&gt;624&lt;/item&gt;&lt;item&gt;625&lt;/item&gt;&lt;item&gt;626&lt;/item&gt;&lt;item&gt;627&lt;/item&gt;&lt;item&gt;628&lt;/item&gt;&lt;item&gt;629&lt;/item&gt;&lt;item&gt;630&lt;/item&gt;&lt;item&gt;631&lt;/item&gt;&lt;item&gt;632&lt;/item&gt;&lt;item&gt;633&lt;/item&gt;&lt;item&gt;634&lt;/item&gt;&lt;item&gt;635&lt;/item&gt;&lt;item&gt;636&lt;/item&gt;&lt;item&gt;637&lt;/item&gt;&lt;item&gt;638&lt;/item&gt;&lt;item&gt;640&lt;/item&gt;&lt;item&gt;641&lt;/item&gt;&lt;item&gt;642&lt;/item&gt;&lt;item&gt;643&lt;/item&gt;&lt;item&gt;644&lt;/item&gt;&lt;item&gt;645&lt;/item&gt;&lt;item&gt;646&lt;/item&gt;&lt;item&gt;648&lt;/item&gt;&lt;item&gt;652&lt;/item&gt;&lt;item&gt;653&lt;/item&gt;&lt;item&gt;654&lt;/item&gt;&lt;/record-ids&gt;&lt;/item&gt;&lt;/Libraries&gt;"/>
  </w:docVars>
  <w:rsids>
    <w:rsidRoot w:val="002816AB"/>
    <w:rsid w:val="00002043"/>
    <w:rsid w:val="00002818"/>
    <w:rsid w:val="000033DE"/>
    <w:rsid w:val="00003E36"/>
    <w:rsid w:val="00004843"/>
    <w:rsid w:val="00012727"/>
    <w:rsid w:val="000135C9"/>
    <w:rsid w:val="0001400A"/>
    <w:rsid w:val="00014687"/>
    <w:rsid w:val="00015716"/>
    <w:rsid w:val="00016DC6"/>
    <w:rsid w:val="00021C41"/>
    <w:rsid w:val="000233A1"/>
    <w:rsid w:val="00027152"/>
    <w:rsid w:val="00032E31"/>
    <w:rsid w:val="00032EDC"/>
    <w:rsid w:val="00033F77"/>
    <w:rsid w:val="000340E6"/>
    <w:rsid w:val="00035018"/>
    <w:rsid w:val="00045541"/>
    <w:rsid w:val="00045646"/>
    <w:rsid w:val="0004569C"/>
    <w:rsid w:val="00045A43"/>
    <w:rsid w:val="00046A71"/>
    <w:rsid w:val="00050ABD"/>
    <w:rsid w:val="000601A9"/>
    <w:rsid w:val="00062668"/>
    <w:rsid w:val="00070EDB"/>
    <w:rsid w:val="00072561"/>
    <w:rsid w:val="00073436"/>
    <w:rsid w:val="000752D1"/>
    <w:rsid w:val="0008245B"/>
    <w:rsid w:val="000838F2"/>
    <w:rsid w:val="000840C0"/>
    <w:rsid w:val="00090839"/>
    <w:rsid w:val="00092C9F"/>
    <w:rsid w:val="000A04A0"/>
    <w:rsid w:val="000A0904"/>
    <w:rsid w:val="000A1F1F"/>
    <w:rsid w:val="000B039B"/>
    <w:rsid w:val="000B0C17"/>
    <w:rsid w:val="000B12B0"/>
    <w:rsid w:val="000B12B8"/>
    <w:rsid w:val="000B2EAA"/>
    <w:rsid w:val="000B4CFA"/>
    <w:rsid w:val="000B6EDB"/>
    <w:rsid w:val="000C0D35"/>
    <w:rsid w:val="000C5426"/>
    <w:rsid w:val="000C621C"/>
    <w:rsid w:val="000D0605"/>
    <w:rsid w:val="000D24C5"/>
    <w:rsid w:val="000D5216"/>
    <w:rsid w:val="000D5C76"/>
    <w:rsid w:val="000E2CCE"/>
    <w:rsid w:val="000E31E8"/>
    <w:rsid w:val="000E3F94"/>
    <w:rsid w:val="000E5AC4"/>
    <w:rsid w:val="000F0745"/>
    <w:rsid w:val="000F258A"/>
    <w:rsid w:val="000F2EC2"/>
    <w:rsid w:val="000F6DA5"/>
    <w:rsid w:val="001004CF"/>
    <w:rsid w:val="00100DC5"/>
    <w:rsid w:val="001013D6"/>
    <w:rsid w:val="0010266C"/>
    <w:rsid w:val="0010313F"/>
    <w:rsid w:val="00105013"/>
    <w:rsid w:val="00111072"/>
    <w:rsid w:val="00112A36"/>
    <w:rsid w:val="00113233"/>
    <w:rsid w:val="001162A5"/>
    <w:rsid w:val="00117875"/>
    <w:rsid w:val="001200E9"/>
    <w:rsid w:val="0012025C"/>
    <w:rsid w:val="00122DA2"/>
    <w:rsid w:val="00124439"/>
    <w:rsid w:val="00124B12"/>
    <w:rsid w:val="00124D23"/>
    <w:rsid w:val="00130CF6"/>
    <w:rsid w:val="001365F0"/>
    <w:rsid w:val="00136F98"/>
    <w:rsid w:val="00140CD7"/>
    <w:rsid w:val="00140D60"/>
    <w:rsid w:val="00141805"/>
    <w:rsid w:val="00142F25"/>
    <w:rsid w:val="001435BE"/>
    <w:rsid w:val="0014527A"/>
    <w:rsid w:val="001474D3"/>
    <w:rsid w:val="00150659"/>
    <w:rsid w:val="001523FA"/>
    <w:rsid w:val="0015449A"/>
    <w:rsid w:val="00154BE5"/>
    <w:rsid w:val="001615E4"/>
    <w:rsid w:val="00162E86"/>
    <w:rsid w:val="00165A57"/>
    <w:rsid w:val="00170C29"/>
    <w:rsid w:val="00171BBB"/>
    <w:rsid w:val="0017398F"/>
    <w:rsid w:val="00173F5D"/>
    <w:rsid w:val="00177952"/>
    <w:rsid w:val="00180180"/>
    <w:rsid w:val="00180FC7"/>
    <w:rsid w:val="00181437"/>
    <w:rsid w:val="00181B79"/>
    <w:rsid w:val="00182FFD"/>
    <w:rsid w:val="00183204"/>
    <w:rsid w:val="0018693D"/>
    <w:rsid w:val="00191581"/>
    <w:rsid w:val="00192C26"/>
    <w:rsid w:val="0019668D"/>
    <w:rsid w:val="001A3F37"/>
    <w:rsid w:val="001A6385"/>
    <w:rsid w:val="001B10C0"/>
    <w:rsid w:val="001B2C60"/>
    <w:rsid w:val="001B5C0B"/>
    <w:rsid w:val="001B69D3"/>
    <w:rsid w:val="001C5D63"/>
    <w:rsid w:val="001C660C"/>
    <w:rsid w:val="001C6646"/>
    <w:rsid w:val="001C6BB0"/>
    <w:rsid w:val="001C772E"/>
    <w:rsid w:val="001C795B"/>
    <w:rsid w:val="001D1321"/>
    <w:rsid w:val="001D4566"/>
    <w:rsid w:val="001D6425"/>
    <w:rsid w:val="001D6FE8"/>
    <w:rsid w:val="001E03E8"/>
    <w:rsid w:val="001E3CF3"/>
    <w:rsid w:val="001E4A64"/>
    <w:rsid w:val="001E5058"/>
    <w:rsid w:val="001F1026"/>
    <w:rsid w:val="001F4D1D"/>
    <w:rsid w:val="001F626A"/>
    <w:rsid w:val="001F738E"/>
    <w:rsid w:val="002009B7"/>
    <w:rsid w:val="00200CF9"/>
    <w:rsid w:val="00201B3A"/>
    <w:rsid w:val="00201CBB"/>
    <w:rsid w:val="002023B2"/>
    <w:rsid w:val="00202C5C"/>
    <w:rsid w:val="002045ED"/>
    <w:rsid w:val="0020552C"/>
    <w:rsid w:val="00205658"/>
    <w:rsid w:val="00205E0F"/>
    <w:rsid w:val="00210256"/>
    <w:rsid w:val="002138EA"/>
    <w:rsid w:val="00214140"/>
    <w:rsid w:val="00214506"/>
    <w:rsid w:val="00214EF4"/>
    <w:rsid w:val="00215A58"/>
    <w:rsid w:val="00215B02"/>
    <w:rsid w:val="002219B2"/>
    <w:rsid w:val="00221CE9"/>
    <w:rsid w:val="002247E2"/>
    <w:rsid w:val="00225210"/>
    <w:rsid w:val="00225289"/>
    <w:rsid w:val="0023059C"/>
    <w:rsid w:val="00233C74"/>
    <w:rsid w:val="002408EC"/>
    <w:rsid w:val="00242745"/>
    <w:rsid w:val="0024330A"/>
    <w:rsid w:val="00244AD4"/>
    <w:rsid w:val="00245FA9"/>
    <w:rsid w:val="00251BF1"/>
    <w:rsid w:val="00251F26"/>
    <w:rsid w:val="002535F9"/>
    <w:rsid w:val="00254E86"/>
    <w:rsid w:val="00255A1E"/>
    <w:rsid w:val="00255C60"/>
    <w:rsid w:val="002615D8"/>
    <w:rsid w:val="0026268D"/>
    <w:rsid w:val="002664BE"/>
    <w:rsid w:val="00267198"/>
    <w:rsid w:val="00270115"/>
    <w:rsid w:val="00270DC8"/>
    <w:rsid w:val="00276FEF"/>
    <w:rsid w:val="002816AB"/>
    <w:rsid w:val="00284E74"/>
    <w:rsid w:val="002851A4"/>
    <w:rsid w:val="00285913"/>
    <w:rsid w:val="0028726C"/>
    <w:rsid w:val="002901A4"/>
    <w:rsid w:val="00293266"/>
    <w:rsid w:val="002940DB"/>
    <w:rsid w:val="00295B4B"/>
    <w:rsid w:val="00296CD1"/>
    <w:rsid w:val="002A0676"/>
    <w:rsid w:val="002A0A9A"/>
    <w:rsid w:val="002A429F"/>
    <w:rsid w:val="002A4CF4"/>
    <w:rsid w:val="002A54B8"/>
    <w:rsid w:val="002A7E9E"/>
    <w:rsid w:val="002B12CA"/>
    <w:rsid w:val="002B2128"/>
    <w:rsid w:val="002B282C"/>
    <w:rsid w:val="002B3636"/>
    <w:rsid w:val="002B62E2"/>
    <w:rsid w:val="002B70B9"/>
    <w:rsid w:val="002C16C8"/>
    <w:rsid w:val="002C4263"/>
    <w:rsid w:val="002C4BF7"/>
    <w:rsid w:val="002C4D9B"/>
    <w:rsid w:val="002C5A98"/>
    <w:rsid w:val="002C719C"/>
    <w:rsid w:val="002D4CBD"/>
    <w:rsid w:val="002D4F66"/>
    <w:rsid w:val="002D50A3"/>
    <w:rsid w:val="002E1DC9"/>
    <w:rsid w:val="002E47A0"/>
    <w:rsid w:val="002E5067"/>
    <w:rsid w:val="002E5F37"/>
    <w:rsid w:val="002E630F"/>
    <w:rsid w:val="002E6D9D"/>
    <w:rsid w:val="002F18E4"/>
    <w:rsid w:val="002F2710"/>
    <w:rsid w:val="002F3E49"/>
    <w:rsid w:val="002F6801"/>
    <w:rsid w:val="002F6C18"/>
    <w:rsid w:val="002F7B5D"/>
    <w:rsid w:val="00300344"/>
    <w:rsid w:val="00301373"/>
    <w:rsid w:val="0030426F"/>
    <w:rsid w:val="00310A6D"/>
    <w:rsid w:val="00310DC6"/>
    <w:rsid w:val="0031574F"/>
    <w:rsid w:val="00316A35"/>
    <w:rsid w:val="00317481"/>
    <w:rsid w:val="00323C1F"/>
    <w:rsid w:val="003254C8"/>
    <w:rsid w:val="00331033"/>
    <w:rsid w:val="00332DCE"/>
    <w:rsid w:val="00332E3B"/>
    <w:rsid w:val="00333563"/>
    <w:rsid w:val="003344C1"/>
    <w:rsid w:val="0033465C"/>
    <w:rsid w:val="003355C9"/>
    <w:rsid w:val="00337FEB"/>
    <w:rsid w:val="00340025"/>
    <w:rsid w:val="00340829"/>
    <w:rsid w:val="00341F69"/>
    <w:rsid w:val="00342198"/>
    <w:rsid w:val="00346D22"/>
    <w:rsid w:val="00346FBC"/>
    <w:rsid w:val="003508E3"/>
    <w:rsid w:val="00351AF7"/>
    <w:rsid w:val="00352253"/>
    <w:rsid w:val="0035384C"/>
    <w:rsid w:val="00356206"/>
    <w:rsid w:val="0035635A"/>
    <w:rsid w:val="0036076E"/>
    <w:rsid w:val="00362BE3"/>
    <w:rsid w:val="00364732"/>
    <w:rsid w:val="00364C2B"/>
    <w:rsid w:val="00365B97"/>
    <w:rsid w:val="00366523"/>
    <w:rsid w:val="0036682C"/>
    <w:rsid w:val="00374BAC"/>
    <w:rsid w:val="003766C3"/>
    <w:rsid w:val="003774EE"/>
    <w:rsid w:val="00380210"/>
    <w:rsid w:val="003815ED"/>
    <w:rsid w:val="0038273C"/>
    <w:rsid w:val="0038287E"/>
    <w:rsid w:val="00384C11"/>
    <w:rsid w:val="00385456"/>
    <w:rsid w:val="00385668"/>
    <w:rsid w:val="00391610"/>
    <w:rsid w:val="00391F33"/>
    <w:rsid w:val="00393414"/>
    <w:rsid w:val="00394679"/>
    <w:rsid w:val="003A0ECB"/>
    <w:rsid w:val="003A12C6"/>
    <w:rsid w:val="003A3FF6"/>
    <w:rsid w:val="003A5B5B"/>
    <w:rsid w:val="003B3606"/>
    <w:rsid w:val="003B3DB7"/>
    <w:rsid w:val="003B47A8"/>
    <w:rsid w:val="003B5489"/>
    <w:rsid w:val="003B5E47"/>
    <w:rsid w:val="003C069B"/>
    <w:rsid w:val="003C0881"/>
    <w:rsid w:val="003C2D5B"/>
    <w:rsid w:val="003C744D"/>
    <w:rsid w:val="003C7A73"/>
    <w:rsid w:val="003C7C62"/>
    <w:rsid w:val="003D0348"/>
    <w:rsid w:val="003D51B4"/>
    <w:rsid w:val="003D7044"/>
    <w:rsid w:val="003E01B8"/>
    <w:rsid w:val="003E1260"/>
    <w:rsid w:val="003E3603"/>
    <w:rsid w:val="003E6E7F"/>
    <w:rsid w:val="003F2533"/>
    <w:rsid w:val="003F317C"/>
    <w:rsid w:val="003F3461"/>
    <w:rsid w:val="004000B7"/>
    <w:rsid w:val="004011F2"/>
    <w:rsid w:val="0040521F"/>
    <w:rsid w:val="00414570"/>
    <w:rsid w:val="00414FF8"/>
    <w:rsid w:val="0041508D"/>
    <w:rsid w:val="004177CE"/>
    <w:rsid w:val="00420102"/>
    <w:rsid w:val="0042111F"/>
    <w:rsid w:val="00421469"/>
    <w:rsid w:val="004253E3"/>
    <w:rsid w:val="00427F0C"/>
    <w:rsid w:val="00432BC2"/>
    <w:rsid w:val="004350DA"/>
    <w:rsid w:val="004374AB"/>
    <w:rsid w:val="004434F4"/>
    <w:rsid w:val="00444E4E"/>
    <w:rsid w:val="00450B55"/>
    <w:rsid w:val="00450DB5"/>
    <w:rsid w:val="004516A9"/>
    <w:rsid w:val="00454E80"/>
    <w:rsid w:val="00456B46"/>
    <w:rsid w:val="00456C42"/>
    <w:rsid w:val="00457E9C"/>
    <w:rsid w:val="00461617"/>
    <w:rsid w:val="00464A78"/>
    <w:rsid w:val="00465302"/>
    <w:rsid w:val="004660BB"/>
    <w:rsid w:val="00466241"/>
    <w:rsid w:val="0046734B"/>
    <w:rsid w:val="004719A4"/>
    <w:rsid w:val="00471AAD"/>
    <w:rsid w:val="00471F47"/>
    <w:rsid w:val="004727AC"/>
    <w:rsid w:val="00473A27"/>
    <w:rsid w:val="00477E80"/>
    <w:rsid w:val="00481A72"/>
    <w:rsid w:val="00482EAB"/>
    <w:rsid w:val="004906EB"/>
    <w:rsid w:val="00491CE2"/>
    <w:rsid w:val="004938EA"/>
    <w:rsid w:val="00496417"/>
    <w:rsid w:val="0049721F"/>
    <w:rsid w:val="00497C37"/>
    <w:rsid w:val="004A1D61"/>
    <w:rsid w:val="004A5835"/>
    <w:rsid w:val="004A5F3E"/>
    <w:rsid w:val="004A644E"/>
    <w:rsid w:val="004A66F5"/>
    <w:rsid w:val="004B0AB6"/>
    <w:rsid w:val="004B1D19"/>
    <w:rsid w:val="004B3796"/>
    <w:rsid w:val="004B3A06"/>
    <w:rsid w:val="004B470D"/>
    <w:rsid w:val="004B6C66"/>
    <w:rsid w:val="004B6C76"/>
    <w:rsid w:val="004B7815"/>
    <w:rsid w:val="004B7C26"/>
    <w:rsid w:val="004C227E"/>
    <w:rsid w:val="004C349A"/>
    <w:rsid w:val="004D1CC2"/>
    <w:rsid w:val="004D4575"/>
    <w:rsid w:val="004D6A7B"/>
    <w:rsid w:val="004E19DF"/>
    <w:rsid w:val="004E419E"/>
    <w:rsid w:val="004E58AB"/>
    <w:rsid w:val="004E6661"/>
    <w:rsid w:val="004E696D"/>
    <w:rsid w:val="004F3C23"/>
    <w:rsid w:val="00502328"/>
    <w:rsid w:val="00511A55"/>
    <w:rsid w:val="005137CB"/>
    <w:rsid w:val="00514181"/>
    <w:rsid w:val="005158E4"/>
    <w:rsid w:val="005163DB"/>
    <w:rsid w:val="00516619"/>
    <w:rsid w:val="00521E6D"/>
    <w:rsid w:val="005222FF"/>
    <w:rsid w:val="00525828"/>
    <w:rsid w:val="00530AE5"/>
    <w:rsid w:val="0053139A"/>
    <w:rsid w:val="00536261"/>
    <w:rsid w:val="0053690F"/>
    <w:rsid w:val="00536951"/>
    <w:rsid w:val="00537283"/>
    <w:rsid w:val="00537A8A"/>
    <w:rsid w:val="0054048D"/>
    <w:rsid w:val="00542B28"/>
    <w:rsid w:val="00546ADF"/>
    <w:rsid w:val="005507D7"/>
    <w:rsid w:val="00552E34"/>
    <w:rsid w:val="005538B5"/>
    <w:rsid w:val="005558DA"/>
    <w:rsid w:val="00555A23"/>
    <w:rsid w:val="00561084"/>
    <w:rsid w:val="0056271C"/>
    <w:rsid w:val="0056415A"/>
    <w:rsid w:val="005658A0"/>
    <w:rsid w:val="005730EA"/>
    <w:rsid w:val="005768B7"/>
    <w:rsid w:val="00577E64"/>
    <w:rsid w:val="00581BAF"/>
    <w:rsid w:val="00583789"/>
    <w:rsid w:val="00583A4E"/>
    <w:rsid w:val="00587C96"/>
    <w:rsid w:val="005905AA"/>
    <w:rsid w:val="00591166"/>
    <w:rsid w:val="00594597"/>
    <w:rsid w:val="00595898"/>
    <w:rsid w:val="00597638"/>
    <w:rsid w:val="00597FB1"/>
    <w:rsid w:val="005A1250"/>
    <w:rsid w:val="005A2492"/>
    <w:rsid w:val="005A2751"/>
    <w:rsid w:val="005A4B97"/>
    <w:rsid w:val="005A7C3C"/>
    <w:rsid w:val="005B09DD"/>
    <w:rsid w:val="005B0C12"/>
    <w:rsid w:val="005B46CF"/>
    <w:rsid w:val="005B4CA9"/>
    <w:rsid w:val="005B5A36"/>
    <w:rsid w:val="005C165A"/>
    <w:rsid w:val="005C57A3"/>
    <w:rsid w:val="005D32BD"/>
    <w:rsid w:val="005D7925"/>
    <w:rsid w:val="005E1AFF"/>
    <w:rsid w:val="005E411C"/>
    <w:rsid w:val="005E4653"/>
    <w:rsid w:val="005E7156"/>
    <w:rsid w:val="005E71F3"/>
    <w:rsid w:val="005F40A3"/>
    <w:rsid w:val="005F4971"/>
    <w:rsid w:val="005F608D"/>
    <w:rsid w:val="005F6F2C"/>
    <w:rsid w:val="005F7179"/>
    <w:rsid w:val="006006EF"/>
    <w:rsid w:val="00601E89"/>
    <w:rsid w:val="00603737"/>
    <w:rsid w:val="00605B5D"/>
    <w:rsid w:val="006102D6"/>
    <w:rsid w:val="00613A2D"/>
    <w:rsid w:val="006143CE"/>
    <w:rsid w:val="00616B1A"/>
    <w:rsid w:val="0061780A"/>
    <w:rsid w:val="00621FBE"/>
    <w:rsid w:val="00622DEE"/>
    <w:rsid w:val="006233A5"/>
    <w:rsid w:val="00625DE4"/>
    <w:rsid w:val="0062652F"/>
    <w:rsid w:val="006318BD"/>
    <w:rsid w:val="0063364F"/>
    <w:rsid w:val="00634489"/>
    <w:rsid w:val="00634CEF"/>
    <w:rsid w:val="00641EDA"/>
    <w:rsid w:val="00643A35"/>
    <w:rsid w:val="006449F1"/>
    <w:rsid w:val="006468F7"/>
    <w:rsid w:val="0064795D"/>
    <w:rsid w:val="00650EF0"/>
    <w:rsid w:val="00651754"/>
    <w:rsid w:val="0065284E"/>
    <w:rsid w:val="00653BFB"/>
    <w:rsid w:val="0065433B"/>
    <w:rsid w:val="006570E3"/>
    <w:rsid w:val="0066093F"/>
    <w:rsid w:val="00661A93"/>
    <w:rsid w:val="00662B58"/>
    <w:rsid w:val="00664B37"/>
    <w:rsid w:val="00671A20"/>
    <w:rsid w:val="00671A60"/>
    <w:rsid w:val="00671F90"/>
    <w:rsid w:val="006731D7"/>
    <w:rsid w:val="00673A68"/>
    <w:rsid w:val="00673B5D"/>
    <w:rsid w:val="0068046A"/>
    <w:rsid w:val="006815A5"/>
    <w:rsid w:val="0068319D"/>
    <w:rsid w:val="00684456"/>
    <w:rsid w:val="006853C0"/>
    <w:rsid w:val="00690529"/>
    <w:rsid w:val="006923C6"/>
    <w:rsid w:val="0069325B"/>
    <w:rsid w:val="0069328F"/>
    <w:rsid w:val="00697275"/>
    <w:rsid w:val="006A3A9C"/>
    <w:rsid w:val="006B06D2"/>
    <w:rsid w:val="006B5C1B"/>
    <w:rsid w:val="006B5F02"/>
    <w:rsid w:val="006B67F5"/>
    <w:rsid w:val="006B7F04"/>
    <w:rsid w:val="006C2D89"/>
    <w:rsid w:val="006C6B18"/>
    <w:rsid w:val="006C7D14"/>
    <w:rsid w:val="006D1EBF"/>
    <w:rsid w:val="006D335F"/>
    <w:rsid w:val="006D4C50"/>
    <w:rsid w:val="006D5409"/>
    <w:rsid w:val="006E2CB7"/>
    <w:rsid w:val="006E58C5"/>
    <w:rsid w:val="006F34E3"/>
    <w:rsid w:val="006F43AE"/>
    <w:rsid w:val="006F50A7"/>
    <w:rsid w:val="006F6B9F"/>
    <w:rsid w:val="00700397"/>
    <w:rsid w:val="00701A8F"/>
    <w:rsid w:val="0070287A"/>
    <w:rsid w:val="007052C2"/>
    <w:rsid w:val="00706767"/>
    <w:rsid w:val="00710C87"/>
    <w:rsid w:val="0071134A"/>
    <w:rsid w:val="007172DA"/>
    <w:rsid w:val="00717842"/>
    <w:rsid w:val="00726147"/>
    <w:rsid w:val="007272D7"/>
    <w:rsid w:val="007278FB"/>
    <w:rsid w:val="00732FE1"/>
    <w:rsid w:val="00734BB0"/>
    <w:rsid w:val="00735D72"/>
    <w:rsid w:val="00743300"/>
    <w:rsid w:val="007515DE"/>
    <w:rsid w:val="007516ED"/>
    <w:rsid w:val="007522A9"/>
    <w:rsid w:val="007527FC"/>
    <w:rsid w:val="007563C0"/>
    <w:rsid w:val="007573FB"/>
    <w:rsid w:val="00757BAF"/>
    <w:rsid w:val="00761856"/>
    <w:rsid w:val="00761DDE"/>
    <w:rsid w:val="00763558"/>
    <w:rsid w:val="007671D7"/>
    <w:rsid w:val="00771C58"/>
    <w:rsid w:val="007760D9"/>
    <w:rsid w:val="0078620D"/>
    <w:rsid w:val="00786CE5"/>
    <w:rsid w:val="007914E8"/>
    <w:rsid w:val="007933F8"/>
    <w:rsid w:val="00797395"/>
    <w:rsid w:val="007A5C70"/>
    <w:rsid w:val="007A73BA"/>
    <w:rsid w:val="007B160C"/>
    <w:rsid w:val="007B196A"/>
    <w:rsid w:val="007B30F7"/>
    <w:rsid w:val="007B3394"/>
    <w:rsid w:val="007B4498"/>
    <w:rsid w:val="007C1911"/>
    <w:rsid w:val="007C2E83"/>
    <w:rsid w:val="007C3B6D"/>
    <w:rsid w:val="007C41EB"/>
    <w:rsid w:val="007C50FE"/>
    <w:rsid w:val="007C6538"/>
    <w:rsid w:val="007C7865"/>
    <w:rsid w:val="007D113D"/>
    <w:rsid w:val="007D153F"/>
    <w:rsid w:val="007E1404"/>
    <w:rsid w:val="007E4F02"/>
    <w:rsid w:val="007E5806"/>
    <w:rsid w:val="007F1277"/>
    <w:rsid w:val="007F2930"/>
    <w:rsid w:val="00800F99"/>
    <w:rsid w:val="00801416"/>
    <w:rsid w:val="00802814"/>
    <w:rsid w:val="00803A90"/>
    <w:rsid w:val="00804AE7"/>
    <w:rsid w:val="0080705C"/>
    <w:rsid w:val="008107E4"/>
    <w:rsid w:val="00811293"/>
    <w:rsid w:val="00811E06"/>
    <w:rsid w:val="00811E47"/>
    <w:rsid w:val="00813AC5"/>
    <w:rsid w:val="00815A25"/>
    <w:rsid w:val="008178DF"/>
    <w:rsid w:val="00817959"/>
    <w:rsid w:val="008202BC"/>
    <w:rsid w:val="00820770"/>
    <w:rsid w:val="00822DA4"/>
    <w:rsid w:val="0082363D"/>
    <w:rsid w:val="00823843"/>
    <w:rsid w:val="00823B89"/>
    <w:rsid w:val="00824E7C"/>
    <w:rsid w:val="00826623"/>
    <w:rsid w:val="008305D2"/>
    <w:rsid w:val="008346AC"/>
    <w:rsid w:val="008352AE"/>
    <w:rsid w:val="00836629"/>
    <w:rsid w:val="00841AB6"/>
    <w:rsid w:val="00843268"/>
    <w:rsid w:val="00845D96"/>
    <w:rsid w:val="008507DC"/>
    <w:rsid w:val="00850DB2"/>
    <w:rsid w:val="00853536"/>
    <w:rsid w:val="00856B56"/>
    <w:rsid w:val="00857FD3"/>
    <w:rsid w:val="008637CA"/>
    <w:rsid w:val="0086659D"/>
    <w:rsid w:val="00867DE2"/>
    <w:rsid w:val="00870DF9"/>
    <w:rsid w:val="00870E25"/>
    <w:rsid w:val="00871114"/>
    <w:rsid w:val="00872770"/>
    <w:rsid w:val="00873599"/>
    <w:rsid w:val="008777E7"/>
    <w:rsid w:val="0088273D"/>
    <w:rsid w:val="008873D3"/>
    <w:rsid w:val="0088750C"/>
    <w:rsid w:val="008949A1"/>
    <w:rsid w:val="00897825"/>
    <w:rsid w:val="00897F06"/>
    <w:rsid w:val="008A0B30"/>
    <w:rsid w:val="008A365A"/>
    <w:rsid w:val="008A6990"/>
    <w:rsid w:val="008B11B3"/>
    <w:rsid w:val="008B18E0"/>
    <w:rsid w:val="008B4A69"/>
    <w:rsid w:val="008B4CA3"/>
    <w:rsid w:val="008C105E"/>
    <w:rsid w:val="008C29DF"/>
    <w:rsid w:val="008C3760"/>
    <w:rsid w:val="008C5A13"/>
    <w:rsid w:val="008C6E66"/>
    <w:rsid w:val="008C7FBC"/>
    <w:rsid w:val="008D1D20"/>
    <w:rsid w:val="008E04AA"/>
    <w:rsid w:val="008E17F1"/>
    <w:rsid w:val="008E24AD"/>
    <w:rsid w:val="008E409A"/>
    <w:rsid w:val="008E52E3"/>
    <w:rsid w:val="008F22D1"/>
    <w:rsid w:val="00902639"/>
    <w:rsid w:val="009039A7"/>
    <w:rsid w:val="009066EC"/>
    <w:rsid w:val="00912C40"/>
    <w:rsid w:val="00915B36"/>
    <w:rsid w:val="009161CD"/>
    <w:rsid w:val="009162B3"/>
    <w:rsid w:val="00920B68"/>
    <w:rsid w:val="00925003"/>
    <w:rsid w:val="0092622F"/>
    <w:rsid w:val="00932042"/>
    <w:rsid w:val="009352D5"/>
    <w:rsid w:val="00935F25"/>
    <w:rsid w:val="0093738C"/>
    <w:rsid w:val="00937A49"/>
    <w:rsid w:val="00943F93"/>
    <w:rsid w:val="00944F74"/>
    <w:rsid w:val="00945CE4"/>
    <w:rsid w:val="00946607"/>
    <w:rsid w:val="0094752D"/>
    <w:rsid w:val="0095109B"/>
    <w:rsid w:val="009602ED"/>
    <w:rsid w:val="009638CA"/>
    <w:rsid w:val="00964DD4"/>
    <w:rsid w:val="0096504D"/>
    <w:rsid w:val="00966B55"/>
    <w:rsid w:val="00967341"/>
    <w:rsid w:val="00970CF1"/>
    <w:rsid w:val="00973196"/>
    <w:rsid w:val="00974273"/>
    <w:rsid w:val="009754D6"/>
    <w:rsid w:val="009779BB"/>
    <w:rsid w:val="0098202C"/>
    <w:rsid w:val="00984063"/>
    <w:rsid w:val="00986CAF"/>
    <w:rsid w:val="00991258"/>
    <w:rsid w:val="00993EFF"/>
    <w:rsid w:val="009941F9"/>
    <w:rsid w:val="0099784D"/>
    <w:rsid w:val="009A02CD"/>
    <w:rsid w:val="009A0B96"/>
    <w:rsid w:val="009A229B"/>
    <w:rsid w:val="009A3B58"/>
    <w:rsid w:val="009A7BA7"/>
    <w:rsid w:val="009B1141"/>
    <w:rsid w:val="009B47BB"/>
    <w:rsid w:val="009B77FE"/>
    <w:rsid w:val="009C0600"/>
    <w:rsid w:val="009C6F1A"/>
    <w:rsid w:val="009D15B1"/>
    <w:rsid w:val="009E032B"/>
    <w:rsid w:val="009E1962"/>
    <w:rsid w:val="009E1B0C"/>
    <w:rsid w:val="009E3DB8"/>
    <w:rsid w:val="009E565A"/>
    <w:rsid w:val="009E5CD8"/>
    <w:rsid w:val="009E7680"/>
    <w:rsid w:val="009F3217"/>
    <w:rsid w:val="009F6326"/>
    <w:rsid w:val="00A000B8"/>
    <w:rsid w:val="00A01416"/>
    <w:rsid w:val="00A05DC2"/>
    <w:rsid w:val="00A100B6"/>
    <w:rsid w:val="00A11B24"/>
    <w:rsid w:val="00A12007"/>
    <w:rsid w:val="00A1505A"/>
    <w:rsid w:val="00A15A6F"/>
    <w:rsid w:val="00A16167"/>
    <w:rsid w:val="00A22988"/>
    <w:rsid w:val="00A25112"/>
    <w:rsid w:val="00A255E3"/>
    <w:rsid w:val="00A25EF9"/>
    <w:rsid w:val="00A2604B"/>
    <w:rsid w:val="00A26D09"/>
    <w:rsid w:val="00A3181A"/>
    <w:rsid w:val="00A3413F"/>
    <w:rsid w:val="00A35580"/>
    <w:rsid w:val="00A410CA"/>
    <w:rsid w:val="00A41E64"/>
    <w:rsid w:val="00A43EF1"/>
    <w:rsid w:val="00A44DD2"/>
    <w:rsid w:val="00A477EB"/>
    <w:rsid w:val="00A47A10"/>
    <w:rsid w:val="00A50469"/>
    <w:rsid w:val="00A5237A"/>
    <w:rsid w:val="00A53250"/>
    <w:rsid w:val="00A54E02"/>
    <w:rsid w:val="00A55820"/>
    <w:rsid w:val="00A57C58"/>
    <w:rsid w:val="00A60774"/>
    <w:rsid w:val="00A60BCB"/>
    <w:rsid w:val="00A625B3"/>
    <w:rsid w:val="00A63F73"/>
    <w:rsid w:val="00A64DAD"/>
    <w:rsid w:val="00A65012"/>
    <w:rsid w:val="00A65951"/>
    <w:rsid w:val="00A66603"/>
    <w:rsid w:val="00A66C1A"/>
    <w:rsid w:val="00A67D84"/>
    <w:rsid w:val="00A71B24"/>
    <w:rsid w:val="00A72768"/>
    <w:rsid w:val="00A734D0"/>
    <w:rsid w:val="00A8060B"/>
    <w:rsid w:val="00A815A6"/>
    <w:rsid w:val="00A8192E"/>
    <w:rsid w:val="00A82F37"/>
    <w:rsid w:val="00A87BDB"/>
    <w:rsid w:val="00A94B47"/>
    <w:rsid w:val="00A94BDD"/>
    <w:rsid w:val="00A94EC2"/>
    <w:rsid w:val="00AA3E97"/>
    <w:rsid w:val="00AA6718"/>
    <w:rsid w:val="00AB250C"/>
    <w:rsid w:val="00AB473A"/>
    <w:rsid w:val="00AB47B1"/>
    <w:rsid w:val="00AC7E53"/>
    <w:rsid w:val="00AD3230"/>
    <w:rsid w:val="00AD5EF1"/>
    <w:rsid w:val="00AD7256"/>
    <w:rsid w:val="00AE0C4B"/>
    <w:rsid w:val="00AE1262"/>
    <w:rsid w:val="00AE23C6"/>
    <w:rsid w:val="00AE399F"/>
    <w:rsid w:val="00AF0958"/>
    <w:rsid w:val="00AF2452"/>
    <w:rsid w:val="00AF56D5"/>
    <w:rsid w:val="00B03D63"/>
    <w:rsid w:val="00B04354"/>
    <w:rsid w:val="00B0712F"/>
    <w:rsid w:val="00B0779B"/>
    <w:rsid w:val="00B12598"/>
    <w:rsid w:val="00B14545"/>
    <w:rsid w:val="00B14C0F"/>
    <w:rsid w:val="00B16C4D"/>
    <w:rsid w:val="00B176F7"/>
    <w:rsid w:val="00B20FBB"/>
    <w:rsid w:val="00B2631B"/>
    <w:rsid w:val="00B3173C"/>
    <w:rsid w:val="00B319A5"/>
    <w:rsid w:val="00B31CBD"/>
    <w:rsid w:val="00B35607"/>
    <w:rsid w:val="00B4126A"/>
    <w:rsid w:val="00B427ED"/>
    <w:rsid w:val="00B432B2"/>
    <w:rsid w:val="00B4349D"/>
    <w:rsid w:val="00B52A7A"/>
    <w:rsid w:val="00B5380C"/>
    <w:rsid w:val="00B54DA9"/>
    <w:rsid w:val="00B566C8"/>
    <w:rsid w:val="00B5772A"/>
    <w:rsid w:val="00B62014"/>
    <w:rsid w:val="00B62E74"/>
    <w:rsid w:val="00B644F8"/>
    <w:rsid w:val="00B64A76"/>
    <w:rsid w:val="00B664A7"/>
    <w:rsid w:val="00B71104"/>
    <w:rsid w:val="00B76969"/>
    <w:rsid w:val="00B77763"/>
    <w:rsid w:val="00B81A0C"/>
    <w:rsid w:val="00B834B4"/>
    <w:rsid w:val="00B92458"/>
    <w:rsid w:val="00B92F9F"/>
    <w:rsid w:val="00BA027C"/>
    <w:rsid w:val="00BA2642"/>
    <w:rsid w:val="00BA2F07"/>
    <w:rsid w:val="00BA2F25"/>
    <w:rsid w:val="00BA480E"/>
    <w:rsid w:val="00BA6F0C"/>
    <w:rsid w:val="00BB4885"/>
    <w:rsid w:val="00BB5BE5"/>
    <w:rsid w:val="00BC3333"/>
    <w:rsid w:val="00BC4A0E"/>
    <w:rsid w:val="00BD14A8"/>
    <w:rsid w:val="00BD21BE"/>
    <w:rsid w:val="00BD4F00"/>
    <w:rsid w:val="00BD5895"/>
    <w:rsid w:val="00BD7DD6"/>
    <w:rsid w:val="00BE2610"/>
    <w:rsid w:val="00BE2FBA"/>
    <w:rsid w:val="00BE4294"/>
    <w:rsid w:val="00BE4DD3"/>
    <w:rsid w:val="00BE653C"/>
    <w:rsid w:val="00BE6837"/>
    <w:rsid w:val="00BF2E47"/>
    <w:rsid w:val="00BF306B"/>
    <w:rsid w:val="00BF437A"/>
    <w:rsid w:val="00BF63C1"/>
    <w:rsid w:val="00C007CA"/>
    <w:rsid w:val="00C03E9B"/>
    <w:rsid w:val="00C04C34"/>
    <w:rsid w:val="00C05F70"/>
    <w:rsid w:val="00C06554"/>
    <w:rsid w:val="00C103B3"/>
    <w:rsid w:val="00C104DB"/>
    <w:rsid w:val="00C15CB8"/>
    <w:rsid w:val="00C16BD4"/>
    <w:rsid w:val="00C16C12"/>
    <w:rsid w:val="00C1772F"/>
    <w:rsid w:val="00C20D20"/>
    <w:rsid w:val="00C213BD"/>
    <w:rsid w:val="00C22793"/>
    <w:rsid w:val="00C234FA"/>
    <w:rsid w:val="00C235D1"/>
    <w:rsid w:val="00C27E9E"/>
    <w:rsid w:val="00C27F7C"/>
    <w:rsid w:val="00C30783"/>
    <w:rsid w:val="00C32B6B"/>
    <w:rsid w:val="00C46352"/>
    <w:rsid w:val="00C477AC"/>
    <w:rsid w:val="00C479D6"/>
    <w:rsid w:val="00C55728"/>
    <w:rsid w:val="00C57918"/>
    <w:rsid w:val="00C57E6D"/>
    <w:rsid w:val="00C603A5"/>
    <w:rsid w:val="00C621DA"/>
    <w:rsid w:val="00C63A9B"/>
    <w:rsid w:val="00C64116"/>
    <w:rsid w:val="00C65B9F"/>
    <w:rsid w:val="00C70B73"/>
    <w:rsid w:val="00C73FFF"/>
    <w:rsid w:val="00C77BA0"/>
    <w:rsid w:val="00C92034"/>
    <w:rsid w:val="00C929D8"/>
    <w:rsid w:val="00C93ED2"/>
    <w:rsid w:val="00C9644E"/>
    <w:rsid w:val="00C9665E"/>
    <w:rsid w:val="00C97664"/>
    <w:rsid w:val="00C97807"/>
    <w:rsid w:val="00CA0F97"/>
    <w:rsid w:val="00CA21DB"/>
    <w:rsid w:val="00CA3D77"/>
    <w:rsid w:val="00CA6634"/>
    <w:rsid w:val="00CB0DBF"/>
    <w:rsid w:val="00CB3F44"/>
    <w:rsid w:val="00CB4C10"/>
    <w:rsid w:val="00CC0AD2"/>
    <w:rsid w:val="00CC0C8A"/>
    <w:rsid w:val="00CC17B6"/>
    <w:rsid w:val="00CC1FAD"/>
    <w:rsid w:val="00CC32E2"/>
    <w:rsid w:val="00CC5FFD"/>
    <w:rsid w:val="00CD0BB9"/>
    <w:rsid w:val="00CD20A1"/>
    <w:rsid w:val="00CD5C80"/>
    <w:rsid w:val="00CD637A"/>
    <w:rsid w:val="00CE2227"/>
    <w:rsid w:val="00CF26FA"/>
    <w:rsid w:val="00CF36FC"/>
    <w:rsid w:val="00D002E3"/>
    <w:rsid w:val="00D0614E"/>
    <w:rsid w:val="00D062C9"/>
    <w:rsid w:val="00D124CF"/>
    <w:rsid w:val="00D13261"/>
    <w:rsid w:val="00D14D63"/>
    <w:rsid w:val="00D24687"/>
    <w:rsid w:val="00D2534B"/>
    <w:rsid w:val="00D41C16"/>
    <w:rsid w:val="00D42987"/>
    <w:rsid w:val="00D42D08"/>
    <w:rsid w:val="00D4523F"/>
    <w:rsid w:val="00D472C3"/>
    <w:rsid w:val="00D472CC"/>
    <w:rsid w:val="00D47BAC"/>
    <w:rsid w:val="00D50100"/>
    <w:rsid w:val="00D50F49"/>
    <w:rsid w:val="00D519C2"/>
    <w:rsid w:val="00D530E4"/>
    <w:rsid w:val="00D57F9B"/>
    <w:rsid w:val="00D60E4A"/>
    <w:rsid w:val="00D652EE"/>
    <w:rsid w:val="00D65E82"/>
    <w:rsid w:val="00D71C08"/>
    <w:rsid w:val="00D86EA5"/>
    <w:rsid w:val="00D910BF"/>
    <w:rsid w:val="00D91F02"/>
    <w:rsid w:val="00D95F54"/>
    <w:rsid w:val="00D96897"/>
    <w:rsid w:val="00DA0630"/>
    <w:rsid w:val="00DA09DC"/>
    <w:rsid w:val="00DA1A1F"/>
    <w:rsid w:val="00DA4564"/>
    <w:rsid w:val="00DA52C2"/>
    <w:rsid w:val="00DA57DF"/>
    <w:rsid w:val="00DB0E8B"/>
    <w:rsid w:val="00DB2077"/>
    <w:rsid w:val="00DB420B"/>
    <w:rsid w:val="00DB50E8"/>
    <w:rsid w:val="00DB5A0C"/>
    <w:rsid w:val="00DB6295"/>
    <w:rsid w:val="00DB7F0D"/>
    <w:rsid w:val="00DC0E5E"/>
    <w:rsid w:val="00DC7D3D"/>
    <w:rsid w:val="00DD00A9"/>
    <w:rsid w:val="00DD1137"/>
    <w:rsid w:val="00DD4179"/>
    <w:rsid w:val="00DD4796"/>
    <w:rsid w:val="00DD79FA"/>
    <w:rsid w:val="00DE1CF9"/>
    <w:rsid w:val="00DE2E92"/>
    <w:rsid w:val="00DE6378"/>
    <w:rsid w:val="00DE69FE"/>
    <w:rsid w:val="00DF031D"/>
    <w:rsid w:val="00DF35A5"/>
    <w:rsid w:val="00DF3EEC"/>
    <w:rsid w:val="00DF5241"/>
    <w:rsid w:val="00DF7121"/>
    <w:rsid w:val="00E01DF2"/>
    <w:rsid w:val="00E026E9"/>
    <w:rsid w:val="00E044A7"/>
    <w:rsid w:val="00E10444"/>
    <w:rsid w:val="00E11D9C"/>
    <w:rsid w:val="00E12F59"/>
    <w:rsid w:val="00E13268"/>
    <w:rsid w:val="00E13E77"/>
    <w:rsid w:val="00E2030A"/>
    <w:rsid w:val="00E2077F"/>
    <w:rsid w:val="00E21941"/>
    <w:rsid w:val="00E22B2D"/>
    <w:rsid w:val="00E22CAF"/>
    <w:rsid w:val="00E23C17"/>
    <w:rsid w:val="00E27778"/>
    <w:rsid w:val="00E30759"/>
    <w:rsid w:val="00E307C6"/>
    <w:rsid w:val="00E32B88"/>
    <w:rsid w:val="00E34F8C"/>
    <w:rsid w:val="00E35C61"/>
    <w:rsid w:val="00E4080D"/>
    <w:rsid w:val="00E41920"/>
    <w:rsid w:val="00E42851"/>
    <w:rsid w:val="00E4515B"/>
    <w:rsid w:val="00E46055"/>
    <w:rsid w:val="00E460CD"/>
    <w:rsid w:val="00E50687"/>
    <w:rsid w:val="00E514E6"/>
    <w:rsid w:val="00E52868"/>
    <w:rsid w:val="00E53938"/>
    <w:rsid w:val="00E53AC1"/>
    <w:rsid w:val="00E54EEB"/>
    <w:rsid w:val="00E55389"/>
    <w:rsid w:val="00E56D87"/>
    <w:rsid w:val="00E57CCD"/>
    <w:rsid w:val="00E6046F"/>
    <w:rsid w:val="00E6081A"/>
    <w:rsid w:val="00E60E43"/>
    <w:rsid w:val="00E62B9B"/>
    <w:rsid w:val="00E63C43"/>
    <w:rsid w:val="00E63FDF"/>
    <w:rsid w:val="00E6508D"/>
    <w:rsid w:val="00E718CE"/>
    <w:rsid w:val="00E71C68"/>
    <w:rsid w:val="00E726B6"/>
    <w:rsid w:val="00E735D5"/>
    <w:rsid w:val="00E77A34"/>
    <w:rsid w:val="00E77EC2"/>
    <w:rsid w:val="00E83D8C"/>
    <w:rsid w:val="00E85088"/>
    <w:rsid w:val="00E86D5E"/>
    <w:rsid w:val="00E94A29"/>
    <w:rsid w:val="00E94DA7"/>
    <w:rsid w:val="00E97D82"/>
    <w:rsid w:val="00EA156D"/>
    <w:rsid w:val="00EA3987"/>
    <w:rsid w:val="00EA4BDA"/>
    <w:rsid w:val="00EA4CF8"/>
    <w:rsid w:val="00EA6226"/>
    <w:rsid w:val="00EA7E51"/>
    <w:rsid w:val="00EC053B"/>
    <w:rsid w:val="00EC1A2C"/>
    <w:rsid w:val="00EC63F8"/>
    <w:rsid w:val="00ED12D9"/>
    <w:rsid w:val="00ED2859"/>
    <w:rsid w:val="00ED65D8"/>
    <w:rsid w:val="00ED6657"/>
    <w:rsid w:val="00EE068B"/>
    <w:rsid w:val="00EE3FD0"/>
    <w:rsid w:val="00EE45F4"/>
    <w:rsid w:val="00EE6A62"/>
    <w:rsid w:val="00EE76AC"/>
    <w:rsid w:val="00EF2FCB"/>
    <w:rsid w:val="00EF3C36"/>
    <w:rsid w:val="00EF610D"/>
    <w:rsid w:val="00F00FA2"/>
    <w:rsid w:val="00F01410"/>
    <w:rsid w:val="00F03E6D"/>
    <w:rsid w:val="00F12989"/>
    <w:rsid w:val="00F12AC1"/>
    <w:rsid w:val="00F17C56"/>
    <w:rsid w:val="00F21639"/>
    <w:rsid w:val="00F24D1C"/>
    <w:rsid w:val="00F253EC"/>
    <w:rsid w:val="00F25922"/>
    <w:rsid w:val="00F2637E"/>
    <w:rsid w:val="00F2730A"/>
    <w:rsid w:val="00F27AE0"/>
    <w:rsid w:val="00F320D1"/>
    <w:rsid w:val="00F33CD7"/>
    <w:rsid w:val="00F357C5"/>
    <w:rsid w:val="00F365E8"/>
    <w:rsid w:val="00F3746A"/>
    <w:rsid w:val="00F37F44"/>
    <w:rsid w:val="00F40387"/>
    <w:rsid w:val="00F410C5"/>
    <w:rsid w:val="00F44D5F"/>
    <w:rsid w:val="00F51DF6"/>
    <w:rsid w:val="00F547E7"/>
    <w:rsid w:val="00F57849"/>
    <w:rsid w:val="00F63AEB"/>
    <w:rsid w:val="00F65176"/>
    <w:rsid w:val="00F7331D"/>
    <w:rsid w:val="00F73997"/>
    <w:rsid w:val="00F73B43"/>
    <w:rsid w:val="00F775E8"/>
    <w:rsid w:val="00F814BB"/>
    <w:rsid w:val="00F81DA4"/>
    <w:rsid w:val="00F832FB"/>
    <w:rsid w:val="00F859E1"/>
    <w:rsid w:val="00F90E32"/>
    <w:rsid w:val="00F91E6F"/>
    <w:rsid w:val="00F9340B"/>
    <w:rsid w:val="00F97767"/>
    <w:rsid w:val="00F97A44"/>
    <w:rsid w:val="00FA3251"/>
    <w:rsid w:val="00FA3D96"/>
    <w:rsid w:val="00FA4902"/>
    <w:rsid w:val="00FA66AA"/>
    <w:rsid w:val="00FB10B8"/>
    <w:rsid w:val="00FB3273"/>
    <w:rsid w:val="00FB5E4F"/>
    <w:rsid w:val="00FB6A75"/>
    <w:rsid w:val="00FB76DE"/>
    <w:rsid w:val="00FB770F"/>
    <w:rsid w:val="00FB7C01"/>
    <w:rsid w:val="00FC0839"/>
    <w:rsid w:val="00FC1230"/>
    <w:rsid w:val="00FC21BF"/>
    <w:rsid w:val="00FC2FAB"/>
    <w:rsid w:val="00FC616E"/>
    <w:rsid w:val="00FD0CF0"/>
    <w:rsid w:val="00FD35D4"/>
    <w:rsid w:val="00FE0E41"/>
    <w:rsid w:val="00FE1CE9"/>
    <w:rsid w:val="00FE3F89"/>
    <w:rsid w:val="00FE479F"/>
    <w:rsid w:val="00FF3B04"/>
    <w:rsid w:val="00FF4AF7"/>
    <w:rsid w:val="00FF57E5"/>
    <w:rsid w:val="00FF640A"/>
    <w:rsid w:val="00FF70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EDFB17"/>
  <w15:docId w15:val="{BFBD7EAF-8E72-4E3E-8EBE-198AE60E6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aliases w:val="References"/>
    <w:qFormat/>
    <w:rsid w:val="00664B37"/>
    <w:pPr>
      <w:spacing w:before="240" w:after="280" w:line="288" w:lineRule="auto"/>
    </w:pPr>
    <w:rPr>
      <w:rFonts w:ascii="Times New Roman" w:eastAsiaTheme="minorEastAsia" w:hAnsi="Times New Roman"/>
      <w:color w:val="000000" w:themeColor="text1"/>
      <w:sz w:val="24"/>
      <w:szCs w:val="20"/>
    </w:rPr>
  </w:style>
  <w:style w:type="paragraph" w:styleId="Heading1">
    <w:name w:val="heading 1"/>
    <w:basedOn w:val="Normal"/>
    <w:next w:val="Normal"/>
    <w:link w:val="Heading1Char"/>
    <w:autoRedefine/>
    <w:uiPriority w:val="9"/>
    <w:qFormat/>
    <w:rsid w:val="00003E36"/>
    <w:pPr>
      <w:keepNext/>
      <w:keepLines/>
      <w:spacing w:after="0"/>
      <w:jc w:val="center"/>
      <w:outlineLvl w:val="0"/>
    </w:pPr>
    <w:rPr>
      <w:rFonts w:eastAsia="Times New Roman" w:cstheme="majorBidi"/>
      <w:b/>
      <w:sz w:val="36"/>
      <w:szCs w:val="36"/>
    </w:rPr>
  </w:style>
  <w:style w:type="paragraph" w:styleId="Heading2">
    <w:name w:val="heading 2"/>
    <w:basedOn w:val="Normal"/>
    <w:next w:val="Normal"/>
    <w:link w:val="Heading2Char"/>
    <w:autoRedefine/>
    <w:uiPriority w:val="9"/>
    <w:unhideWhenUsed/>
    <w:qFormat/>
    <w:rsid w:val="00140CD7"/>
    <w:pPr>
      <w:keepNext/>
      <w:keepLines/>
      <w:spacing w:before="520" w:after="0" w:line="480" w:lineRule="auto"/>
      <w:outlineLvl w:val="1"/>
    </w:pPr>
    <w:rPr>
      <w:rFonts w:eastAsiaTheme="majorEastAsia" w:cs="Times New Roman"/>
      <w:b/>
      <w:color w:val="0E101A"/>
      <w:sz w:val="28"/>
      <w:szCs w:val="28"/>
    </w:rPr>
  </w:style>
  <w:style w:type="paragraph" w:styleId="Heading3">
    <w:name w:val="heading 3"/>
    <w:basedOn w:val="Normal"/>
    <w:next w:val="Normal"/>
    <w:link w:val="Heading3Char"/>
    <w:autoRedefine/>
    <w:uiPriority w:val="9"/>
    <w:unhideWhenUsed/>
    <w:qFormat/>
    <w:rsid w:val="00317481"/>
    <w:pPr>
      <w:keepNext/>
      <w:keepLines/>
      <w:tabs>
        <w:tab w:val="left" w:pos="2970"/>
      </w:tabs>
      <w:spacing w:after="0" w:line="480" w:lineRule="auto"/>
      <w:outlineLvl w:val="2"/>
    </w:pPr>
    <w:rPr>
      <w:rFonts w:eastAsiaTheme="majorEastAsia"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3E36"/>
    <w:rPr>
      <w:rFonts w:ascii="Times New Roman" w:eastAsia="Times New Roman" w:hAnsi="Times New Roman" w:cstheme="majorBidi"/>
      <w:b/>
      <w:color w:val="000000" w:themeColor="text1"/>
      <w:sz w:val="36"/>
      <w:szCs w:val="36"/>
    </w:rPr>
  </w:style>
  <w:style w:type="character" w:customStyle="1" w:styleId="Heading2Char">
    <w:name w:val="Heading 2 Char"/>
    <w:basedOn w:val="DefaultParagraphFont"/>
    <w:link w:val="Heading2"/>
    <w:uiPriority w:val="9"/>
    <w:rsid w:val="00140CD7"/>
    <w:rPr>
      <w:rFonts w:ascii="Times New Roman" w:eastAsiaTheme="majorEastAsia" w:hAnsi="Times New Roman" w:cs="Times New Roman"/>
      <w:b/>
      <w:color w:val="0E101A"/>
      <w:sz w:val="28"/>
      <w:szCs w:val="28"/>
    </w:rPr>
  </w:style>
  <w:style w:type="character" w:customStyle="1" w:styleId="Heading3Char">
    <w:name w:val="Heading 3 Char"/>
    <w:basedOn w:val="DefaultParagraphFont"/>
    <w:link w:val="Heading3"/>
    <w:uiPriority w:val="9"/>
    <w:rsid w:val="00317481"/>
    <w:rPr>
      <w:rFonts w:ascii="Times New Roman" w:eastAsiaTheme="majorEastAsia" w:hAnsi="Times New Roman" w:cstheme="majorBidi"/>
      <w:b/>
      <w:color w:val="000000" w:themeColor="text1"/>
      <w:sz w:val="24"/>
      <w:szCs w:val="24"/>
    </w:rPr>
  </w:style>
  <w:style w:type="paragraph" w:styleId="Header">
    <w:name w:val="header"/>
    <w:basedOn w:val="Normal"/>
    <w:link w:val="HeaderChar"/>
    <w:uiPriority w:val="99"/>
    <w:unhideWhenUsed/>
    <w:rsid w:val="003355C9"/>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3355C9"/>
    <w:rPr>
      <w:rFonts w:eastAsiaTheme="minorEastAsia"/>
      <w:color w:val="000000" w:themeColor="text1"/>
      <w:szCs w:val="20"/>
    </w:rPr>
  </w:style>
  <w:style w:type="paragraph" w:styleId="Footer">
    <w:name w:val="footer"/>
    <w:basedOn w:val="Normal"/>
    <w:link w:val="FooterChar"/>
    <w:uiPriority w:val="99"/>
    <w:unhideWhenUsed/>
    <w:rsid w:val="003355C9"/>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3355C9"/>
    <w:rPr>
      <w:rFonts w:eastAsiaTheme="minorEastAsia"/>
      <w:color w:val="000000" w:themeColor="text1"/>
      <w:szCs w:val="20"/>
    </w:rPr>
  </w:style>
  <w:style w:type="character" w:styleId="CommentReference">
    <w:name w:val="annotation reference"/>
    <w:basedOn w:val="DefaultParagraphFont"/>
    <w:uiPriority w:val="99"/>
    <w:semiHidden/>
    <w:unhideWhenUsed/>
    <w:rsid w:val="00D47BAC"/>
    <w:rPr>
      <w:sz w:val="16"/>
      <w:szCs w:val="16"/>
    </w:rPr>
  </w:style>
  <w:style w:type="paragraph" w:styleId="CommentText">
    <w:name w:val="annotation text"/>
    <w:basedOn w:val="Normal"/>
    <w:link w:val="CommentTextChar"/>
    <w:uiPriority w:val="99"/>
    <w:semiHidden/>
    <w:unhideWhenUsed/>
    <w:rsid w:val="00D47BAC"/>
    <w:pPr>
      <w:spacing w:before="0" w:after="160" w:line="240" w:lineRule="auto"/>
    </w:pPr>
    <w:rPr>
      <w:rFonts w:eastAsiaTheme="minorHAnsi"/>
      <w:color w:val="auto"/>
      <w:sz w:val="20"/>
    </w:rPr>
  </w:style>
  <w:style w:type="character" w:customStyle="1" w:styleId="CommentTextChar">
    <w:name w:val="Comment Text Char"/>
    <w:basedOn w:val="DefaultParagraphFont"/>
    <w:link w:val="CommentText"/>
    <w:uiPriority w:val="99"/>
    <w:semiHidden/>
    <w:rsid w:val="00D47BAC"/>
    <w:rPr>
      <w:sz w:val="20"/>
      <w:szCs w:val="20"/>
    </w:rPr>
  </w:style>
  <w:style w:type="paragraph" w:styleId="BalloonText">
    <w:name w:val="Balloon Text"/>
    <w:basedOn w:val="Normal"/>
    <w:link w:val="BalloonTextChar"/>
    <w:uiPriority w:val="99"/>
    <w:semiHidden/>
    <w:unhideWhenUsed/>
    <w:rsid w:val="00D47BAC"/>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7BAC"/>
    <w:rPr>
      <w:rFonts w:ascii="Segoe UI" w:eastAsiaTheme="minorEastAsia" w:hAnsi="Segoe UI" w:cs="Segoe UI"/>
      <w:color w:val="000000" w:themeColor="text1"/>
      <w:sz w:val="18"/>
      <w:szCs w:val="18"/>
    </w:rPr>
  </w:style>
  <w:style w:type="character" w:styleId="Emphasis">
    <w:name w:val="Emphasis"/>
    <w:basedOn w:val="DefaultParagraphFont"/>
    <w:uiPriority w:val="20"/>
    <w:qFormat/>
    <w:rsid w:val="00D47BAC"/>
    <w:rPr>
      <w:i/>
      <w:iCs/>
    </w:rPr>
  </w:style>
  <w:style w:type="table" w:styleId="TableGrid">
    <w:name w:val="Table Grid"/>
    <w:basedOn w:val="TableNormal"/>
    <w:uiPriority w:val="39"/>
    <w:rsid w:val="00D47B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47BAC"/>
    <w:rPr>
      <w:color w:val="0563C1" w:themeColor="hyperlink"/>
      <w:u w:val="single"/>
    </w:rPr>
  </w:style>
  <w:style w:type="paragraph" w:customStyle="1" w:styleId="EndNoteBibliographyTitle">
    <w:name w:val="EndNote Bibliography Title"/>
    <w:basedOn w:val="Normal"/>
    <w:link w:val="EndNoteBibliographyTitleChar"/>
    <w:rsid w:val="00D47BAC"/>
    <w:pPr>
      <w:spacing w:before="0" w:after="0" w:line="259" w:lineRule="auto"/>
      <w:jc w:val="center"/>
    </w:pPr>
    <w:rPr>
      <w:rFonts w:eastAsiaTheme="minorHAnsi" w:cs="Times New Roman"/>
      <w:noProof/>
      <w:color w:val="auto"/>
      <w:szCs w:val="22"/>
    </w:rPr>
  </w:style>
  <w:style w:type="character" w:customStyle="1" w:styleId="EndNoteBibliographyTitleChar">
    <w:name w:val="EndNote Bibliography Title Char"/>
    <w:basedOn w:val="DefaultParagraphFont"/>
    <w:link w:val="EndNoteBibliographyTitle"/>
    <w:rsid w:val="00D47BAC"/>
    <w:rPr>
      <w:rFonts w:ascii="Times New Roman" w:hAnsi="Times New Roman" w:cs="Times New Roman"/>
      <w:noProof/>
      <w:sz w:val="24"/>
    </w:rPr>
  </w:style>
  <w:style w:type="paragraph" w:customStyle="1" w:styleId="EndNoteBibliography">
    <w:name w:val="EndNote Bibliography"/>
    <w:basedOn w:val="Normal"/>
    <w:link w:val="EndNoteBibliographyChar"/>
    <w:rsid w:val="00D47BAC"/>
    <w:pPr>
      <w:spacing w:before="0" w:after="160" w:line="240" w:lineRule="auto"/>
      <w:jc w:val="both"/>
    </w:pPr>
    <w:rPr>
      <w:rFonts w:eastAsiaTheme="minorHAnsi" w:cs="Times New Roman"/>
      <w:noProof/>
      <w:color w:val="auto"/>
      <w:szCs w:val="22"/>
    </w:rPr>
  </w:style>
  <w:style w:type="character" w:customStyle="1" w:styleId="EndNoteBibliographyChar">
    <w:name w:val="EndNote Bibliography Char"/>
    <w:basedOn w:val="DefaultParagraphFont"/>
    <w:link w:val="EndNoteBibliography"/>
    <w:rsid w:val="00D47BAC"/>
    <w:rPr>
      <w:rFonts w:ascii="Times New Roman" w:hAnsi="Times New Roman" w:cs="Times New Roman"/>
      <w:noProof/>
      <w:sz w:val="24"/>
    </w:rPr>
  </w:style>
  <w:style w:type="character" w:customStyle="1" w:styleId="CommentSubjectChar">
    <w:name w:val="Comment Subject Char"/>
    <w:basedOn w:val="CommentTextChar"/>
    <w:link w:val="CommentSubject"/>
    <w:uiPriority w:val="99"/>
    <w:semiHidden/>
    <w:rsid w:val="00D47BAC"/>
    <w:rPr>
      <w:b/>
      <w:bCs/>
      <w:sz w:val="20"/>
      <w:szCs w:val="20"/>
    </w:rPr>
  </w:style>
  <w:style w:type="paragraph" w:styleId="CommentSubject">
    <w:name w:val="annotation subject"/>
    <w:basedOn w:val="CommentText"/>
    <w:next w:val="CommentText"/>
    <w:link w:val="CommentSubjectChar"/>
    <w:uiPriority w:val="99"/>
    <w:semiHidden/>
    <w:unhideWhenUsed/>
    <w:rsid w:val="00D47BAC"/>
    <w:rPr>
      <w:b/>
      <w:bCs/>
    </w:rPr>
  </w:style>
  <w:style w:type="character" w:styleId="Strong">
    <w:name w:val="Strong"/>
    <w:basedOn w:val="DefaultParagraphFont"/>
    <w:uiPriority w:val="22"/>
    <w:qFormat/>
    <w:rsid w:val="007760D9"/>
    <w:rPr>
      <w:b/>
      <w:bCs/>
    </w:rPr>
  </w:style>
  <w:style w:type="character" w:customStyle="1" w:styleId="f">
    <w:name w:val="f"/>
    <w:basedOn w:val="DefaultParagraphFont"/>
    <w:rsid w:val="007760D9"/>
  </w:style>
  <w:style w:type="paragraph" w:styleId="NormalWeb">
    <w:name w:val="Normal (Web)"/>
    <w:basedOn w:val="Normal"/>
    <w:uiPriority w:val="99"/>
    <w:unhideWhenUsed/>
    <w:rsid w:val="00D47BAC"/>
    <w:pPr>
      <w:spacing w:before="100" w:beforeAutospacing="1" w:after="100" w:afterAutospacing="1" w:line="240" w:lineRule="auto"/>
    </w:pPr>
    <w:rPr>
      <w:rFonts w:eastAsia="Times New Roman" w:cs="Times New Roman"/>
      <w:color w:val="auto"/>
      <w:szCs w:val="24"/>
    </w:rPr>
  </w:style>
  <w:style w:type="paragraph" w:styleId="TOCHeading">
    <w:name w:val="TOC Heading"/>
    <w:basedOn w:val="Heading1"/>
    <w:next w:val="Normal"/>
    <w:uiPriority w:val="39"/>
    <w:unhideWhenUsed/>
    <w:qFormat/>
    <w:rsid w:val="00DA09DC"/>
    <w:pPr>
      <w:spacing w:line="259" w:lineRule="auto"/>
      <w:jc w:val="left"/>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99784D"/>
    <w:pPr>
      <w:tabs>
        <w:tab w:val="right" w:leader="dot" w:pos="9350"/>
      </w:tabs>
      <w:spacing w:after="100"/>
    </w:pPr>
    <w:rPr>
      <w:b/>
      <w:bCs/>
      <w:noProof/>
    </w:rPr>
  </w:style>
  <w:style w:type="paragraph" w:styleId="TOC2">
    <w:name w:val="toc 2"/>
    <w:basedOn w:val="Normal"/>
    <w:next w:val="Normal"/>
    <w:autoRedefine/>
    <w:uiPriority w:val="39"/>
    <w:unhideWhenUsed/>
    <w:rsid w:val="00DA09DC"/>
    <w:pPr>
      <w:spacing w:after="100"/>
      <w:ind w:left="240"/>
    </w:pPr>
  </w:style>
  <w:style w:type="paragraph" w:styleId="TOC3">
    <w:name w:val="toc 3"/>
    <w:basedOn w:val="Normal"/>
    <w:next w:val="Normal"/>
    <w:autoRedefine/>
    <w:uiPriority w:val="39"/>
    <w:unhideWhenUsed/>
    <w:rsid w:val="00DA09DC"/>
    <w:pPr>
      <w:spacing w:after="100"/>
      <w:ind w:left="480"/>
    </w:pPr>
  </w:style>
  <w:style w:type="paragraph" w:customStyle="1" w:styleId="Default">
    <w:name w:val="Default"/>
    <w:rsid w:val="005507D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xmsonormal">
    <w:name w:val="x_msonormal"/>
    <w:basedOn w:val="Normal"/>
    <w:uiPriority w:val="99"/>
    <w:rsid w:val="00622DEE"/>
    <w:pPr>
      <w:spacing w:before="100" w:beforeAutospacing="1" w:after="100" w:afterAutospacing="1" w:line="240" w:lineRule="auto"/>
    </w:pPr>
    <w:rPr>
      <w:rFonts w:eastAsia="Times New Roman" w:cs="Times New Roman"/>
      <w:color w:val="auto"/>
      <w:szCs w:val="24"/>
    </w:rPr>
  </w:style>
  <w:style w:type="paragraph" w:styleId="NoSpacing">
    <w:name w:val="No Spacing"/>
    <w:uiPriority w:val="1"/>
    <w:qFormat/>
    <w:rsid w:val="0069328F"/>
    <w:pPr>
      <w:spacing w:after="0" w:line="240" w:lineRule="auto"/>
    </w:pPr>
    <w:rPr>
      <w:rFonts w:ascii="Times New Roman" w:hAnsi="Times New Roman"/>
      <w:sz w:val="24"/>
    </w:rPr>
  </w:style>
  <w:style w:type="paragraph" w:styleId="ListParagraph">
    <w:name w:val="List Paragraph"/>
    <w:basedOn w:val="Normal"/>
    <w:uiPriority w:val="34"/>
    <w:qFormat/>
    <w:rsid w:val="0069328F"/>
    <w:pPr>
      <w:spacing w:before="0" w:after="200" w:line="276" w:lineRule="auto"/>
      <w:ind w:left="720"/>
      <w:contextualSpacing/>
    </w:pPr>
    <w:rPr>
      <w:rFonts w:asciiTheme="minorHAnsi" w:eastAsiaTheme="minorHAnsi" w:hAnsiTheme="minorHAnsi"/>
      <w:color w:val="auto"/>
      <w:sz w:val="22"/>
      <w:szCs w:val="22"/>
    </w:rPr>
  </w:style>
  <w:style w:type="paragraph" w:customStyle="1" w:styleId="p">
    <w:name w:val="p"/>
    <w:basedOn w:val="Normal"/>
    <w:rsid w:val="0069328F"/>
    <w:pPr>
      <w:spacing w:before="100" w:beforeAutospacing="1" w:after="100" w:afterAutospacing="1" w:line="240" w:lineRule="auto"/>
    </w:pPr>
    <w:rPr>
      <w:rFonts w:eastAsia="Times New Roman" w:cs="Times New Roman"/>
      <w:color w:val="auto"/>
      <w:szCs w:val="24"/>
    </w:rPr>
  </w:style>
  <w:style w:type="paragraph" w:styleId="Revision">
    <w:name w:val="Revision"/>
    <w:hidden/>
    <w:uiPriority w:val="99"/>
    <w:semiHidden/>
    <w:rsid w:val="0069328F"/>
    <w:pPr>
      <w:spacing w:after="0" w:line="240" w:lineRule="auto"/>
    </w:pPr>
  </w:style>
  <w:style w:type="character" w:customStyle="1" w:styleId="static">
    <w:name w:val="static"/>
    <w:basedOn w:val="DefaultParagraphFont"/>
    <w:rsid w:val="0069328F"/>
  </w:style>
  <w:style w:type="character" w:customStyle="1" w:styleId="journal-name">
    <w:name w:val="journal-name"/>
    <w:basedOn w:val="DefaultParagraphFont"/>
    <w:rsid w:val="0069328F"/>
  </w:style>
  <w:style w:type="character" w:styleId="FollowedHyperlink">
    <w:name w:val="FollowedHyperlink"/>
    <w:basedOn w:val="DefaultParagraphFont"/>
    <w:uiPriority w:val="99"/>
    <w:semiHidden/>
    <w:unhideWhenUsed/>
    <w:rsid w:val="0069328F"/>
    <w:rPr>
      <w:color w:val="954F72" w:themeColor="followedHyperlink"/>
      <w:u w:val="single"/>
    </w:rPr>
  </w:style>
  <w:style w:type="character" w:customStyle="1" w:styleId="ref-journal">
    <w:name w:val="ref-journal"/>
    <w:basedOn w:val="DefaultParagraphFont"/>
    <w:rsid w:val="0069328F"/>
  </w:style>
  <w:style w:type="character" w:customStyle="1" w:styleId="ref-vol">
    <w:name w:val="ref-vol"/>
    <w:basedOn w:val="DefaultParagraphFont"/>
    <w:rsid w:val="0069328F"/>
  </w:style>
  <w:style w:type="character" w:customStyle="1" w:styleId="UnresolvedMention1">
    <w:name w:val="Unresolved Mention1"/>
    <w:basedOn w:val="DefaultParagraphFont"/>
    <w:uiPriority w:val="99"/>
    <w:semiHidden/>
    <w:unhideWhenUsed/>
    <w:rsid w:val="00AF0958"/>
    <w:rPr>
      <w:color w:val="605E5C"/>
      <w:shd w:val="clear" w:color="auto" w:fill="E1DFDD"/>
    </w:rPr>
  </w:style>
  <w:style w:type="character" w:customStyle="1" w:styleId="UnresolvedMention2">
    <w:name w:val="Unresolved Mention2"/>
    <w:basedOn w:val="DefaultParagraphFont"/>
    <w:uiPriority w:val="99"/>
    <w:semiHidden/>
    <w:unhideWhenUsed/>
    <w:rsid w:val="002F7B5D"/>
    <w:rPr>
      <w:color w:val="605E5C"/>
      <w:shd w:val="clear" w:color="auto" w:fill="E1DFDD"/>
    </w:rPr>
  </w:style>
  <w:style w:type="paragraph" w:customStyle="1" w:styleId="TitlePage">
    <w:name w:val="TitlePage"/>
    <w:basedOn w:val="Normal"/>
    <w:rsid w:val="009C6F1A"/>
    <w:pPr>
      <w:spacing w:before="0" w:after="0" w:line="240" w:lineRule="auto"/>
      <w:jc w:val="center"/>
    </w:pPr>
    <w:rPr>
      <w:rFonts w:eastAsia="Times New Roman" w:cs="Times New Roman"/>
      <w:color w:val="auto"/>
      <w:szCs w:val="24"/>
    </w:rPr>
  </w:style>
  <w:style w:type="paragraph" w:styleId="BodyText">
    <w:name w:val="Body Text"/>
    <w:basedOn w:val="Normal"/>
    <w:link w:val="BodyTextChar"/>
    <w:rsid w:val="009C6F1A"/>
    <w:pPr>
      <w:spacing w:before="0" w:after="120" w:line="360" w:lineRule="auto"/>
      <w:ind w:firstLine="720"/>
    </w:pPr>
    <w:rPr>
      <w:rFonts w:eastAsia="Times New Roman" w:cs="Times New Roman"/>
      <w:color w:val="auto"/>
      <w:szCs w:val="24"/>
    </w:rPr>
  </w:style>
  <w:style w:type="character" w:customStyle="1" w:styleId="BodyTextChar">
    <w:name w:val="Body Text Char"/>
    <w:basedOn w:val="DefaultParagraphFont"/>
    <w:link w:val="BodyText"/>
    <w:rsid w:val="009C6F1A"/>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99784D"/>
    <w:pPr>
      <w:spacing w:before="0" w:after="0"/>
      <w:ind w:left="480" w:hanging="480"/>
    </w:pPr>
    <w:rPr>
      <w:rFonts w:asciiTheme="minorHAnsi" w:hAnsiTheme="minorHAnsi" w:cstheme="minorHAnsi"/>
      <w:smallCaps/>
      <w:sz w:val="20"/>
    </w:rPr>
  </w:style>
  <w:style w:type="character" w:styleId="UnresolvedMention">
    <w:name w:val="Unresolved Mention"/>
    <w:basedOn w:val="DefaultParagraphFont"/>
    <w:uiPriority w:val="99"/>
    <w:semiHidden/>
    <w:unhideWhenUsed/>
    <w:rsid w:val="009978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384742">
      <w:bodyDiv w:val="1"/>
      <w:marLeft w:val="0"/>
      <w:marRight w:val="0"/>
      <w:marTop w:val="0"/>
      <w:marBottom w:val="0"/>
      <w:divBdr>
        <w:top w:val="none" w:sz="0" w:space="0" w:color="auto"/>
        <w:left w:val="none" w:sz="0" w:space="0" w:color="auto"/>
        <w:bottom w:val="none" w:sz="0" w:space="0" w:color="auto"/>
        <w:right w:val="none" w:sz="0" w:space="0" w:color="auto"/>
      </w:divBdr>
    </w:div>
    <w:div w:id="93861514">
      <w:bodyDiv w:val="1"/>
      <w:marLeft w:val="0"/>
      <w:marRight w:val="0"/>
      <w:marTop w:val="0"/>
      <w:marBottom w:val="0"/>
      <w:divBdr>
        <w:top w:val="none" w:sz="0" w:space="0" w:color="auto"/>
        <w:left w:val="none" w:sz="0" w:space="0" w:color="auto"/>
        <w:bottom w:val="none" w:sz="0" w:space="0" w:color="auto"/>
        <w:right w:val="none" w:sz="0" w:space="0" w:color="auto"/>
      </w:divBdr>
    </w:div>
    <w:div w:id="133762971">
      <w:bodyDiv w:val="1"/>
      <w:marLeft w:val="0"/>
      <w:marRight w:val="0"/>
      <w:marTop w:val="0"/>
      <w:marBottom w:val="0"/>
      <w:divBdr>
        <w:top w:val="none" w:sz="0" w:space="0" w:color="auto"/>
        <w:left w:val="none" w:sz="0" w:space="0" w:color="auto"/>
        <w:bottom w:val="none" w:sz="0" w:space="0" w:color="auto"/>
        <w:right w:val="none" w:sz="0" w:space="0" w:color="auto"/>
      </w:divBdr>
    </w:div>
    <w:div w:id="256061596">
      <w:bodyDiv w:val="1"/>
      <w:marLeft w:val="0"/>
      <w:marRight w:val="0"/>
      <w:marTop w:val="0"/>
      <w:marBottom w:val="0"/>
      <w:divBdr>
        <w:top w:val="none" w:sz="0" w:space="0" w:color="auto"/>
        <w:left w:val="none" w:sz="0" w:space="0" w:color="auto"/>
        <w:bottom w:val="none" w:sz="0" w:space="0" w:color="auto"/>
        <w:right w:val="none" w:sz="0" w:space="0" w:color="auto"/>
      </w:divBdr>
    </w:div>
    <w:div w:id="266819220">
      <w:bodyDiv w:val="1"/>
      <w:marLeft w:val="0"/>
      <w:marRight w:val="0"/>
      <w:marTop w:val="0"/>
      <w:marBottom w:val="0"/>
      <w:divBdr>
        <w:top w:val="none" w:sz="0" w:space="0" w:color="auto"/>
        <w:left w:val="none" w:sz="0" w:space="0" w:color="auto"/>
        <w:bottom w:val="none" w:sz="0" w:space="0" w:color="auto"/>
        <w:right w:val="none" w:sz="0" w:space="0" w:color="auto"/>
      </w:divBdr>
    </w:div>
    <w:div w:id="340931763">
      <w:bodyDiv w:val="1"/>
      <w:marLeft w:val="0"/>
      <w:marRight w:val="0"/>
      <w:marTop w:val="0"/>
      <w:marBottom w:val="0"/>
      <w:divBdr>
        <w:top w:val="none" w:sz="0" w:space="0" w:color="auto"/>
        <w:left w:val="none" w:sz="0" w:space="0" w:color="auto"/>
        <w:bottom w:val="none" w:sz="0" w:space="0" w:color="auto"/>
        <w:right w:val="none" w:sz="0" w:space="0" w:color="auto"/>
      </w:divBdr>
    </w:div>
    <w:div w:id="433749681">
      <w:bodyDiv w:val="1"/>
      <w:marLeft w:val="0"/>
      <w:marRight w:val="0"/>
      <w:marTop w:val="0"/>
      <w:marBottom w:val="0"/>
      <w:divBdr>
        <w:top w:val="none" w:sz="0" w:space="0" w:color="auto"/>
        <w:left w:val="none" w:sz="0" w:space="0" w:color="auto"/>
        <w:bottom w:val="none" w:sz="0" w:space="0" w:color="auto"/>
        <w:right w:val="none" w:sz="0" w:space="0" w:color="auto"/>
      </w:divBdr>
    </w:div>
    <w:div w:id="646204579">
      <w:bodyDiv w:val="1"/>
      <w:marLeft w:val="0"/>
      <w:marRight w:val="0"/>
      <w:marTop w:val="0"/>
      <w:marBottom w:val="0"/>
      <w:divBdr>
        <w:top w:val="none" w:sz="0" w:space="0" w:color="auto"/>
        <w:left w:val="none" w:sz="0" w:space="0" w:color="auto"/>
        <w:bottom w:val="none" w:sz="0" w:space="0" w:color="auto"/>
        <w:right w:val="none" w:sz="0" w:space="0" w:color="auto"/>
      </w:divBdr>
    </w:div>
    <w:div w:id="779642501">
      <w:bodyDiv w:val="1"/>
      <w:marLeft w:val="0"/>
      <w:marRight w:val="0"/>
      <w:marTop w:val="0"/>
      <w:marBottom w:val="0"/>
      <w:divBdr>
        <w:top w:val="none" w:sz="0" w:space="0" w:color="auto"/>
        <w:left w:val="none" w:sz="0" w:space="0" w:color="auto"/>
        <w:bottom w:val="none" w:sz="0" w:space="0" w:color="auto"/>
        <w:right w:val="none" w:sz="0" w:space="0" w:color="auto"/>
      </w:divBdr>
    </w:div>
    <w:div w:id="840049472">
      <w:bodyDiv w:val="1"/>
      <w:marLeft w:val="0"/>
      <w:marRight w:val="0"/>
      <w:marTop w:val="0"/>
      <w:marBottom w:val="0"/>
      <w:divBdr>
        <w:top w:val="none" w:sz="0" w:space="0" w:color="auto"/>
        <w:left w:val="none" w:sz="0" w:space="0" w:color="auto"/>
        <w:bottom w:val="none" w:sz="0" w:space="0" w:color="auto"/>
        <w:right w:val="none" w:sz="0" w:space="0" w:color="auto"/>
      </w:divBdr>
    </w:div>
    <w:div w:id="857818323">
      <w:bodyDiv w:val="1"/>
      <w:marLeft w:val="0"/>
      <w:marRight w:val="0"/>
      <w:marTop w:val="0"/>
      <w:marBottom w:val="0"/>
      <w:divBdr>
        <w:top w:val="none" w:sz="0" w:space="0" w:color="auto"/>
        <w:left w:val="none" w:sz="0" w:space="0" w:color="auto"/>
        <w:bottom w:val="none" w:sz="0" w:space="0" w:color="auto"/>
        <w:right w:val="none" w:sz="0" w:space="0" w:color="auto"/>
      </w:divBdr>
    </w:div>
    <w:div w:id="894270421">
      <w:bodyDiv w:val="1"/>
      <w:marLeft w:val="0"/>
      <w:marRight w:val="0"/>
      <w:marTop w:val="0"/>
      <w:marBottom w:val="0"/>
      <w:divBdr>
        <w:top w:val="none" w:sz="0" w:space="0" w:color="auto"/>
        <w:left w:val="none" w:sz="0" w:space="0" w:color="auto"/>
        <w:bottom w:val="none" w:sz="0" w:space="0" w:color="auto"/>
        <w:right w:val="none" w:sz="0" w:space="0" w:color="auto"/>
      </w:divBdr>
    </w:div>
    <w:div w:id="1050223857">
      <w:bodyDiv w:val="1"/>
      <w:marLeft w:val="0"/>
      <w:marRight w:val="0"/>
      <w:marTop w:val="0"/>
      <w:marBottom w:val="0"/>
      <w:divBdr>
        <w:top w:val="none" w:sz="0" w:space="0" w:color="auto"/>
        <w:left w:val="none" w:sz="0" w:space="0" w:color="auto"/>
        <w:bottom w:val="none" w:sz="0" w:space="0" w:color="auto"/>
        <w:right w:val="none" w:sz="0" w:space="0" w:color="auto"/>
      </w:divBdr>
    </w:div>
    <w:div w:id="1139876874">
      <w:bodyDiv w:val="1"/>
      <w:marLeft w:val="0"/>
      <w:marRight w:val="0"/>
      <w:marTop w:val="0"/>
      <w:marBottom w:val="0"/>
      <w:divBdr>
        <w:top w:val="none" w:sz="0" w:space="0" w:color="auto"/>
        <w:left w:val="none" w:sz="0" w:space="0" w:color="auto"/>
        <w:bottom w:val="none" w:sz="0" w:space="0" w:color="auto"/>
        <w:right w:val="none" w:sz="0" w:space="0" w:color="auto"/>
      </w:divBdr>
    </w:div>
    <w:div w:id="1165315683">
      <w:bodyDiv w:val="1"/>
      <w:marLeft w:val="0"/>
      <w:marRight w:val="0"/>
      <w:marTop w:val="0"/>
      <w:marBottom w:val="0"/>
      <w:divBdr>
        <w:top w:val="none" w:sz="0" w:space="0" w:color="auto"/>
        <w:left w:val="none" w:sz="0" w:space="0" w:color="auto"/>
        <w:bottom w:val="none" w:sz="0" w:space="0" w:color="auto"/>
        <w:right w:val="none" w:sz="0" w:space="0" w:color="auto"/>
      </w:divBdr>
    </w:div>
    <w:div w:id="1254316934">
      <w:bodyDiv w:val="1"/>
      <w:marLeft w:val="0"/>
      <w:marRight w:val="0"/>
      <w:marTop w:val="0"/>
      <w:marBottom w:val="0"/>
      <w:divBdr>
        <w:top w:val="none" w:sz="0" w:space="0" w:color="auto"/>
        <w:left w:val="none" w:sz="0" w:space="0" w:color="auto"/>
        <w:bottom w:val="none" w:sz="0" w:space="0" w:color="auto"/>
        <w:right w:val="none" w:sz="0" w:space="0" w:color="auto"/>
      </w:divBdr>
    </w:div>
    <w:div w:id="1337000790">
      <w:bodyDiv w:val="1"/>
      <w:marLeft w:val="0"/>
      <w:marRight w:val="0"/>
      <w:marTop w:val="0"/>
      <w:marBottom w:val="0"/>
      <w:divBdr>
        <w:top w:val="none" w:sz="0" w:space="0" w:color="auto"/>
        <w:left w:val="none" w:sz="0" w:space="0" w:color="auto"/>
        <w:bottom w:val="none" w:sz="0" w:space="0" w:color="auto"/>
        <w:right w:val="none" w:sz="0" w:space="0" w:color="auto"/>
      </w:divBdr>
    </w:div>
    <w:div w:id="1405831483">
      <w:bodyDiv w:val="1"/>
      <w:marLeft w:val="0"/>
      <w:marRight w:val="0"/>
      <w:marTop w:val="0"/>
      <w:marBottom w:val="0"/>
      <w:divBdr>
        <w:top w:val="none" w:sz="0" w:space="0" w:color="auto"/>
        <w:left w:val="none" w:sz="0" w:space="0" w:color="auto"/>
        <w:bottom w:val="none" w:sz="0" w:space="0" w:color="auto"/>
        <w:right w:val="none" w:sz="0" w:space="0" w:color="auto"/>
      </w:divBdr>
    </w:div>
    <w:div w:id="1630357406">
      <w:bodyDiv w:val="1"/>
      <w:marLeft w:val="0"/>
      <w:marRight w:val="0"/>
      <w:marTop w:val="0"/>
      <w:marBottom w:val="0"/>
      <w:divBdr>
        <w:top w:val="none" w:sz="0" w:space="0" w:color="auto"/>
        <w:left w:val="none" w:sz="0" w:space="0" w:color="auto"/>
        <w:bottom w:val="none" w:sz="0" w:space="0" w:color="auto"/>
        <w:right w:val="none" w:sz="0" w:space="0" w:color="auto"/>
      </w:divBdr>
    </w:div>
    <w:div w:id="1661616861">
      <w:bodyDiv w:val="1"/>
      <w:marLeft w:val="0"/>
      <w:marRight w:val="0"/>
      <w:marTop w:val="0"/>
      <w:marBottom w:val="0"/>
      <w:divBdr>
        <w:top w:val="none" w:sz="0" w:space="0" w:color="auto"/>
        <w:left w:val="none" w:sz="0" w:space="0" w:color="auto"/>
        <w:bottom w:val="none" w:sz="0" w:space="0" w:color="auto"/>
        <w:right w:val="none" w:sz="0" w:space="0" w:color="auto"/>
      </w:divBdr>
    </w:div>
    <w:div w:id="1696346328">
      <w:bodyDiv w:val="1"/>
      <w:marLeft w:val="0"/>
      <w:marRight w:val="0"/>
      <w:marTop w:val="0"/>
      <w:marBottom w:val="0"/>
      <w:divBdr>
        <w:top w:val="none" w:sz="0" w:space="0" w:color="auto"/>
        <w:left w:val="none" w:sz="0" w:space="0" w:color="auto"/>
        <w:bottom w:val="none" w:sz="0" w:space="0" w:color="auto"/>
        <w:right w:val="none" w:sz="0" w:space="0" w:color="auto"/>
      </w:divBdr>
    </w:div>
    <w:div w:id="1735351361">
      <w:bodyDiv w:val="1"/>
      <w:marLeft w:val="0"/>
      <w:marRight w:val="0"/>
      <w:marTop w:val="0"/>
      <w:marBottom w:val="0"/>
      <w:divBdr>
        <w:top w:val="none" w:sz="0" w:space="0" w:color="auto"/>
        <w:left w:val="none" w:sz="0" w:space="0" w:color="auto"/>
        <w:bottom w:val="none" w:sz="0" w:space="0" w:color="auto"/>
        <w:right w:val="none" w:sz="0" w:space="0" w:color="auto"/>
      </w:divBdr>
    </w:div>
    <w:div w:id="1743717495">
      <w:bodyDiv w:val="1"/>
      <w:marLeft w:val="0"/>
      <w:marRight w:val="0"/>
      <w:marTop w:val="0"/>
      <w:marBottom w:val="0"/>
      <w:divBdr>
        <w:top w:val="none" w:sz="0" w:space="0" w:color="auto"/>
        <w:left w:val="none" w:sz="0" w:space="0" w:color="auto"/>
        <w:bottom w:val="none" w:sz="0" w:space="0" w:color="auto"/>
        <w:right w:val="none" w:sz="0" w:space="0" w:color="auto"/>
      </w:divBdr>
    </w:div>
    <w:div w:id="1851675617">
      <w:bodyDiv w:val="1"/>
      <w:marLeft w:val="0"/>
      <w:marRight w:val="0"/>
      <w:marTop w:val="0"/>
      <w:marBottom w:val="0"/>
      <w:divBdr>
        <w:top w:val="none" w:sz="0" w:space="0" w:color="auto"/>
        <w:left w:val="none" w:sz="0" w:space="0" w:color="auto"/>
        <w:bottom w:val="none" w:sz="0" w:space="0" w:color="auto"/>
        <w:right w:val="none" w:sz="0" w:space="0" w:color="auto"/>
      </w:divBdr>
    </w:div>
    <w:div w:id="1885017662">
      <w:bodyDiv w:val="1"/>
      <w:marLeft w:val="0"/>
      <w:marRight w:val="0"/>
      <w:marTop w:val="0"/>
      <w:marBottom w:val="0"/>
      <w:divBdr>
        <w:top w:val="none" w:sz="0" w:space="0" w:color="auto"/>
        <w:left w:val="none" w:sz="0" w:space="0" w:color="auto"/>
        <w:bottom w:val="none" w:sz="0" w:space="0" w:color="auto"/>
        <w:right w:val="none" w:sz="0" w:space="0" w:color="auto"/>
      </w:divBdr>
    </w:div>
    <w:div w:id="1888028867">
      <w:bodyDiv w:val="1"/>
      <w:marLeft w:val="0"/>
      <w:marRight w:val="0"/>
      <w:marTop w:val="0"/>
      <w:marBottom w:val="0"/>
      <w:divBdr>
        <w:top w:val="none" w:sz="0" w:space="0" w:color="auto"/>
        <w:left w:val="none" w:sz="0" w:space="0" w:color="auto"/>
        <w:bottom w:val="none" w:sz="0" w:space="0" w:color="auto"/>
        <w:right w:val="none" w:sz="0" w:space="0" w:color="auto"/>
      </w:divBdr>
    </w:div>
    <w:div w:id="2014189159">
      <w:bodyDiv w:val="1"/>
      <w:marLeft w:val="0"/>
      <w:marRight w:val="0"/>
      <w:marTop w:val="0"/>
      <w:marBottom w:val="0"/>
      <w:divBdr>
        <w:top w:val="none" w:sz="0" w:space="0" w:color="auto"/>
        <w:left w:val="none" w:sz="0" w:space="0" w:color="auto"/>
        <w:bottom w:val="none" w:sz="0" w:space="0" w:color="auto"/>
        <w:right w:val="none" w:sz="0" w:space="0" w:color="auto"/>
      </w:divBdr>
    </w:div>
    <w:div w:id="2051763976">
      <w:bodyDiv w:val="1"/>
      <w:marLeft w:val="0"/>
      <w:marRight w:val="0"/>
      <w:marTop w:val="0"/>
      <w:marBottom w:val="0"/>
      <w:divBdr>
        <w:top w:val="none" w:sz="0" w:space="0" w:color="auto"/>
        <w:left w:val="none" w:sz="0" w:space="0" w:color="auto"/>
        <w:bottom w:val="none" w:sz="0" w:space="0" w:color="auto"/>
        <w:right w:val="none" w:sz="0" w:space="0" w:color="auto"/>
      </w:divBdr>
      <w:divsChild>
        <w:div w:id="1548369310">
          <w:marLeft w:val="-30"/>
          <w:marRight w:val="0"/>
          <w:marTop w:val="0"/>
          <w:marBottom w:val="195"/>
          <w:divBdr>
            <w:top w:val="none" w:sz="0" w:space="0" w:color="auto"/>
            <w:left w:val="none" w:sz="0" w:space="0" w:color="auto"/>
            <w:bottom w:val="none" w:sz="0" w:space="0" w:color="auto"/>
            <w:right w:val="none" w:sz="0" w:space="0" w:color="auto"/>
          </w:divBdr>
          <w:divsChild>
            <w:div w:id="1872912767">
              <w:marLeft w:val="0"/>
              <w:marRight w:val="0"/>
              <w:marTop w:val="0"/>
              <w:marBottom w:val="0"/>
              <w:divBdr>
                <w:top w:val="none" w:sz="0" w:space="0" w:color="auto"/>
                <w:left w:val="none" w:sz="0" w:space="0" w:color="auto"/>
                <w:bottom w:val="none" w:sz="0" w:space="0" w:color="auto"/>
                <w:right w:val="none" w:sz="0" w:space="0" w:color="auto"/>
              </w:divBdr>
              <w:divsChild>
                <w:div w:id="166851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526926">
      <w:bodyDiv w:val="1"/>
      <w:marLeft w:val="0"/>
      <w:marRight w:val="0"/>
      <w:marTop w:val="0"/>
      <w:marBottom w:val="0"/>
      <w:divBdr>
        <w:top w:val="none" w:sz="0" w:space="0" w:color="auto"/>
        <w:left w:val="none" w:sz="0" w:space="0" w:color="auto"/>
        <w:bottom w:val="none" w:sz="0" w:space="0" w:color="auto"/>
        <w:right w:val="none" w:sz="0" w:space="0" w:color="auto"/>
      </w:divBdr>
    </w:div>
    <w:div w:id="2121141046">
      <w:bodyDiv w:val="1"/>
      <w:marLeft w:val="0"/>
      <w:marRight w:val="0"/>
      <w:marTop w:val="0"/>
      <w:marBottom w:val="0"/>
      <w:divBdr>
        <w:top w:val="none" w:sz="0" w:space="0" w:color="auto"/>
        <w:left w:val="none" w:sz="0" w:space="0" w:color="auto"/>
        <w:bottom w:val="none" w:sz="0" w:space="0" w:color="auto"/>
        <w:right w:val="none" w:sz="0" w:space="0" w:color="auto"/>
      </w:divBdr>
    </w:div>
    <w:div w:id="2123185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7.png"/><Relationship Id="rId39" Type="http://schemas.openxmlformats.org/officeDocument/2006/relationships/hyperlink" Target="https://comptox.epa.gov/dashboard/" TargetMode="External"/><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comptox.epa.gov" TargetMode="External"/><Relationship Id="rId32" Type="http://schemas.openxmlformats.org/officeDocument/2006/relationships/image" Target="media/image23.png"/><Relationship Id="rId37" Type="http://schemas.openxmlformats.org/officeDocument/2006/relationships/hyperlink" Target="https://imagej.nih.gov/ij/macros/toolsets/Angiogenesis%20Analyzer.txt" TargetMode="External"/><Relationship Id="rId40" Type="http://schemas.openxmlformats.org/officeDocument/2006/relationships/hyperlink" Target="http://image.bio.methods.free.fr/ImageJ/?Angiogenesis-Analyzer-for-ImageJ" TargetMode="External"/><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hyperlink" Target="http://www.epa.gov/ncct/toxcast/chemicals.html)%20was" TargetMode="External"/><Relationship Id="rId49" Type="http://schemas.openxmlformats.org/officeDocument/2006/relationships/image" Target="media/image34.png"/><Relationship Id="rId57" Type="http://schemas.openxmlformats.org/officeDocument/2006/relationships/image" Target="media/image42.png"/><Relationship Id="rId61" Type="http://schemas.openxmlformats.org/officeDocument/2006/relationships/image" Target="media/image46.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8" Type="http://schemas.openxmlformats.org/officeDocument/2006/relationships/footer" Target="footer1.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yperlink" Target="https://comptox.epa.gov/dashboard/" TargetMode="External"/><Relationship Id="rId38" Type="http://schemas.openxmlformats.org/officeDocument/2006/relationships/hyperlink" Target="https://imagej.nih.gov/ij/" TargetMode="External"/><Relationship Id="rId46" Type="http://schemas.openxmlformats.org/officeDocument/2006/relationships/image" Target="media/image31.png"/><Relationship Id="rId59"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131210-62C4-48A0-A6BB-BD2C343656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2482</TotalTime>
  <Pages>1</Pages>
  <Words>104130</Words>
  <Characters>593544</Characters>
  <Application>Microsoft Office Word</Application>
  <DocSecurity>0</DocSecurity>
  <Lines>4946</Lines>
  <Paragraphs>1392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696282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Rachna Mirchandani</dc:creator>
  <cp:lastModifiedBy>Rachna Mirchandani</cp:lastModifiedBy>
  <cp:revision>44</cp:revision>
  <cp:lastPrinted>2020-05-13T18:15:00Z</cp:lastPrinted>
  <dcterms:created xsi:type="dcterms:W3CDTF">2020-05-04T19:47:00Z</dcterms:created>
  <dcterms:modified xsi:type="dcterms:W3CDTF">2020-05-13T18:16:00Z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http://csl.mendeley.com/styles/576291581/harvard-cite-them-right-2</vt:lpwstr>
  </property>
  <property fmtid="{D5CDD505-2E9C-101B-9397-08002B2CF9AE}" pid="9" name="Mendeley Recent Style Name 3_1">
    <vt:lpwstr>Cite Them Right 10th edition - Harvard - Rachna Mirchandani</vt:lpwstr>
  </property>
  <property fmtid="{D5CDD505-2E9C-101B-9397-08002B2CF9AE}" pid="10" name="Mendeley Recent Style Id 4_1">
    <vt:lpwstr>https://csl.mendeley.com/styles/576291581/harvard-cite-them-right-2</vt:lpwstr>
  </property>
  <property fmtid="{D5CDD505-2E9C-101B-9397-08002B2CF9AE}" pid="11" name="Mendeley Recent Style Name 4_1">
    <vt:lpwstr>Cite Them Right 10th edition - Harvard - Rachna Mirchandani</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5dee4c20-28f8-3f48-8bf4-4e30e86381c0</vt:lpwstr>
  </property>
  <property fmtid="{D5CDD505-2E9C-101B-9397-08002B2CF9AE}" pid="24" name="Mendeley Citation Style_1">
    <vt:lpwstr>https://csl.mendeley.com/styles/576291581/harvard-cite-them-right-2</vt:lpwstr>
  </property>
</Properties>
</file>