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null)" ContentType="image/x-em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12EED" w14:textId="77777777" w:rsidR="000F2784" w:rsidRDefault="000F2784" w:rsidP="008009D0">
      <w:pPr>
        <w:jc w:val="both"/>
        <w:rPr>
          <w:rFonts w:cs="Arial"/>
        </w:rPr>
        <w:sectPr w:rsidR="000F2784" w:rsidSect="00C55D12">
          <w:footerReference w:type="even" r:id="rId8"/>
          <w:footerReference w:type="default" r:id="rId9"/>
          <w:footerReference w:type="first" r:id="rId10"/>
          <w:pgSz w:w="12240" w:h="15840"/>
          <w:pgMar w:top="1800" w:right="1440" w:bottom="1440" w:left="1440" w:header="720" w:footer="720" w:gutter="0"/>
          <w:pgNumType w:start="1"/>
          <w:cols w:space="720"/>
          <w:docGrid w:linePitch="360"/>
        </w:sectPr>
      </w:pPr>
    </w:p>
    <w:p w14:paraId="65423621" w14:textId="5E4433E9" w:rsidR="00376952" w:rsidRDefault="00376952" w:rsidP="008009D0">
      <w:pPr>
        <w:jc w:val="both"/>
        <w:rPr>
          <w:rFonts w:cs="Arial"/>
          <w:caps/>
        </w:rPr>
      </w:pPr>
      <w:r w:rsidRPr="00FF655E">
        <w:rPr>
          <w:rFonts w:cs="Arial"/>
          <w:caps/>
        </w:rPr>
        <w:lastRenderedPageBreak/>
        <w:t>THE INFLUENC</w:t>
      </w:r>
      <w:r w:rsidR="00992C9F">
        <w:rPr>
          <w:rFonts w:cs="Arial"/>
          <w:caps/>
        </w:rPr>
        <w:t>E OF DOPAMINERGIC MEDICATION ON</w:t>
      </w:r>
      <w:r w:rsidRPr="00FF655E">
        <w:rPr>
          <w:rFonts w:cs="Arial"/>
          <w:caps/>
        </w:rPr>
        <w:t xml:space="preserve"> GAIT</w:t>
      </w:r>
      <w:r w:rsidR="00992C9F">
        <w:rPr>
          <w:rFonts w:cs="Arial"/>
          <w:caps/>
        </w:rPr>
        <w:t xml:space="preserve"> and </w:t>
      </w:r>
      <w:r w:rsidRPr="00FF655E">
        <w:rPr>
          <w:rFonts w:cs="Arial"/>
          <w:caps/>
        </w:rPr>
        <w:t>BALANCE</w:t>
      </w:r>
      <w:r w:rsidR="00992C9F">
        <w:rPr>
          <w:rFonts w:cs="Arial"/>
          <w:caps/>
        </w:rPr>
        <w:t xml:space="preserve"> AUTOMATICITY</w:t>
      </w:r>
      <w:r w:rsidR="006975D1">
        <w:rPr>
          <w:rFonts w:cs="Arial"/>
          <w:caps/>
        </w:rPr>
        <w:t xml:space="preserve"> AND NONLINEAR </w:t>
      </w:r>
      <w:r w:rsidR="00E63ED2">
        <w:rPr>
          <w:rFonts w:cs="Arial"/>
          <w:caps/>
        </w:rPr>
        <w:t>REGULARITY</w:t>
      </w:r>
      <w:r w:rsidRPr="00FF655E">
        <w:rPr>
          <w:rFonts w:cs="Arial"/>
          <w:caps/>
        </w:rPr>
        <w:t xml:space="preserve"> IN PARKINSON’S DISEASE </w:t>
      </w:r>
    </w:p>
    <w:p w14:paraId="79885A8A" w14:textId="77777777" w:rsidR="006D4500" w:rsidRPr="00CB7AC8" w:rsidRDefault="006D4500" w:rsidP="008009D0">
      <w:pPr>
        <w:jc w:val="both"/>
        <w:rPr>
          <w:rFonts w:cs="Arial"/>
          <w:caps/>
        </w:rPr>
      </w:pPr>
    </w:p>
    <w:p w14:paraId="452EF2B1" w14:textId="7F066BB8" w:rsidR="00376952" w:rsidRDefault="00376952" w:rsidP="0024653C">
      <w:pPr>
        <w:jc w:val="center"/>
        <w:rPr>
          <w:rFonts w:cs="Arial"/>
        </w:rPr>
      </w:pPr>
      <w:r w:rsidRPr="00E705FF">
        <w:rPr>
          <w:rFonts w:cs="Arial"/>
        </w:rPr>
        <w:t>_______________</w:t>
      </w:r>
    </w:p>
    <w:p w14:paraId="345F8155" w14:textId="77777777" w:rsidR="006D4500" w:rsidRPr="00E705FF" w:rsidRDefault="006D4500" w:rsidP="0024653C">
      <w:pPr>
        <w:jc w:val="center"/>
        <w:rPr>
          <w:rFonts w:cs="Arial"/>
        </w:rPr>
      </w:pPr>
    </w:p>
    <w:p w14:paraId="58C73D04" w14:textId="2B8B4D92" w:rsidR="00376952" w:rsidRPr="00E705FF" w:rsidRDefault="00376952" w:rsidP="0024653C">
      <w:pPr>
        <w:spacing w:line="240" w:lineRule="auto"/>
        <w:jc w:val="center"/>
        <w:rPr>
          <w:rFonts w:cs="Arial"/>
        </w:rPr>
      </w:pPr>
      <w:r w:rsidRPr="00E705FF">
        <w:rPr>
          <w:rFonts w:cs="Arial"/>
        </w:rPr>
        <w:t>A Dissertation</w:t>
      </w:r>
      <w:r w:rsidR="00FD21BA">
        <w:rPr>
          <w:rFonts w:cs="Arial"/>
        </w:rPr>
        <w:t xml:space="preserve"> p</w:t>
      </w:r>
      <w:r w:rsidRPr="00E705FF">
        <w:rPr>
          <w:rFonts w:cs="Arial"/>
        </w:rPr>
        <w:t>resented to</w:t>
      </w:r>
    </w:p>
    <w:p w14:paraId="6E7CB0BF" w14:textId="77777777" w:rsidR="00376952" w:rsidRPr="00E705FF" w:rsidRDefault="00376952" w:rsidP="0024653C">
      <w:pPr>
        <w:spacing w:line="240" w:lineRule="auto"/>
        <w:jc w:val="center"/>
        <w:rPr>
          <w:rFonts w:cs="Arial"/>
        </w:rPr>
      </w:pPr>
      <w:r w:rsidRPr="00E705FF">
        <w:rPr>
          <w:rFonts w:cs="Arial"/>
        </w:rPr>
        <w:t>The Faculty of the Department</w:t>
      </w:r>
    </w:p>
    <w:p w14:paraId="4095779D" w14:textId="77777777" w:rsidR="00376952" w:rsidRPr="00E705FF" w:rsidRDefault="00376952" w:rsidP="0024653C">
      <w:pPr>
        <w:spacing w:line="240" w:lineRule="auto"/>
        <w:jc w:val="center"/>
        <w:rPr>
          <w:rFonts w:cs="Arial"/>
        </w:rPr>
      </w:pPr>
      <w:r w:rsidRPr="00E705FF">
        <w:rPr>
          <w:rFonts w:cs="Arial"/>
        </w:rPr>
        <w:t>of Health &amp; Human Performance</w:t>
      </w:r>
    </w:p>
    <w:p w14:paraId="2D9E2A8E" w14:textId="0C1E2918" w:rsidR="00376952" w:rsidRDefault="00376952" w:rsidP="0024653C">
      <w:pPr>
        <w:spacing w:line="240" w:lineRule="auto"/>
        <w:jc w:val="center"/>
        <w:rPr>
          <w:rFonts w:cs="Arial"/>
        </w:rPr>
      </w:pPr>
      <w:r w:rsidRPr="00E705FF">
        <w:rPr>
          <w:rFonts w:cs="Arial"/>
        </w:rPr>
        <w:t>University of Houston</w:t>
      </w:r>
    </w:p>
    <w:p w14:paraId="7C1B2DF8" w14:textId="77777777" w:rsidR="006D4500" w:rsidRPr="00E705FF" w:rsidRDefault="006D4500" w:rsidP="0024653C">
      <w:pPr>
        <w:spacing w:line="240" w:lineRule="auto"/>
        <w:jc w:val="center"/>
        <w:rPr>
          <w:rFonts w:cs="Arial"/>
        </w:rPr>
      </w:pPr>
    </w:p>
    <w:p w14:paraId="5B01CF78" w14:textId="39BF8266" w:rsidR="00376952" w:rsidRDefault="00376952" w:rsidP="0024653C">
      <w:pPr>
        <w:spacing w:line="240" w:lineRule="auto"/>
        <w:jc w:val="center"/>
        <w:rPr>
          <w:rFonts w:cs="Arial"/>
        </w:rPr>
      </w:pPr>
      <w:r w:rsidRPr="00E705FF">
        <w:rPr>
          <w:rFonts w:cs="Arial"/>
        </w:rPr>
        <w:t>_______________</w:t>
      </w:r>
    </w:p>
    <w:p w14:paraId="02FA4DE9" w14:textId="77777777" w:rsidR="006D4500" w:rsidRPr="00E705FF" w:rsidRDefault="006D4500" w:rsidP="0024653C">
      <w:pPr>
        <w:spacing w:line="240" w:lineRule="auto"/>
        <w:jc w:val="center"/>
        <w:rPr>
          <w:rFonts w:cs="Arial"/>
        </w:rPr>
      </w:pPr>
    </w:p>
    <w:p w14:paraId="6F8126B4" w14:textId="77777777" w:rsidR="00376952" w:rsidRPr="00E705FF" w:rsidRDefault="00376952" w:rsidP="0024653C">
      <w:pPr>
        <w:spacing w:line="240" w:lineRule="auto"/>
        <w:jc w:val="center"/>
        <w:rPr>
          <w:rFonts w:cs="Arial"/>
        </w:rPr>
      </w:pPr>
      <w:r w:rsidRPr="00E705FF">
        <w:rPr>
          <w:rFonts w:cs="Arial"/>
        </w:rPr>
        <w:t>In Partial Fulfillment</w:t>
      </w:r>
    </w:p>
    <w:p w14:paraId="48B6A7C0" w14:textId="77777777" w:rsidR="00376952" w:rsidRPr="00E705FF" w:rsidRDefault="00376952" w:rsidP="0024653C">
      <w:pPr>
        <w:spacing w:line="240" w:lineRule="auto"/>
        <w:jc w:val="center"/>
        <w:rPr>
          <w:rFonts w:cs="Arial"/>
        </w:rPr>
      </w:pPr>
      <w:r w:rsidRPr="00E705FF">
        <w:rPr>
          <w:rFonts w:cs="Arial"/>
        </w:rPr>
        <w:t>of the Requirements of the Degree:</w:t>
      </w:r>
    </w:p>
    <w:p w14:paraId="224E3B02" w14:textId="77777777" w:rsidR="00376952" w:rsidRPr="00E705FF" w:rsidRDefault="00376952" w:rsidP="0024653C">
      <w:pPr>
        <w:spacing w:line="240" w:lineRule="auto"/>
        <w:jc w:val="center"/>
        <w:rPr>
          <w:rFonts w:cs="Arial"/>
        </w:rPr>
      </w:pPr>
      <w:r w:rsidRPr="00E705FF">
        <w:rPr>
          <w:rFonts w:cs="Arial"/>
        </w:rPr>
        <w:t>Doctor of Philosophy</w:t>
      </w:r>
    </w:p>
    <w:p w14:paraId="12D18F2D" w14:textId="36C46286" w:rsidR="00376952" w:rsidRDefault="00376952" w:rsidP="0024653C">
      <w:pPr>
        <w:spacing w:line="240" w:lineRule="auto"/>
        <w:jc w:val="center"/>
        <w:rPr>
          <w:rFonts w:cs="Arial"/>
        </w:rPr>
      </w:pPr>
      <w:r w:rsidRPr="00E705FF">
        <w:rPr>
          <w:rFonts w:cs="Arial"/>
        </w:rPr>
        <w:t>in Kinesiology</w:t>
      </w:r>
    </w:p>
    <w:p w14:paraId="27047F28" w14:textId="77777777" w:rsidR="006D4500" w:rsidRPr="00E705FF" w:rsidRDefault="006D4500" w:rsidP="0024653C">
      <w:pPr>
        <w:spacing w:line="240" w:lineRule="auto"/>
        <w:jc w:val="center"/>
        <w:rPr>
          <w:rFonts w:cs="Arial"/>
        </w:rPr>
      </w:pPr>
    </w:p>
    <w:p w14:paraId="0C6E7E61" w14:textId="728ED827" w:rsidR="00376952" w:rsidRDefault="00376952" w:rsidP="0024653C">
      <w:pPr>
        <w:spacing w:line="240" w:lineRule="auto"/>
        <w:jc w:val="center"/>
        <w:rPr>
          <w:rFonts w:cs="Arial"/>
        </w:rPr>
      </w:pPr>
      <w:r w:rsidRPr="00E705FF">
        <w:rPr>
          <w:rFonts w:cs="Arial"/>
        </w:rPr>
        <w:t>_______________</w:t>
      </w:r>
    </w:p>
    <w:p w14:paraId="6D0739F7" w14:textId="77777777" w:rsidR="006D4500" w:rsidRPr="00E705FF" w:rsidRDefault="006D4500" w:rsidP="0024653C">
      <w:pPr>
        <w:spacing w:line="240" w:lineRule="auto"/>
        <w:jc w:val="center"/>
        <w:rPr>
          <w:rFonts w:cs="Arial"/>
        </w:rPr>
      </w:pPr>
    </w:p>
    <w:p w14:paraId="05F2F83A" w14:textId="77777777" w:rsidR="00376952" w:rsidRPr="00E705FF" w:rsidRDefault="00376952" w:rsidP="0024653C">
      <w:pPr>
        <w:spacing w:line="240" w:lineRule="auto"/>
        <w:jc w:val="center"/>
        <w:rPr>
          <w:rFonts w:cs="Arial"/>
        </w:rPr>
      </w:pPr>
      <w:r w:rsidRPr="00E705FF">
        <w:rPr>
          <w:rFonts w:cs="Arial"/>
        </w:rPr>
        <w:t>By</w:t>
      </w:r>
    </w:p>
    <w:p w14:paraId="55298A42" w14:textId="77777777" w:rsidR="00376952" w:rsidRPr="00E705FF" w:rsidRDefault="00376952" w:rsidP="0024653C">
      <w:pPr>
        <w:spacing w:line="240" w:lineRule="auto"/>
        <w:jc w:val="center"/>
        <w:rPr>
          <w:rFonts w:cs="Arial"/>
        </w:rPr>
      </w:pPr>
      <w:r w:rsidRPr="00E705FF">
        <w:rPr>
          <w:rFonts w:cs="Arial"/>
        </w:rPr>
        <w:t>Craig D. Workman</w:t>
      </w:r>
    </w:p>
    <w:p w14:paraId="777AE0D9" w14:textId="233AF95D" w:rsidR="00300266" w:rsidRDefault="00EF02F9" w:rsidP="0024653C">
      <w:pPr>
        <w:spacing w:line="240" w:lineRule="auto"/>
        <w:jc w:val="center"/>
        <w:rPr>
          <w:rFonts w:cs="Arial"/>
        </w:rPr>
        <w:sectPr w:rsidR="00300266" w:rsidSect="00C55D12">
          <w:headerReference w:type="first" r:id="rId11"/>
          <w:footerReference w:type="first" r:id="rId12"/>
          <w:pgSz w:w="12240" w:h="15840"/>
          <w:pgMar w:top="1800" w:right="1440" w:bottom="1440" w:left="1440" w:header="720" w:footer="720" w:gutter="0"/>
          <w:pgNumType w:fmt="lowerRoman" w:start="1"/>
          <w:cols w:space="720"/>
          <w:docGrid w:linePitch="360"/>
        </w:sectPr>
      </w:pPr>
      <w:r>
        <w:rPr>
          <w:rFonts w:cs="Arial"/>
        </w:rPr>
        <w:t>Fall</w:t>
      </w:r>
      <w:r w:rsidR="00376952">
        <w:rPr>
          <w:rFonts w:cs="Arial"/>
        </w:rPr>
        <w:t xml:space="preserve"> 2018</w:t>
      </w:r>
    </w:p>
    <w:p w14:paraId="499A81BB" w14:textId="064A38B4" w:rsidR="00E05D25" w:rsidRDefault="003C5D72" w:rsidP="008009D0">
      <w:pPr>
        <w:jc w:val="both"/>
        <w:rPr>
          <w:rFonts w:cs="Arial"/>
          <w:caps/>
        </w:rPr>
      </w:pPr>
      <w:r w:rsidRPr="00FF655E">
        <w:rPr>
          <w:rFonts w:cs="Arial"/>
          <w:caps/>
        </w:rPr>
        <w:lastRenderedPageBreak/>
        <w:t>THE INFLUENC</w:t>
      </w:r>
      <w:r>
        <w:rPr>
          <w:rFonts w:cs="Arial"/>
          <w:caps/>
        </w:rPr>
        <w:t>E OF DOPAMINERGIC MEDICATION ON</w:t>
      </w:r>
      <w:r w:rsidRPr="00FF655E">
        <w:rPr>
          <w:rFonts w:cs="Arial"/>
          <w:caps/>
        </w:rPr>
        <w:t xml:space="preserve"> GAIT</w:t>
      </w:r>
      <w:r>
        <w:rPr>
          <w:rFonts w:cs="Arial"/>
          <w:caps/>
        </w:rPr>
        <w:t xml:space="preserve"> and </w:t>
      </w:r>
      <w:r w:rsidRPr="00FF655E">
        <w:rPr>
          <w:rFonts w:cs="Arial"/>
          <w:caps/>
        </w:rPr>
        <w:t>BALANCE</w:t>
      </w:r>
      <w:r>
        <w:rPr>
          <w:rFonts w:cs="Arial"/>
          <w:caps/>
        </w:rPr>
        <w:t xml:space="preserve"> AUTOMATICITY AND NONLINEAR REGULARITY</w:t>
      </w:r>
      <w:r w:rsidRPr="00FF655E">
        <w:rPr>
          <w:rFonts w:cs="Arial"/>
          <w:caps/>
        </w:rPr>
        <w:t xml:space="preserve"> IN PARKINSON’S DISEASE</w:t>
      </w:r>
      <w:r w:rsidR="00315590" w:rsidRPr="00FF655E">
        <w:rPr>
          <w:rFonts w:cs="Arial"/>
          <w:caps/>
        </w:rPr>
        <w:t xml:space="preserve"> </w:t>
      </w:r>
    </w:p>
    <w:p w14:paraId="686E03D1" w14:textId="77777777" w:rsidR="006D4500" w:rsidRPr="00A93BB3" w:rsidRDefault="006D4500" w:rsidP="008009D0">
      <w:pPr>
        <w:jc w:val="both"/>
        <w:rPr>
          <w:rFonts w:cs="Arial"/>
          <w:caps/>
        </w:rPr>
      </w:pPr>
    </w:p>
    <w:p w14:paraId="476FC311" w14:textId="77777777"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_________________________</w:t>
      </w:r>
    </w:p>
    <w:p w14:paraId="4FC2B126" w14:textId="57EADA67" w:rsidR="00E05D25" w:rsidRDefault="000C43D9" w:rsidP="0024653C">
      <w:pPr>
        <w:spacing w:after="0" w:line="240" w:lineRule="auto"/>
        <w:jc w:val="right"/>
      </w:pPr>
      <w:r>
        <w:t>Craig D. Workman</w:t>
      </w:r>
    </w:p>
    <w:p w14:paraId="67C98FDC" w14:textId="77777777" w:rsidR="00F0546B" w:rsidRPr="00D04F8E" w:rsidRDefault="00F0546B" w:rsidP="0024653C">
      <w:pPr>
        <w:spacing w:after="0" w:line="240" w:lineRule="auto"/>
        <w:jc w:val="right"/>
      </w:pPr>
    </w:p>
    <w:p w14:paraId="59C6EB14" w14:textId="5F954C21" w:rsidR="00E05D25" w:rsidRDefault="00E05D25" w:rsidP="0024653C">
      <w:pPr>
        <w:spacing w:after="0" w:line="240" w:lineRule="auto"/>
        <w:jc w:val="right"/>
        <w:rPr>
          <w:b/>
          <w:bCs/>
        </w:rPr>
      </w:pPr>
      <w:r w:rsidRPr="00D04F8E">
        <w:rPr>
          <w:b/>
          <w:bCs/>
        </w:rPr>
        <w:t>APPROVED:</w:t>
      </w:r>
    </w:p>
    <w:p w14:paraId="7D967AB5" w14:textId="10EE611A" w:rsidR="006D4500" w:rsidRDefault="006D4500" w:rsidP="0024653C">
      <w:pPr>
        <w:spacing w:after="0" w:line="240" w:lineRule="auto"/>
        <w:jc w:val="right"/>
        <w:rPr>
          <w:b/>
          <w:bCs/>
        </w:rPr>
      </w:pPr>
    </w:p>
    <w:p w14:paraId="240FD2ED" w14:textId="77777777" w:rsidR="006D4500" w:rsidRPr="00A93BB3" w:rsidRDefault="006D4500" w:rsidP="0024653C">
      <w:pPr>
        <w:spacing w:after="0" w:line="240" w:lineRule="auto"/>
        <w:jc w:val="right"/>
        <w:rPr>
          <w:b/>
          <w:bCs/>
        </w:rPr>
      </w:pPr>
    </w:p>
    <w:p w14:paraId="3F35442B" w14:textId="77777777" w:rsidR="00E05D25" w:rsidRPr="00A93BB3" w:rsidRDefault="00E05D25" w:rsidP="0024653C">
      <w:pPr>
        <w:widowControl w:val="0"/>
        <w:autoSpaceDE w:val="0"/>
        <w:autoSpaceDN w:val="0"/>
        <w:adjustRightInd w:val="0"/>
        <w:spacing w:after="0" w:line="240" w:lineRule="auto"/>
        <w:jc w:val="right"/>
        <w:rPr>
          <w:rFonts w:cs="Arial"/>
          <w:bCs/>
        </w:rPr>
      </w:pPr>
      <w:r w:rsidRPr="00A93BB3">
        <w:rPr>
          <w:rFonts w:cs="Arial"/>
          <w:bCs/>
        </w:rPr>
        <w:t>_________________________</w:t>
      </w:r>
    </w:p>
    <w:p w14:paraId="798500A8" w14:textId="1D88485A" w:rsidR="00E05D25" w:rsidRPr="00D04F8E" w:rsidRDefault="000C43D9" w:rsidP="0024653C">
      <w:pPr>
        <w:widowControl w:val="0"/>
        <w:tabs>
          <w:tab w:val="right" w:pos="8640"/>
        </w:tabs>
        <w:autoSpaceDE w:val="0"/>
        <w:autoSpaceDN w:val="0"/>
        <w:adjustRightInd w:val="0"/>
        <w:spacing w:after="0" w:line="240" w:lineRule="auto"/>
        <w:jc w:val="right"/>
        <w:rPr>
          <w:rFonts w:cs="Arial"/>
        </w:rPr>
      </w:pPr>
      <w:r>
        <w:rPr>
          <w:rFonts w:cs="Arial"/>
        </w:rPr>
        <w:t>T. Adam Thrasher</w:t>
      </w:r>
      <w:r w:rsidR="00E05D25" w:rsidRPr="00D04F8E">
        <w:rPr>
          <w:rFonts w:cs="Arial"/>
        </w:rPr>
        <w:t>, Ph.D.</w:t>
      </w:r>
    </w:p>
    <w:p w14:paraId="68672BF7" w14:textId="6253F912" w:rsidR="00E05D25" w:rsidRPr="00D04F8E" w:rsidRDefault="00E05D25" w:rsidP="0024653C">
      <w:pPr>
        <w:widowControl w:val="0"/>
        <w:tabs>
          <w:tab w:val="right" w:pos="8640"/>
        </w:tabs>
        <w:autoSpaceDE w:val="0"/>
        <w:autoSpaceDN w:val="0"/>
        <w:adjustRightInd w:val="0"/>
        <w:spacing w:after="0" w:line="240" w:lineRule="auto"/>
        <w:jc w:val="right"/>
        <w:rPr>
          <w:rFonts w:cs="Arial"/>
        </w:rPr>
      </w:pPr>
      <w:r w:rsidRPr="00D04F8E">
        <w:rPr>
          <w:rFonts w:cs="Arial"/>
        </w:rPr>
        <w:t>Committee Chair</w:t>
      </w:r>
    </w:p>
    <w:p w14:paraId="590E8197" w14:textId="0E1B9595" w:rsidR="00E05D25" w:rsidRDefault="00E05D25" w:rsidP="0024653C">
      <w:pPr>
        <w:widowControl w:val="0"/>
        <w:tabs>
          <w:tab w:val="right" w:pos="9720"/>
        </w:tabs>
        <w:autoSpaceDE w:val="0"/>
        <w:autoSpaceDN w:val="0"/>
        <w:adjustRightInd w:val="0"/>
        <w:spacing w:after="0" w:line="240" w:lineRule="auto"/>
        <w:jc w:val="right"/>
        <w:rPr>
          <w:rFonts w:cs="Arial"/>
        </w:rPr>
      </w:pPr>
    </w:p>
    <w:p w14:paraId="5346338B" w14:textId="47344119" w:rsidR="006D4500" w:rsidRDefault="006D4500" w:rsidP="0024653C">
      <w:pPr>
        <w:widowControl w:val="0"/>
        <w:tabs>
          <w:tab w:val="right" w:pos="9720"/>
        </w:tabs>
        <w:autoSpaceDE w:val="0"/>
        <w:autoSpaceDN w:val="0"/>
        <w:adjustRightInd w:val="0"/>
        <w:spacing w:after="0" w:line="240" w:lineRule="auto"/>
        <w:jc w:val="right"/>
        <w:rPr>
          <w:rFonts w:cs="Arial"/>
        </w:rPr>
      </w:pPr>
    </w:p>
    <w:p w14:paraId="3AB2419C" w14:textId="77777777" w:rsidR="006D4500" w:rsidRPr="00D04F8E" w:rsidRDefault="006D4500" w:rsidP="0024653C">
      <w:pPr>
        <w:widowControl w:val="0"/>
        <w:tabs>
          <w:tab w:val="right" w:pos="9720"/>
        </w:tabs>
        <w:autoSpaceDE w:val="0"/>
        <w:autoSpaceDN w:val="0"/>
        <w:adjustRightInd w:val="0"/>
        <w:spacing w:after="0" w:line="240" w:lineRule="auto"/>
        <w:jc w:val="right"/>
        <w:rPr>
          <w:rFonts w:cs="Arial"/>
        </w:rPr>
      </w:pPr>
    </w:p>
    <w:p w14:paraId="1C8E560C" w14:textId="77777777"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_________________________</w:t>
      </w:r>
    </w:p>
    <w:p w14:paraId="1B87DC2F" w14:textId="0D3A84EA" w:rsidR="00E05D25" w:rsidRPr="00D04F8E" w:rsidRDefault="000C43D9" w:rsidP="0024653C">
      <w:pPr>
        <w:widowControl w:val="0"/>
        <w:tabs>
          <w:tab w:val="right" w:pos="9720"/>
        </w:tabs>
        <w:autoSpaceDE w:val="0"/>
        <w:autoSpaceDN w:val="0"/>
        <w:adjustRightInd w:val="0"/>
        <w:spacing w:after="0" w:line="240" w:lineRule="auto"/>
        <w:jc w:val="right"/>
        <w:rPr>
          <w:rFonts w:cs="Arial"/>
        </w:rPr>
      </w:pPr>
      <w:r>
        <w:rPr>
          <w:rFonts w:cs="Arial"/>
        </w:rPr>
        <w:t>C</w:t>
      </w:r>
      <w:r w:rsidR="003E32BB">
        <w:rPr>
          <w:rFonts w:cs="Arial"/>
        </w:rPr>
        <w:t>hristopher J. A</w:t>
      </w:r>
      <w:r>
        <w:rPr>
          <w:rFonts w:cs="Arial"/>
        </w:rPr>
        <w:t>rellano</w:t>
      </w:r>
      <w:r w:rsidR="00E05D25" w:rsidRPr="00D04F8E">
        <w:rPr>
          <w:rFonts w:cs="Arial"/>
        </w:rPr>
        <w:t>, Ph.D.</w:t>
      </w:r>
    </w:p>
    <w:p w14:paraId="234002E7" w14:textId="396C2AFA"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Committee Co-Chair</w:t>
      </w:r>
    </w:p>
    <w:p w14:paraId="69BC1CED" w14:textId="638BDC3B" w:rsidR="00E05D25" w:rsidRDefault="00E05D25" w:rsidP="0024653C">
      <w:pPr>
        <w:widowControl w:val="0"/>
        <w:tabs>
          <w:tab w:val="right" w:pos="9720"/>
        </w:tabs>
        <w:autoSpaceDE w:val="0"/>
        <w:autoSpaceDN w:val="0"/>
        <w:adjustRightInd w:val="0"/>
        <w:spacing w:after="0" w:line="240" w:lineRule="auto"/>
        <w:jc w:val="right"/>
        <w:rPr>
          <w:rFonts w:cs="Arial"/>
        </w:rPr>
      </w:pPr>
    </w:p>
    <w:p w14:paraId="078CA61E" w14:textId="39CD88D7" w:rsidR="006D4500" w:rsidRDefault="006D4500" w:rsidP="0024653C">
      <w:pPr>
        <w:widowControl w:val="0"/>
        <w:tabs>
          <w:tab w:val="right" w:pos="9720"/>
        </w:tabs>
        <w:autoSpaceDE w:val="0"/>
        <w:autoSpaceDN w:val="0"/>
        <w:adjustRightInd w:val="0"/>
        <w:spacing w:after="0" w:line="240" w:lineRule="auto"/>
        <w:jc w:val="right"/>
        <w:rPr>
          <w:rFonts w:cs="Arial"/>
        </w:rPr>
      </w:pPr>
    </w:p>
    <w:p w14:paraId="1D0785EF" w14:textId="77777777" w:rsidR="006D4500" w:rsidRPr="00D04F8E" w:rsidRDefault="006D4500" w:rsidP="0024653C">
      <w:pPr>
        <w:widowControl w:val="0"/>
        <w:tabs>
          <w:tab w:val="right" w:pos="9720"/>
        </w:tabs>
        <w:autoSpaceDE w:val="0"/>
        <w:autoSpaceDN w:val="0"/>
        <w:adjustRightInd w:val="0"/>
        <w:spacing w:after="0" w:line="240" w:lineRule="auto"/>
        <w:jc w:val="right"/>
        <w:rPr>
          <w:rFonts w:cs="Arial"/>
        </w:rPr>
      </w:pPr>
    </w:p>
    <w:p w14:paraId="70AE9519" w14:textId="77777777"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_________________________</w:t>
      </w:r>
    </w:p>
    <w:p w14:paraId="749ADA96" w14:textId="40CFFEFD" w:rsidR="00E05D25" w:rsidRPr="00D04F8E" w:rsidRDefault="000C43D9" w:rsidP="0024653C">
      <w:pPr>
        <w:widowControl w:val="0"/>
        <w:tabs>
          <w:tab w:val="right" w:pos="9720"/>
        </w:tabs>
        <w:autoSpaceDE w:val="0"/>
        <w:autoSpaceDN w:val="0"/>
        <w:adjustRightInd w:val="0"/>
        <w:spacing w:after="0" w:line="240" w:lineRule="auto"/>
        <w:jc w:val="right"/>
        <w:rPr>
          <w:rFonts w:cs="Arial"/>
        </w:rPr>
      </w:pPr>
      <w:r w:rsidRPr="00D04F8E">
        <w:rPr>
          <w:rFonts w:cs="Arial"/>
        </w:rPr>
        <w:t>Beom-Chan Lee, Ph.D.</w:t>
      </w:r>
    </w:p>
    <w:p w14:paraId="58391F73" w14:textId="3CA65EC6"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University of Houston</w:t>
      </w:r>
    </w:p>
    <w:p w14:paraId="22787338" w14:textId="44A9F5E5" w:rsidR="00E05D25" w:rsidRDefault="00E05D25" w:rsidP="0024653C">
      <w:pPr>
        <w:widowControl w:val="0"/>
        <w:tabs>
          <w:tab w:val="right" w:pos="9720"/>
        </w:tabs>
        <w:autoSpaceDE w:val="0"/>
        <w:autoSpaceDN w:val="0"/>
        <w:adjustRightInd w:val="0"/>
        <w:spacing w:after="0" w:line="240" w:lineRule="auto"/>
        <w:jc w:val="right"/>
        <w:rPr>
          <w:rFonts w:cs="Arial"/>
        </w:rPr>
      </w:pPr>
    </w:p>
    <w:p w14:paraId="474B2463" w14:textId="28BFCDC5" w:rsidR="006D4500" w:rsidRDefault="006D4500" w:rsidP="0024653C">
      <w:pPr>
        <w:widowControl w:val="0"/>
        <w:tabs>
          <w:tab w:val="right" w:pos="9720"/>
        </w:tabs>
        <w:autoSpaceDE w:val="0"/>
        <w:autoSpaceDN w:val="0"/>
        <w:adjustRightInd w:val="0"/>
        <w:spacing w:after="0" w:line="240" w:lineRule="auto"/>
        <w:jc w:val="right"/>
        <w:rPr>
          <w:rFonts w:cs="Arial"/>
        </w:rPr>
      </w:pPr>
    </w:p>
    <w:p w14:paraId="6145D64E" w14:textId="77777777" w:rsidR="006D4500" w:rsidRPr="00D04F8E" w:rsidRDefault="006D4500" w:rsidP="0024653C">
      <w:pPr>
        <w:widowControl w:val="0"/>
        <w:tabs>
          <w:tab w:val="right" w:pos="9720"/>
        </w:tabs>
        <w:autoSpaceDE w:val="0"/>
        <w:autoSpaceDN w:val="0"/>
        <w:adjustRightInd w:val="0"/>
        <w:spacing w:after="0" w:line="240" w:lineRule="auto"/>
        <w:jc w:val="right"/>
        <w:rPr>
          <w:rFonts w:cs="Arial"/>
        </w:rPr>
      </w:pPr>
    </w:p>
    <w:p w14:paraId="01E8E92A" w14:textId="77777777" w:rsidR="00E05D25" w:rsidRPr="00D04F8E" w:rsidRDefault="00E05D25" w:rsidP="0024653C">
      <w:pPr>
        <w:widowControl w:val="0"/>
        <w:tabs>
          <w:tab w:val="right" w:pos="9720"/>
        </w:tabs>
        <w:autoSpaceDE w:val="0"/>
        <w:autoSpaceDN w:val="0"/>
        <w:adjustRightInd w:val="0"/>
        <w:spacing w:after="0" w:line="240" w:lineRule="auto"/>
        <w:jc w:val="right"/>
        <w:rPr>
          <w:rFonts w:cs="Arial"/>
        </w:rPr>
      </w:pPr>
      <w:r w:rsidRPr="00D04F8E">
        <w:rPr>
          <w:rFonts w:cs="Arial"/>
        </w:rPr>
        <w:t>_________________________</w:t>
      </w:r>
    </w:p>
    <w:p w14:paraId="5F459E1D" w14:textId="5CA437DC" w:rsidR="00E05D25" w:rsidRPr="00D04F8E" w:rsidRDefault="000C43D9" w:rsidP="0024653C">
      <w:pPr>
        <w:widowControl w:val="0"/>
        <w:tabs>
          <w:tab w:val="right" w:pos="9720"/>
        </w:tabs>
        <w:autoSpaceDE w:val="0"/>
        <w:autoSpaceDN w:val="0"/>
        <w:adjustRightInd w:val="0"/>
        <w:spacing w:after="0" w:line="240" w:lineRule="auto"/>
        <w:jc w:val="right"/>
        <w:rPr>
          <w:rFonts w:cs="Arial"/>
        </w:rPr>
      </w:pPr>
      <w:r>
        <w:rPr>
          <w:rFonts w:cs="Arial"/>
        </w:rPr>
        <w:t>Monthaporn S. Bryant</w:t>
      </w:r>
      <w:r w:rsidR="00E05D25" w:rsidRPr="00D04F8E">
        <w:rPr>
          <w:rFonts w:cs="Arial"/>
        </w:rPr>
        <w:t>,</w:t>
      </w:r>
      <w:r>
        <w:rPr>
          <w:rFonts w:cs="Arial"/>
        </w:rPr>
        <w:t xml:space="preserve"> PT,</w:t>
      </w:r>
      <w:r w:rsidR="00E05D25" w:rsidRPr="00D04F8E">
        <w:rPr>
          <w:rFonts w:cs="Arial"/>
        </w:rPr>
        <w:t xml:space="preserve"> Ph.D.</w:t>
      </w:r>
    </w:p>
    <w:p w14:paraId="0CCF9EAD" w14:textId="6C0A3EA6" w:rsidR="00E05D25" w:rsidRPr="00D04F8E" w:rsidRDefault="000164B5" w:rsidP="0024653C">
      <w:pPr>
        <w:widowControl w:val="0"/>
        <w:tabs>
          <w:tab w:val="right" w:pos="9720"/>
        </w:tabs>
        <w:autoSpaceDE w:val="0"/>
        <w:autoSpaceDN w:val="0"/>
        <w:adjustRightInd w:val="0"/>
        <w:spacing w:after="0" w:line="240" w:lineRule="auto"/>
        <w:jc w:val="right"/>
        <w:rPr>
          <w:rFonts w:cs="Arial"/>
        </w:rPr>
      </w:pPr>
      <w:r>
        <w:rPr>
          <w:rFonts w:cs="Arial"/>
        </w:rPr>
        <w:t>Michael E. DeBakey VA Medical Center</w:t>
      </w:r>
    </w:p>
    <w:p w14:paraId="2F18C91A" w14:textId="4F3B6313" w:rsidR="00E05D25" w:rsidRDefault="00E05D25" w:rsidP="0024653C">
      <w:pPr>
        <w:widowControl w:val="0"/>
        <w:autoSpaceDE w:val="0"/>
        <w:autoSpaceDN w:val="0"/>
        <w:adjustRightInd w:val="0"/>
        <w:spacing w:after="0" w:line="240" w:lineRule="auto"/>
        <w:jc w:val="right"/>
        <w:rPr>
          <w:rFonts w:cs="Arial"/>
        </w:rPr>
      </w:pPr>
    </w:p>
    <w:p w14:paraId="3454A998" w14:textId="2EFAEFF5" w:rsidR="006D4500" w:rsidRDefault="006D4500" w:rsidP="0024653C">
      <w:pPr>
        <w:widowControl w:val="0"/>
        <w:autoSpaceDE w:val="0"/>
        <w:autoSpaceDN w:val="0"/>
        <w:adjustRightInd w:val="0"/>
        <w:spacing w:after="0" w:line="240" w:lineRule="auto"/>
        <w:jc w:val="right"/>
        <w:rPr>
          <w:rFonts w:cs="Arial"/>
        </w:rPr>
      </w:pPr>
    </w:p>
    <w:p w14:paraId="6BD44545" w14:textId="77777777" w:rsidR="006D4500" w:rsidRPr="00D04F8E" w:rsidRDefault="006D4500" w:rsidP="0024653C">
      <w:pPr>
        <w:widowControl w:val="0"/>
        <w:autoSpaceDE w:val="0"/>
        <w:autoSpaceDN w:val="0"/>
        <w:adjustRightInd w:val="0"/>
        <w:spacing w:after="0" w:line="240" w:lineRule="auto"/>
        <w:jc w:val="right"/>
        <w:rPr>
          <w:rFonts w:cs="Arial"/>
        </w:rPr>
      </w:pPr>
    </w:p>
    <w:p w14:paraId="64E7B79F" w14:textId="77777777" w:rsidR="00E05D25" w:rsidRPr="00D04F8E" w:rsidRDefault="00E05D25" w:rsidP="0024653C">
      <w:pPr>
        <w:widowControl w:val="0"/>
        <w:autoSpaceDE w:val="0"/>
        <w:autoSpaceDN w:val="0"/>
        <w:adjustRightInd w:val="0"/>
        <w:spacing w:after="0" w:line="240" w:lineRule="auto"/>
        <w:jc w:val="right"/>
        <w:rPr>
          <w:rFonts w:cs="Arial"/>
        </w:rPr>
      </w:pPr>
      <w:r w:rsidRPr="00D04F8E">
        <w:rPr>
          <w:rFonts w:cs="Arial"/>
        </w:rPr>
        <w:t>_________________________</w:t>
      </w:r>
    </w:p>
    <w:p w14:paraId="449A2D52" w14:textId="77777777" w:rsidR="002B64E2" w:rsidRPr="002B64E2" w:rsidRDefault="002B64E2" w:rsidP="0024653C">
      <w:pPr>
        <w:widowControl w:val="0"/>
        <w:autoSpaceDE w:val="0"/>
        <w:autoSpaceDN w:val="0"/>
        <w:adjustRightInd w:val="0"/>
        <w:spacing w:after="0" w:line="240" w:lineRule="auto"/>
        <w:jc w:val="right"/>
        <w:rPr>
          <w:rFonts w:cs="Arial"/>
        </w:rPr>
      </w:pPr>
      <w:r w:rsidRPr="002B64E2">
        <w:rPr>
          <w:rFonts w:cs="Arial"/>
        </w:rPr>
        <w:t>Antonio D. Tillis, Ph.D.</w:t>
      </w:r>
    </w:p>
    <w:p w14:paraId="69C96F97" w14:textId="77777777" w:rsidR="002B64E2" w:rsidRPr="002B64E2" w:rsidRDefault="002B64E2" w:rsidP="0024653C">
      <w:pPr>
        <w:widowControl w:val="0"/>
        <w:autoSpaceDE w:val="0"/>
        <w:autoSpaceDN w:val="0"/>
        <w:adjustRightInd w:val="0"/>
        <w:spacing w:after="0" w:line="240" w:lineRule="auto"/>
        <w:jc w:val="right"/>
        <w:rPr>
          <w:rFonts w:cs="Arial"/>
        </w:rPr>
      </w:pPr>
      <w:r w:rsidRPr="002B64E2">
        <w:rPr>
          <w:rFonts w:cs="Arial"/>
        </w:rPr>
        <w:t>Dean, College of Liberal Arts and Social Sciences</w:t>
      </w:r>
    </w:p>
    <w:p w14:paraId="66D726C2" w14:textId="6FCAD4A9" w:rsidR="00E05D25" w:rsidRPr="00D04F8E" w:rsidRDefault="002B64E2" w:rsidP="0024653C">
      <w:pPr>
        <w:widowControl w:val="0"/>
        <w:autoSpaceDE w:val="0"/>
        <w:autoSpaceDN w:val="0"/>
        <w:adjustRightInd w:val="0"/>
        <w:spacing w:after="0" w:line="240" w:lineRule="auto"/>
        <w:jc w:val="right"/>
        <w:rPr>
          <w:rFonts w:cs="Arial"/>
        </w:rPr>
      </w:pPr>
      <w:r w:rsidRPr="002B64E2">
        <w:rPr>
          <w:rFonts w:cs="Arial"/>
        </w:rPr>
        <w:t>Department of Hispanic Studies</w:t>
      </w:r>
    </w:p>
    <w:p w14:paraId="622E9E51" w14:textId="77777777" w:rsidR="000F2784" w:rsidRDefault="000F2784" w:rsidP="008009D0">
      <w:pPr>
        <w:widowControl w:val="0"/>
        <w:autoSpaceDE w:val="0"/>
        <w:autoSpaceDN w:val="0"/>
        <w:adjustRightInd w:val="0"/>
        <w:spacing w:after="0"/>
        <w:jc w:val="both"/>
        <w:rPr>
          <w:rFonts w:cs="Arial"/>
          <w:caps/>
        </w:rPr>
        <w:sectPr w:rsidR="000F2784" w:rsidSect="00C55D12">
          <w:headerReference w:type="first" r:id="rId13"/>
          <w:footerReference w:type="first" r:id="rId14"/>
          <w:pgSz w:w="12240" w:h="15840"/>
          <w:pgMar w:top="1800" w:right="1440" w:bottom="1440" w:left="1440" w:header="720" w:footer="720" w:gutter="0"/>
          <w:pgNumType w:fmt="lowerRoman" w:start="2"/>
          <w:cols w:space="720"/>
          <w:docGrid w:linePitch="360"/>
        </w:sectPr>
      </w:pPr>
    </w:p>
    <w:p w14:paraId="452A9B47" w14:textId="48E7CDA0" w:rsidR="00081F13" w:rsidRPr="00F0546B" w:rsidRDefault="006602AC" w:rsidP="008009D0">
      <w:pPr>
        <w:jc w:val="both"/>
        <w:rPr>
          <w:rFonts w:cs="Arial"/>
          <w:caps/>
        </w:rPr>
      </w:pPr>
      <w:r w:rsidRPr="00FF655E">
        <w:rPr>
          <w:rFonts w:cs="Arial"/>
          <w:caps/>
        </w:rPr>
        <w:lastRenderedPageBreak/>
        <w:t>THE INFLUENC</w:t>
      </w:r>
      <w:r>
        <w:rPr>
          <w:rFonts w:cs="Arial"/>
          <w:caps/>
        </w:rPr>
        <w:t>E OF DOPAMINERGIC MEDICATION ON</w:t>
      </w:r>
      <w:r w:rsidRPr="00FF655E">
        <w:rPr>
          <w:rFonts w:cs="Arial"/>
          <w:caps/>
        </w:rPr>
        <w:t xml:space="preserve"> GAIT</w:t>
      </w:r>
      <w:r>
        <w:rPr>
          <w:rFonts w:cs="Arial"/>
          <w:caps/>
        </w:rPr>
        <w:t xml:space="preserve"> and </w:t>
      </w:r>
      <w:r w:rsidRPr="00FF655E">
        <w:rPr>
          <w:rFonts w:cs="Arial"/>
          <w:caps/>
        </w:rPr>
        <w:t>BALANCE</w:t>
      </w:r>
      <w:r>
        <w:rPr>
          <w:rFonts w:cs="Arial"/>
          <w:caps/>
        </w:rPr>
        <w:t xml:space="preserve"> AUTOMATICITY AND NONLINEAR REGULARITY</w:t>
      </w:r>
      <w:r w:rsidRPr="00FF655E">
        <w:rPr>
          <w:rFonts w:cs="Arial"/>
          <w:caps/>
        </w:rPr>
        <w:t xml:space="preserve"> IN PARKINSON’S DISEASE</w:t>
      </w:r>
    </w:p>
    <w:p w14:paraId="58B0A26B" w14:textId="4470D80E" w:rsidR="00081F13" w:rsidRPr="00E705FF" w:rsidRDefault="00081F13" w:rsidP="00BD14E2">
      <w:pPr>
        <w:spacing w:line="240" w:lineRule="auto"/>
        <w:jc w:val="center"/>
        <w:rPr>
          <w:rFonts w:cs="Arial"/>
        </w:rPr>
      </w:pPr>
      <w:r w:rsidRPr="00E705FF">
        <w:rPr>
          <w:rFonts w:cs="Arial"/>
        </w:rPr>
        <w:t>_______________</w:t>
      </w:r>
    </w:p>
    <w:p w14:paraId="0B53BAC4" w14:textId="6E2AD38A" w:rsidR="00081F13" w:rsidRPr="00E705FF" w:rsidRDefault="00081F13" w:rsidP="00BD14E2">
      <w:pPr>
        <w:spacing w:line="240" w:lineRule="auto"/>
        <w:jc w:val="center"/>
        <w:rPr>
          <w:rFonts w:cs="Arial"/>
        </w:rPr>
      </w:pPr>
      <w:r w:rsidRPr="00E705FF">
        <w:rPr>
          <w:rFonts w:cs="Arial"/>
        </w:rPr>
        <w:t>An Abstract of a Dissertation</w:t>
      </w:r>
    </w:p>
    <w:p w14:paraId="2630A727" w14:textId="7C025987" w:rsidR="00081F13" w:rsidRPr="00E705FF" w:rsidRDefault="00081F13" w:rsidP="00BD14E2">
      <w:pPr>
        <w:spacing w:line="240" w:lineRule="auto"/>
        <w:jc w:val="center"/>
        <w:rPr>
          <w:rFonts w:cs="Arial"/>
        </w:rPr>
      </w:pPr>
      <w:r w:rsidRPr="00E705FF">
        <w:rPr>
          <w:rFonts w:cs="Arial"/>
        </w:rPr>
        <w:t>Presented to</w:t>
      </w:r>
    </w:p>
    <w:p w14:paraId="3389549E" w14:textId="77777777" w:rsidR="00081F13" w:rsidRPr="00E705FF" w:rsidRDefault="00081F13" w:rsidP="00BD14E2">
      <w:pPr>
        <w:spacing w:line="240" w:lineRule="auto"/>
        <w:jc w:val="center"/>
        <w:rPr>
          <w:rFonts w:cs="Arial"/>
        </w:rPr>
      </w:pPr>
      <w:r w:rsidRPr="00E705FF">
        <w:rPr>
          <w:rFonts w:cs="Arial"/>
        </w:rPr>
        <w:t>The Faculty of the Department</w:t>
      </w:r>
    </w:p>
    <w:p w14:paraId="367FF5E2" w14:textId="77777777" w:rsidR="00081F13" w:rsidRPr="00E705FF" w:rsidRDefault="00081F13" w:rsidP="00BD14E2">
      <w:pPr>
        <w:spacing w:line="240" w:lineRule="auto"/>
        <w:jc w:val="center"/>
        <w:rPr>
          <w:rFonts w:cs="Arial"/>
        </w:rPr>
      </w:pPr>
      <w:r w:rsidRPr="00E705FF">
        <w:rPr>
          <w:rFonts w:cs="Arial"/>
        </w:rPr>
        <w:t>of Health &amp; Human Performance</w:t>
      </w:r>
    </w:p>
    <w:p w14:paraId="77C885ED" w14:textId="5B3FDBE8" w:rsidR="00081F13" w:rsidRPr="00E705FF" w:rsidRDefault="00081F13" w:rsidP="00BD14E2">
      <w:pPr>
        <w:spacing w:line="240" w:lineRule="auto"/>
        <w:jc w:val="center"/>
        <w:rPr>
          <w:rFonts w:cs="Arial"/>
        </w:rPr>
      </w:pPr>
      <w:r w:rsidRPr="00E705FF">
        <w:rPr>
          <w:rFonts w:cs="Arial"/>
        </w:rPr>
        <w:t>University of Houston</w:t>
      </w:r>
    </w:p>
    <w:p w14:paraId="62C6D200" w14:textId="77777777" w:rsidR="00081F13" w:rsidRPr="00E705FF" w:rsidRDefault="00081F13" w:rsidP="00BD14E2">
      <w:pPr>
        <w:spacing w:line="240" w:lineRule="auto"/>
        <w:jc w:val="center"/>
        <w:rPr>
          <w:rFonts w:cs="Arial"/>
        </w:rPr>
      </w:pPr>
    </w:p>
    <w:p w14:paraId="62532F13" w14:textId="3E1673BE" w:rsidR="00081F13" w:rsidRPr="00E705FF" w:rsidRDefault="00081F13" w:rsidP="00BD14E2">
      <w:pPr>
        <w:spacing w:line="240" w:lineRule="auto"/>
        <w:jc w:val="center"/>
        <w:rPr>
          <w:rFonts w:cs="Arial"/>
        </w:rPr>
      </w:pPr>
      <w:r w:rsidRPr="00E705FF">
        <w:rPr>
          <w:rFonts w:cs="Arial"/>
        </w:rPr>
        <w:t>_______________</w:t>
      </w:r>
    </w:p>
    <w:p w14:paraId="2C41C4FE" w14:textId="01318EC0" w:rsidR="00081F13" w:rsidRPr="00E705FF" w:rsidRDefault="00081F13" w:rsidP="00BD14E2">
      <w:pPr>
        <w:spacing w:line="240" w:lineRule="auto"/>
        <w:jc w:val="center"/>
        <w:rPr>
          <w:rFonts w:cs="Arial"/>
        </w:rPr>
      </w:pPr>
      <w:r w:rsidRPr="00E705FF">
        <w:rPr>
          <w:rFonts w:cs="Arial"/>
        </w:rPr>
        <w:t>In Partial Fulfillment</w:t>
      </w:r>
    </w:p>
    <w:p w14:paraId="722F1CFC" w14:textId="77777777" w:rsidR="00081F13" w:rsidRPr="00E705FF" w:rsidRDefault="00081F13" w:rsidP="00BD14E2">
      <w:pPr>
        <w:spacing w:line="240" w:lineRule="auto"/>
        <w:jc w:val="center"/>
        <w:rPr>
          <w:rFonts w:cs="Arial"/>
        </w:rPr>
      </w:pPr>
      <w:r w:rsidRPr="00E705FF">
        <w:rPr>
          <w:rFonts w:cs="Arial"/>
        </w:rPr>
        <w:t>of the Requirements of the Degree:</w:t>
      </w:r>
    </w:p>
    <w:p w14:paraId="1477F226" w14:textId="653E1538" w:rsidR="00081F13" w:rsidRPr="00E705FF" w:rsidRDefault="00081F13" w:rsidP="00BD14E2">
      <w:pPr>
        <w:spacing w:line="240" w:lineRule="auto"/>
        <w:jc w:val="center"/>
        <w:rPr>
          <w:rFonts w:cs="Arial"/>
        </w:rPr>
      </w:pPr>
      <w:r w:rsidRPr="00E705FF">
        <w:rPr>
          <w:rFonts w:cs="Arial"/>
        </w:rPr>
        <w:t>Doctor of Philosophy</w:t>
      </w:r>
    </w:p>
    <w:p w14:paraId="5D10A6FF" w14:textId="386BA169" w:rsidR="00081F13" w:rsidRPr="00E705FF" w:rsidRDefault="00081F13" w:rsidP="00BD14E2">
      <w:pPr>
        <w:spacing w:line="240" w:lineRule="auto"/>
        <w:jc w:val="center"/>
        <w:rPr>
          <w:rFonts w:cs="Arial"/>
        </w:rPr>
      </w:pPr>
      <w:r w:rsidRPr="00E705FF">
        <w:rPr>
          <w:rFonts w:cs="Arial"/>
        </w:rPr>
        <w:t>in Kinesiology</w:t>
      </w:r>
    </w:p>
    <w:p w14:paraId="62E35ABA" w14:textId="77777777" w:rsidR="00081F13" w:rsidRPr="00E705FF" w:rsidRDefault="00081F13" w:rsidP="00BD14E2">
      <w:pPr>
        <w:spacing w:line="240" w:lineRule="auto"/>
        <w:jc w:val="center"/>
        <w:rPr>
          <w:rFonts w:cs="Arial"/>
        </w:rPr>
      </w:pPr>
      <w:r w:rsidRPr="00E705FF">
        <w:rPr>
          <w:rFonts w:cs="Arial"/>
        </w:rPr>
        <w:t>_______________</w:t>
      </w:r>
    </w:p>
    <w:p w14:paraId="471C8675" w14:textId="77777777" w:rsidR="00081F13" w:rsidRPr="00E705FF" w:rsidRDefault="00081F13" w:rsidP="00BD14E2">
      <w:pPr>
        <w:spacing w:line="240" w:lineRule="auto"/>
        <w:jc w:val="center"/>
        <w:rPr>
          <w:rFonts w:cs="Arial"/>
        </w:rPr>
      </w:pPr>
      <w:r w:rsidRPr="00E705FF">
        <w:rPr>
          <w:rFonts w:cs="Arial"/>
        </w:rPr>
        <w:t>By</w:t>
      </w:r>
    </w:p>
    <w:p w14:paraId="2C5F1E22" w14:textId="4B020EC5" w:rsidR="00081F13" w:rsidRPr="00E705FF" w:rsidRDefault="00D84452" w:rsidP="00BD14E2">
      <w:pPr>
        <w:spacing w:line="240" w:lineRule="auto"/>
        <w:jc w:val="center"/>
        <w:rPr>
          <w:rFonts w:cs="Arial"/>
        </w:rPr>
      </w:pPr>
      <w:r w:rsidRPr="00E705FF">
        <w:rPr>
          <w:rFonts w:cs="Arial"/>
        </w:rPr>
        <w:t>Craig D. Workman</w:t>
      </w:r>
    </w:p>
    <w:p w14:paraId="5813B9D8" w14:textId="43B1C0C6" w:rsidR="00081F13" w:rsidRPr="00E705FF" w:rsidRDefault="00CB146C" w:rsidP="00BD14E2">
      <w:pPr>
        <w:spacing w:line="240" w:lineRule="auto"/>
        <w:jc w:val="center"/>
        <w:rPr>
          <w:rFonts w:cs="Arial"/>
        </w:rPr>
      </w:pPr>
      <w:r>
        <w:rPr>
          <w:rFonts w:cs="Arial"/>
        </w:rPr>
        <w:t>Fall</w:t>
      </w:r>
      <w:r w:rsidR="005C4113">
        <w:rPr>
          <w:rFonts w:cs="Arial"/>
        </w:rPr>
        <w:t xml:space="preserve"> 2018</w:t>
      </w:r>
    </w:p>
    <w:p w14:paraId="14E348DF" w14:textId="77777777" w:rsidR="005D1CB3" w:rsidRDefault="005D1CB3" w:rsidP="008009D0">
      <w:pPr>
        <w:jc w:val="both"/>
        <w:rPr>
          <w:rFonts w:cs="Arial"/>
        </w:rPr>
        <w:sectPr w:rsidR="005D1CB3" w:rsidSect="00C55D12">
          <w:headerReference w:type="even" r:id="rId15"/>
          <w:headerReference w:type="default" r:id="rId16"/>
          <w:footerReference w:type="default" r:id="rId17"/>
          <w:footerReference w:type="first" r:id="rId18"/>
          <w:pgSz w:w="12240" w:h="15840"/>
          <w:pgMar w:top="1800" w:right="1440" w:bottom="1440" w:left="1440" w:header="720" w:footer="720" w:gutter="0"/>
          <w:pgNumType w:fmt="lowerRoman"/>
          <w:cols w:space="720"/>
          <w:docGrid w:linePitch="326"/>
        </w:sectPr>
      </w:pPr>
    </w:p>
    <w:p w14:paraId="5083FA5E" w14:textId="3F254C0C" w:rsidR="00617024" w:rsidRPr="00E705FF" w:rsidRDefault="008D01FC" w:rsidP="008009D0">
      <w:pPr>
        <w:jc w:val="both"/>
        <w:rPr>
          <w:rFonts w:cs="Arial"/>
        </w:rPr>
      </w:pPr>
      <w:r w:rsidRPr="00E705FF">
        <w:rPr>
          <w:rFonts w:cs="Arial"/>
        </w:rPr>
        <w:lastRenderedPageBreak/>
        <w:t>ABSTRACT</w:t>
      </w:r>
    </w:p>
    <w:p w14:paraId="520EF88A" w14:textId="2EA3ECAC" w:rsidR="00E6265D" w:rsidRPr="00E705FF" w:rsidRDefault="00FF3D73" w:rsidP="008009D0">
      <w:pPr>
        <w:jc w:val="both"/>
        <w:rPr>
          <w:rFonts w:cs="Arial"/>
        </w:rPr>
      </w:pPr>
      <w:r>
        <w:rPr>
          <w:rFonts w:cs="Arial"/>
          <w:shd w:val="clear" w:color="auto" w:fill="FFFFFF"/>
        </w:rPr>
        <w:t xml:space="preserve">Dual-tasking studies have shown that gait and balance automaticity in Parkinson’s disease (PD) is significantly diminished. </w:t>
      </w:r>
      <w:r w:rsidR="0028254D">
        <w:rPr>
          <w:rFonts w:cs="Arial"/>
          <w:shd w:val="clear" w:color="auto" w:fill="FFFFFF"/>
        </w:rPr>
        <w:t>It is also</w:t>
      </w:r>
      <w:r>
        <w:rPr>
          <w:rFonts w:cs="Arial"/>
          <w:shd w:val="clear" w:color="auto" w:fill="FFFFFF"/>
        </w:rPr>
        <w:t xml:space="preserve"> well accepted that dopaminergic medication improves single-task gait</w:t>
      </w:r>
      <w:r w:rsidR="00057E37">
        <w:rPr>
          <w:rFonts w:cs="Arial"/>
          <w:shd w:val="clear" w:color="auto" w:fill="FFFFFF"/>
        </w:rPr>
        <w:t xml:space="preserve"> and some aspects of balance</w:t>
      </w:r>
      <w:r>
        <w:rPr>
          <w:rFonts w:cs="Arial"/>
          <w:shd w:val="clear" w:color="auto" w:fill="FFFFFF"/>
        </w:rPr>
        <w:t xml:space="preserve">. </w:t>
      </w:r>
      <w:r w:rsidR="00961E87">
        <w:rPr>
          <w:rFonts w:cs="Arial"/>
          <w:shd w:val="clear" w:color="auto" w:fill="FFFFFF"/>
        </w:rPr>
        <w:t>Yet</w:t>
      </w:r>
      <w:r w:rsidR="00E03EED">
        <w:rPr>
          <w:rFonts w:cs="Arial"/>
          <w:shd w:val="clear" w:color="auto" w:fill="FFFFFF"/>
        </w:rPr>
        <w:t xml:space="preserve">, how dopaminergic medication influences gait and balance automaticity in PD </w:t>
      </w:r>
      <w:r w:rsidR="00961E87">
        <w:rPr>
          <w:rFonts w:cs="Arial"/>
          <w:shd w:val="clear" w:color="auto" w:fill="FFFFFF"/>
        </w:rPr>
        <w:t>is not well understood</w:t>
      </w:r>
      <w:r w:rsidR="00E03EED">
        <w:rPr>
          <w:rFonts w:cs="Arial"/>
          <w:shd w:val="clear" w:color="auto" w:fill="FFFFFF"/>
        </w:rPr>
        <w:t xml:space="preserve">. </w:t>
      </w:r>
      <w:r w:rsidR="0028254D">
        <w:rPr>
          <w:rFonts w:cs="Arial"/>
          <w:shd w:val="clear" w:color="auto" w:fill="FFFFFF"/>
        </w:rPr>
        <w:t xml:space="preserve">Additionally, gait and balance automaticity studies in PD have almost exclusively employed linear measures to describe outcomes. </w:t>
      </w:r>
      <w:r w:rsidR="00961E87">
        <w:rPr>
          <w:rFonts w:cs="Arial"/>
          <w:shd w:val="clear" w:color="auto" w:fill="FFFFFF"/>
        </w:rPr>
        <w:t xml:space="preserve">Unlike linear measures, </w:t>
      </w:r>
      <w:r w:rsidR="00625AE1">
        <w:rPr>
          <w:rFonts w:cs="Arial"/>
          <w:shd w:val="clear" w:color="auto" w:fill="FFFFFF"/>
        </w:rPr>
        <w:t>n</w:t>
      </w:r>
      <w:r w:rsidR="0028254D">
        <w:rPr>
          <w:rFonts w:cs="Arial"/>
          <w:shd w:val="clear" w:color="auto" w:fill="FFFFFF"/>
        </w:rPr>
        <w:t xml:space="preserve">onlinear </w:t>
      </w:r>
      <w:r w:rsidR="00625AE1">
        <w:rPr>
          <w:rFonts w:cs="Arial"/>
          <w:shd w:val="clear" w:color="auto" w:fill="FFFFFF"/>
        </w:rPr>
        <w:t>analyses like Approximate Entropy and Recurrence Quantification Analysis</w:t>
      </w:r>
      <w:r w:rsidR="0028254D">
        <w:rPr>
          <w:rFonts w:cs="Arial"/>
          <w:shd w:val="clear" w:color="auto" w:fill="FFFFFF"/>
        </w:rPr>
        <w:t xml:space="preserve"> </w:t>
      </w:r>
      <w:r w:rsidR="00625AE1">
        <w:rPr>
          <w:rFonts w:cs="Arial"/>
          <w:shd w:val="clear" w:color="auto" w:fill="FFFFFF"/>
        </w:rPr>
        <w:t>account for</w:t>
      </w:r>
      <w:r w:rsidR="0028254D">
        <w:rPr>
          <w:rFonts w:cs="Arial"/>
          <w:shd w:val="clear" w:color="auto" w:fill="FFFFFF"/>
        </w:rPr>
        <w:t xml:space="preserve"> the </w:t>
      </w:r>
      <w:r w:rsidR="00625AE1">
        <w:rPr>
          <w:rFonts w:cs="Arial"/>
          <w:shd w:val="clear" w:color="auto" w:fill="FFFFFF"/>
        </w:rPr>
        <w:t>regularity</w:t>
      </w:r>
      <w:r w:rsidR="0028254D">
        <w:rPr>
          <w:rFonts w:cs="Arial"/>
          <w:shd w:val="clear" w:color="auto" w:fill="FFFFFF"/>
        </w:rPr>
        <w:t xml:space="preserve"> of </w:t>
      </w:r>
      <w:r w:rsidR="00625AE1">
        <w:rPr>
          <w:rFonts w:cs="Arial"/>
          <w:shd w:val="clear" w:color="auto" w:fill="FFFFFF"/>
        </w:rPr>
        <w:t xml:space="preserve">the </w:t>
      </w:r>
      <w:r w:rsidR="0028254D">
        <w:rPr>
          <w:rFonts w:cs="Arial"/>
          <w:shd w:val="clear" w:color="auto" w:fill="FFFFFF"/>
        </w:rPr>
        <w:t>entire signal</w:t>
      </w:r>
      <w:r w:rsidR="00961E87">
        <w:rPr>
          <w:rFonts w:cs="Arial"/>
          <w:shd w:val="clear" w:color="auto" w:fill="FFFFFF"/>
        </w:rPr>
        <w:t xml:space="preserve"> and can help determine the automaticity of the intended movement pattern</w:t>
      </w:r>
      <w:r w:rsidR="0028254D">
        <w:rPr>
          <w:rFonts w:cs="Arial"/>
          <w:shd w:val="clear" w:color="auto" w:fill="FFFFFF"/>
        </w:rPr>
        <w:t xml:space="preserve">. </w:t>
      </w:r>
      <w:r w:rsidR="008A2040">
        <w:rPr>
          <w:rFonts w:cs="Arial"/>
          <w:shd w:val="clear" w:color="auto" w:fill="FFFFFF"/>
        </w:rPr>
        <w:t>Therefore, t</w:t>
      </w:r>
      <w:r w:rsidR="0028254D">
        <w:rPr>
          <w:rFonts w:cs="Arial"/>
          <w:shd w:val="clear" w:color="auto" w:fill="FFFFFF"/>
        </w:rPr>
        <w:t>his study aimed to determine how dopaminergic medication influenced the</w:t>
      </w:r>
      <w:r w:rsidR="008A2040">
        <w:rPr>
          <w:rFonts w:cs="Arial"/>
          <w:shd w:val="clear" w:color="auto" w:fill="FFFFFF"/>
        </w:rPr>
        <w:t xml:space="preserve"> automaticity of gait and balance via linear and nonlinear analyses</w:t>
      </w:r>
      <w:r w:rsidR="0028254D">
        <w:rPr>
          <w:rFonts w:cs="Arial"/>
          <w:shd w:val="clear" w:color="auto" w:fill="FFFFFF"/>
        </w:rPr>
        <w:t xml:space="preserve"> of joint angle and center of pressure (COP) path signals while single- and dual-tasking in PD.</w:t>
      </w:r>
      <w:r w:rsidRPr="00864B56">
        <w:rPr>
          <w:rFonts w:cs="Arial"/>
          <w:shd w:val="clear" w:color="auto" w:fill="FFFFFF"/>
        </w:rPr>
        <w:t xml:space="preserve"> </w:t>
      </w:r>
      <w:r>
        <w:rPr>
          <w:rFonts w:cs="Arial"/>
          <w:shd w:val="clear" w:color="auto" w:fill="FFFFFF"/>
        </w:rPr>
        <w:t>Sixteen subjects with PD completed single- and dual-task walking</w:t>
      </w:r>
      <w:r w:rsidR="008A2040">
        <w:rPr>
          <w:rFonts w:cs="Arial"/>
          <w:shd w:val="clear" w:color="auto" w:fill="FFFFFF"/>
        </w:rPr>
        <w:t xml:space="preserve"> and standing (eyes open and eyes closed)</w:t>
      </w:r>
      <w:r>
        <w:rPr>
          <w:rFonts w:cs="Arial"/>
          <w:shd w:val="clear" w:color="auto" w:fill="FFFFFF"/>
        </w:rPr>
        <w:t xml:space="preserve"> for 3 minutes off and on medication. </w:t>
      </w:r>
      <w:r w:rsidR="003F35B3">
        <w:rPr>
          <w:rFonts w:cs="Arial"/>
          <w:shd w:val="clear" w:color="auto" w:fill="FFFFFF"/>
        </w:rPr>
        <w:t>Gait</w:t>
      </w:r>
      <w:r w:rsidR="00E3321E">
        <w:rPr>
          <w:rFonts w:cs="Arial"/>
          <w:shd w:val="clear" w:color="auto" w:fill="FFFFFF"/>
        </w:rPr>
        <w:t xml:space="preserve"> </w:t>
      </w:r>
      <w:r>
        <w:rPr>
          <w:rFonts w:cs="Arial"/>
          <w:shd w:val="clear" w:color="auto" w:fill="FFFFFF"/>
        </w:rPr>
        <w:t xml:space="preserve">velocity, cadence, and stride length </w:t>
      </w:r>
      <w:r w:rsidR="00E3321E">
        <w:rPr>
          <w:rFonts w:cs="Arial"/>
          <w:shd w:val="clear" w:color="auto" w:fill="FFFFFF"/>
        </w:rPr>
        <w:t>were</w:t>
      </w:r>
      <w:r w:rsidR="00CA0EEA">
        <w:rPr>
          <w:rFonts w:cs="Arial"/>
          <w:shd w:val="clear" w:color="auto" w:fill="FFFFFF"/>
        </w:rPr>
        <w:t xml:space="preserve"> measured, as well as k</w:t>
      </w:r>
      <w:r w:rsidR="00E3321E">
        <w:rPr>
          <w:rFonts w:cs="Arial"/>
          <w:shd w:val="clear" w:color="auto" w:fill="FFFFFF"/>
        </w:rPr>
        <w:t xml:space="preserve">inematic variables </w:t>
      </w:r>
      <w:r w:rsidR="00CA0EEA">
        <w:rPr>
          <w:rFonts w:cs="Arial"/>
          <w:shd w:val="clear" w:color="auto" w:fill="FFFFFF"/>
        </w:rPr>
        <w:t>(</w:t>
      </w:r>
      <w:r w:rsidR="00E3321E">
        <w:rPr>
          <w:rFonts w:cs="Arial"/>
          <w:shd w:val="clear" w:color="auto" w:fill="FFFFFF"/>
        </w:rPr>
        <w:t>mean, maximum, and SD angles of bilatera</w:t>
      </w:r>
      <w:r w:rsidR="00CA0EEA">
        <w:rPr>
          <w:rFonts w:cs="Arial"/>
          <w:shd w:val="clear" w:color="auto" w:fill="FFFFFF"/>
        </w:rPr>
        <w:t>l hip, knee, and shoulder joint) were calculated to describe gait performance</w:t>
      </w:r>
      <w:r w:rsidR="00E3321E">
        <w:rPr>
          <w:rFonts w:cs="Arial"/>
          <w:shd w:val="clear" w:color="auto" w:fill="FFFFFF"/>
        </w:rPr>
        <w:t xml:space="preserve">. </w:t>
      </w:r>
      <w:r w:rsidR="00CA0EEA">
        <w:rPr>
          <w:rFonts w:cs="Arial"/>
          <w:shd w:val="clear" w:color="auto" w:fill="FFFFFF"/>
        </w:rPr>
        <w:t>For</w:t>
      </w:r>
      <w:r w:rsidR="008A2040">
        <w:rPr>
          <w:rFonts w:cs="Arial"/>
          <w:shd w:val="clear" w:color="auto" w:fill="FFFFFF"/>
        </w:rPr>
        <w:t xml:space="preserve"> </w:t>
      </w:r>
      <w:r w:rsidR="00E3321E">
        <w:rPr>
          <w:rFonts w:cs="Arial"/>
          <w:shd w:val="clear" w:color="auto" w:fill="FFFFFF"/>
        </w:rPr>
        <w:t>balance</w:t>
      </w:r>
      <w:r w:rsidR="008A2040">
        <w:rPr>
          <w:rFonts w:cs="Arial"/>
          <w:shd w:val="clear" w:color="auto" w:fill="FFFFFF"/>
        </w:rPr>
        <w:t>, 95% confidence ellipse area, anterior-posterior sway velocity, medial-lateral sway velocity, and integrated time to boundary were calculated</w:t>
      </w:r>
      <w:r>
        <w:rPr>
          <w:rFonts w:cs="Arial"/>
          <w:shd w:val="clear" w:color="auto" w:fill="FFFFFF"/>
        </w:rPr>
        <w:t>.</w:t>
      </w:r>
      <w:r w:rsidR="00C76919">
        <w:rPr>
          <w:rFonts w:cs="Arial"/>
          <w:shd w:val="clear" w:color="auto" w:fill="FFFFFF"/>
        </w:rPr>
        <w:t xml:space="preserve"> For the nonlinear analyses, </w:t>
      </w:r>
      <w:r w:rsidR="0084627D">
        <w:rPr>
          <w:rFonts w:cs="Arial"/>
          <w:shd w:val="clear" w:color="auto" w:fill="FFFFFF"/>
        </w:rPr>
        <w:t>a</w:t>
      </w:r>
      <w:r w:rsidR="00C76919">
        <w:rPr>
          <w:rFonts w:cs="Arial"/>
          <w:shd w:val="clear" w:color="auto" w:fill="FFFFFF"/>
        </w:rPr>
        <w:t xml:space="preserve">pproximate </w:t>
      </w:r>
      <w:r w:rsidR="0084627D">
        <w:rPr>
          <w:rFonts w:cs="Arial"/>
          <w:shd w:val="clear" w:color="auto" w:fill="FFFFFF"/>
        </w:rPr>
        <w:t>e</w:t>
      </w:r>
      <w:r w:rsidR="00C76919">
        <w:rPr>
          <w:rFonts w:cs="Arial"/>
          <w:shd w:val="clear" w:color="auto" w:fill="FFFFFF"/>
        </w:rPr>
        <w:t xml:space="preserve">ntropy and </w:t>
      </w:r>
      <w:r w:rsidR="0084627D">
        <w:rPr>
          <w:rFonts w:cs="Arial"/>
          <w:shd w:val="clear" w:color="auto" w:fill="FFFFFF"/>
        </w:rPr>
        <w:t>p</w:t>
      </w:r>
      <w:r w:rsidR="00C76919">
        <w:rPr>
          <w:rFonts w:cs="Arial"/>
          <w:shd w:val="clear" w:color="auto" w:fill="FFFFFF"/>
        </w:rPr>
        <w:t xml:space="preserve">ercent </w:t>
      </w:r>
      <w:r w:rsidR="0084627D">
        <w:rPr>
          <w:rFonts w:cs="Arial"/>
          <w:shd w:val="clear" w:color="auto" w:fill="FFFFFF"/>
        </w:rPr>
        <w:t>d</w:t>
      </w:r>
      <w:r w:rsidR="00C76919">
        <w:rPr>
          <w:rFonts w:cs="Arial"/>
          <w:shd w:val="clear" w:color="auto" w:fill="FFFFFF"/>
        </w:rPr>
        <w:t>eterminism were calculated for bilateral hip, knee, and shoulder joints, as well as the COP path.</w:t>
      </w:r>
      <w:r>
        <w:rPr>
          <w:rFonts w:cs="Arial"/>
          <w:shd w:val="clear" w:color="auto" w:fill="FFFFFF"/>
        </w:rPr>
        <w:t xml:space="preserve"> Data were</w:t>
      </w:r>
      <w:r w:rsidR="00C601CB">
        <w:rPr>
          <w:rFonts w:cs="Arial"/>
          <w:shd w:val="clear" w:color="auto" w:fill="FFFFFF"/>
        </w:rPr>
        <w:t xml:space="preserve"> statistically</w:t>
      </w:r>
      <w:r>
        <w:rPr>
          <w:rFonts w:cs="Arial"/>
          <w:shd w:val="clear" w:color="auto" w:fill="FFFFFF"/>
        </w:rPr>
        <w:t xml:space="preserve"> analyzed with a</w:t>
      </w:r>
      <w:r w:rsidR="00E3321E">
        <w:rPr>
          <w:rFonts w:cs="Arial"/>
          <w:shd w:val="clear" w:color="auto" w:fill="FFFFFF"/>
        </w:rPr>
        <w:t xml:space="preserve"> series of</w:t>
      </w:r>
      <w:r>
        <w:rPr>
          <w:rFonts w:cs="Arial"/>
          <w:shd w:val="clear" w:color="auto" w:fill="FFFFFF"/>
        </w:rPr>
        <w:t xml:space="preserve"> repeated measures ANOVA</w:t>
      </w:r>
      <w:r w:rsidR="00E3321E">
        <w:rPr>
          <w:rFonts w:cs="Arial"/>
          <w:shd w:val="clear" w:color="auto" w:fill="FFFFFF"/>
        </w:rPr>
        <w:t>s</w:t>
      </w:r>
      <w:r w:rsidR="00C0719F">
        <w:rPr>
          <w:rFonts w:cs="Arial"/>
          <w:shd w:val="clear" w:color="auto" w:fill="FFFFFF"/>
        </w:rPr>
        <w:t xml:space="preserve"> and linear mixed effects models</w:t>
      </w:r>
      <w:r w:rsidR="009E4B63">
        <w:rPr>
          <w:rFonts w:cs="Arial"/>
          <w:shd w:val="clear" w:color="auto" w:fill="FFFFFF"/>
        </w:rPr>
        <w:t xml:space="preserve"> controlling for gait velocity for the </w:t>
      </w:r>
      <w:r w:rsidR="00CB0478">
        <w:rPr>
          <w:rFonts w:cs="Arial"/>
          <w:shd w:val="clear" w:color="auto" w:fill="FFFFFF"/>
        </w:rPr>
        <w:t xml:space="preserve">linear and nonlinear </w:t>
      </w:r>
      <w:r w:rsidR="00CB0478">
        <w:rPr>
          <w:rFonts w:cs="Arial"/>
          <w:shd w:val="clear" w:color="auto" w:fill="FFFFFF"/>
        </w:rPr>
        <w:lastRenderedPageBreak/>
        <w:t xml:space="preserve">analyses of joint </w:t>
      </w:r>
      <w:r w:rsidR="009E4B63">
        <w:rPr>
          <w:rFonts w:cs="Arial"/>
          <w:shd w:val="clear" w:color="auto" w:fill="FFFFFF"/>
        </w:rPr>
        <w:t>angle data</w:t>
      </w:r>
      <w:r>
        <w:rPr>
          <w:rFonts w:cs="Arial"/>
          <w:shd w:val="clear" w:color="auto" w:fill="FFFFFF"/>
        </w:rPr>
        <w:t xml:space="preserve">. </w:t>
      </w:r>
      <w:r w:rsidR="00F0260D">
        <w:rPr>
          <w:rFonts w:cs="Arial"/>
          <w:shd w:val="clear" w:color="auto" w:fill="FFFFFF"/>
        </w:rPr>
        <w:t>For gait, the analysis indicated that d</w:t>
      </w:r>
      <w:r>
        <w:rPr>
          <w:rFonts w:cs="Arial"/>
          <w:shd w:val="clear" w:color="auto" w:fill="FFFFFF"/>
        </w:rPr>
        <w:t>opaminergic medication significantly improved gait velocity (</w:t>
      </w:r>
      <w:r w:rsidRPr="00F83A9F">
        <w:rPr>
          <w:rFonts w:cs="Arial"/>
          <w:i/>
          <w:shd w:val="clear" w:color="auto" w:fill="FFFFFF"/>
        </w:rPr>
        <w:t>p</w:t>
      </w:r>
      <w:r>
        <w:rPr>
          <w:rFonts w:cs="Arial"/>
          <w:shd w:val="clear" w:color="auto" w:fill="FFFFFF"/>
        </w:rPr>
        <w:t xml:space="preserve"> = 0.007</w:t>
      </w:r>
      <w:r w:rsidR="00677DD2">
        <w:rPr>
          <w:rFonts w:cs="Arial"/>
          <w:shd w:val="clear" w:color="auto" w:fill="FFFFFF"/>
        </w:rPr>
        <w:t>)</w:t>
      </w:r>
      <w:r w:rsidRPr="002C7420">
        <w:rPr>
          <w:rFonts w:cs="Arial"/>
          <w:shd w:val="clear" w:color="auto" w:fill="FFFFFF"/>
        </w:rPr>
        <w:t xml:space="preserve"> and</w:t>
      </w:r>
      <w:r>
        <w:rPr>
          <w:rFonts w:cs="Arial"/>
          <w:shd w:val="clear" w:color="auto" w:fill="FFFFFF"/>
        </w:rPr>
        <w:t xml:space="preserve"> several kinematic variables. Dual-tasking significantly interfered with cadence (</w:t>
      </w:r>
      <w:r w:rsidRPr="009028BC">
        <w:rPr>
          <w:rFonts w:cs="Arial"/>
          <w:i/>
          <w:shd w:val="clear" w:color="auto" w:fill="FFFFFF"/>
        </w:rPr>
        <w:t>p</w:t>
      </w:r>
      <w:r w:rsidRPr="009028BC">
        <w:rPr>
          <w:rFonts w:cs="Arial"/>
          <w:shd w:val="clear" w:color="auto" w:fill="FFFFFF"/>
        </w:rPr>
        <w:t xml:space="preserve"> = 0.042</w:t>
      </w:r>
      <w:r>
        <w:rPr>
          <w:rFonts w:cs="Arial"/>
          <w:shd w:val="clear" w:color="auto" w:fill="FFFFFF"/>
        </w:rPr>
        <w:t>), stride length (</w:t>
      </w:r>
      <w:r w:rsidRPr="00B15D78">
        <w:rPr>
          <w:rFonts w:cs="Arial"/>
          <w:i/>
          <w:shd w:val="clear" w:color="auto" w:fill="FFFFFF"/>
        </w:rPr>
        <w:t>p</w:t>
      </w:r>
      <w:r w:rsidRPr="00B15D78">
        <w:rPr>
          <w:rFonts w:cs="Arial"/>
          <w:shd w:val="clear" w:color="auto" w:fill="FFFFFF"/>
        </w:rPr>
        <w:t xml:space="preserve"> &lt; 0.001</w:t>
      </w:r>
      <w:r>
        <w:rPr>
          <w:rFonts w:cs="Arial"/>
          <w:shd w:val="clear" w:color="auto" w:fill="FFFFFF"/>
        </w:rPr>
        <w:t xml:space="preserve">), and some kinematic measures, despite medication state. Dopaminergic medication mostly impacted the less PD-affected hip and knee joints, while dual-tasking primarily affected the </w:t>
      </w:r>
      <w:r w:rsidR="00A65CB1">
        <w:rPr>
          <w:rFonts w:cs="Arial"/>
          <w:shd w:val="clear" w:color="auto" w:fill="FFFFFF"/>
        </w:rPr>
        <w:t>less-</w:t>
      </w:r>
      <w:r w:rsidR="007B1914">
        <w:rPr>
          <w:rFonts w:cs="Arial"/>
          <w:shd w:val="clear" w:color="auto" w:fill="FFFFFF"/>
        </w:rPr>
        <w:t xml:space="preserve">PD </w:t>
      </w:r>
      <w:r w:rsidR="00A65CB1">
        <w:rPr>
          <w:rFonts w:cs="Arial"/>
          <w:shd w:val="clear" w:color="auto" w:fill="FFFFFF"/>
        </w:rPr>
        <w:t>affected</w:t>
      </w:r>
      <w:r>
        <w:rPr>
          <w:rFonts w:cs="Arial"/>
          <w:shd w:val="clear" w:color="auto" w:fill="FFFFFF"/>
        </w:rPr>
        <w:t xml:space="preserve"> hip joints.</w:t>
      </w:r>
      <w:r w:rsidR="00CC1F6F">
        <w:rPr>
          <w:rFonts w:cs="Arial"/>
          <w:shd w:val="clear" w:color="auto" w:fill="FFFFFF"/>
        </w:rPr>
        <w:t xml:space="preserve"> For balance, dopaminergic medication significantly increased ellipse area (</w:t>
      </w:r>
      <w:r w:rsidR="00CC1F6F" w:rsidRPr="00653B44">
        <w:rPr>
          <w:rFonts w:cs="Arial"/>
          <w:i/>
          <w:shd w:val="clear" w:color="auto" w:fill="FFFFFF"/>
        </w:rPr>
        <w:t>p</w:t>
      </w:r>
      <w:r w:rsidR="00CC1F6F" w:rsidRPr="00653B44">
        <w:rPr>
          <w:rFonts w:cs="Arial"/>
          <w:shd w:val="clear" w:color="auto" w:fill="FFFFFF"/>
        </w:rPr>
        <w:t xml:space="preserve"> = 0.002</w:t>
      </w:r>
      <w:r w:rsidR="00CC1F6F">
        <w:rPr>
          <w:rFonts w:cs="Arial"/>
          <w:shd w:val="clear" w:color="auto" w:fill="FFFFFF"/>
        </w:rPr>
        <w:t>) and decreased the performance on the secondary task (</w:t>
      </w:r>
      <w:r w:rsidR="00CC1F6F" w:rsidRPr="00653B44">
        <w:rPr>
          <w:rFonts w:cs="Arial"/>
          <w:i/>
          <w:shd w:val="clear" w:color="auto" w:fill="FFFFFF"/>
        </w:rPr>
        <w:t>p</w:t>
      </w:r>
      <w:r w:rsidR="00CC1F6F" w:rsidRPr="00653B44">
        <w:rPr>
          <w:rFonts w:cs="Arial"/>
          <w:shd w:val="clear" w:color="auto" w:fill="FFFFFF"/>
        </w:rPr>
        <w:t xml:space="preserve"> = 0.004</w:t>
      </w:r>
      <w:r w:rsidR="00CC1F6F">
        <w:rPr>
          <w:rFonts w:cs="Arial"/>
          <w:shd w:val="clear" w:color="auto" w:fill="FFFFFF"/>
        </w:rPr>
        <w:t xml:space="preserve">), while dual-tasking significantly increased sway velocity in both directions (anterior-posterior = </w:t>
      </w:r>
      <w:r w:rsidR="00CC1F6F" w:rsidRPr="0008151A">
        <w:rPr>
          <w:rFonts w:cs="Arial"/>
          <w:i/>
          <w:shd w:val="clear" w:color="auto" w:fill="FFFFFF"/>
        </w:rPr>
        <w:t>p</w:t>
      </w:r>
      <w:r w:rsidR="00CC1F6F" w:rsidRPr="0008151A">
        <w:rPr>
          <w:rFonts w:cs="Arial"/>
          <w:shd w:val="clear" w:color="auto" w:fill="FFFFFF"/>
        </w:rPr>
        <w:t xml:space="preserve"> &lt; 0.001</w:t>
      </w:r>
      <w:r w:rsidR="00CC1F6F">
        <w:rPr>
          <w:rFonts w:cs="Arial"/>
          <w:shd w:val="clear" w:color="auto" w:fill="FFFFFF"/>
        </w:rPr>
        <w:t xml:space="preserve">, medial-lateral = </w:t>
      </w:r>
      <w:r w:rsidR="00CC1F6F" w:rsidRPr="004C0E23">
        <w:rPr>
          <w:rFonts w:cs="Arial"/>
          <w:i/>
          <w:shd w:val="clear" w:color="auto" w:fill="FFFFFF"/>
        </w:rPr>
        <w:t>p</w:t>
      </w:r>
      <w:r w:rsidR="00CC1F6F" w:rsidRPr="004C0E23">
        <w:rPr>
          <w:rFonts w:cs="Arial"/>
          <w:shd w:val="clear" w:color="auto" w:fill="FFFFFF"/>
        </w:rPr>
        <w:t xml:space="preserve"> &lt; 0.004</w:t>
      </w:r>
      <w:r w:rsidR="00CC1F6F">
        <w:rPr>
          <w:rFonts w:cs="Arial"/>
          <w:shd w:val="clear" w:color="auto" w:fill="FFFFFF"/>
        </w:rPr>
        <w:t>) and integrated time to boundary (</w:t>
      </w:r>
      <w:r w:rsidR="00CC1F6F" w:rsidRPr="0008151A">
        <w:rPr>
          <w:rFonts w:cs="Arial"/>
          <w:i/>
          <w:shd w:val="clear" w:color="auto" w:fill="FFFFFF"/>
        </w:rPr>
        <w:t>p</w:t>
      </w:r>
      <w:r w:rsidR="00CC1F6F" w:rsidRPr="0008151A">
        <w:rPr>
          <w:rFonts w:cs="Arial"/>
          <w:shd w:val="clear" w:color="auto" w:fill="FFFFFF"/>
        </w:rPr>
        <w:t xml:space="preserve"> &lt; 0.001).</w:t>
      </w:r>
      <w:r w:rsidR="00CC1F6F">
        <w:rPr>
          <w:rFonts w:cs="Arial"/>
          <w:shd w:val="clear" w:color="auto" w:fill="FFFFFF"/>
        </w:rPr>
        <w:t xml:space="preserve"> There were also several </w:t>
      </w:r>
      <w:r w:rsidR="00980373">
        <w:rPr>
          <w:rFonts w:cs="Arial"/>
          <w:shd w:val="clear" w:color="auto" w:fill="FFFFFF"/>
        </w:rPr>
        <w:t>medication*</w:t>
      </w:r>
      <w:r w:rsidR="00CC1F6F">
        <w:rPr>
          <w:rFonts w:cs="Arial"/>
          <w:shd w:val="clear" w:color="auto" w:fill="FFFFFF"/>
        </w:rPr>
        <w:t xml:space="preserve">task interactions among the </w:t>
      </w:r>
      <w:r w:rsidR="00580802">
        <w:rPr>
          <w:rFonts w:cs="Arial"/>
          <w:shd w:val="clear" w:color="auto" w:fill="FFFFFF"/>
        </w:rPr>
        <w:t xml:space="preserve">balance </w:t>
      </w:r>
      <w:r w:rsidR="00CC1F6F">
        <w:rPr>
          <w:rFonts w:cs="Arial"/>
          <w:shd w:val="clear" w:color="auto" w:fill="FFFFFF"/>
        </w:rPr>
        <w:t xml:space="preserve">variables. Overall, both dopaminergic medication and dual-tasking </w:t>
      </w:r>
      <w:r w:rsidR="001A12F9">
        <w:rPr>
          <w:rFonts w:cs="Arial"/>
          <w:shd w:val="clear" w:color="auto" w:fill="FFFFFF"/>
        </w:rPr>
        <w:t>seemed to hinder</w:t>
      </w:r>
      <w:r w:rsidR="00CC1F6F">
        <w:rPr>
          <w:rFonts w:cs="Arial"/>
          <w:shd w:val="clear" w:color="auto" w:fill="FFFFFF"/>
        </w:rPr>
        <w:t xml:space="preserve"> balance performance</w:t>
      </w:r>
      <w:r w:rsidR="001A12F9">
        <w:rPr>
          <w:rFonts w:cs="Arial"/>
          <w:shd w:val="clear" w:color="auto" w:fill="FFFFFF"/>
        </w:rPr>
        <w:t xml:space="preserve">, when </w:t>
      </w:r>
      <w:r w:rsidR="00570395">
        <w:rPr>
          <w:rFonts w:cs="Arial"/>
          <w:shd w:val="clear" w:color="auto" w:fill="FFFFFF"/>
        </w:rPr>
        <w:t>analyzed using traditional interpretations</w:t>
      </w:r>
      <w:r w:rsidR="00CC1F6F">
        <w:rPr>
          <w:rFonts w:cs="Arial"/>
          <w:shd w:val="clear" w:color="auto" w:fill="FFFFFF"/>
        </w:rPr>
        <w:t>.</w:t>
      </w:r>
      <w:r w:rsidR="00570395">
        <w:rPr>
          <w:rFonts w:cs="Arial"/>
          <w:shd w:val="clear" w:color="auto" w:fill="FFFFFF"/>
        </w:rPr>
        <w:t xml:space="preserve"> However, </w:t>
      </w:r>
      <w:r w:rsidR="006A71B5">
        <w:rPr>
          <w:rFonts w:cs="Arial"/>
          <w:shd w:val="clear" w:color="auto" w:fill="FFFFFF"/>
        </w:rPr>
        <w:t>because medication only increased sway area, we propose that PD medication improved balance maneuverability without a decrease in stability.</w:t>
      </w:r>
      <w:r>
        <w:rPr>
          <w:rFonts w:cs="Arial"/>
        </w:rPr>
        <w:t xml:space="preserve"> </w:t>
      </w:r>
      <w:r w:rsidR="0084627D">
        <w:rPr>
          <w:rFonts w:cs="Arial"/>
        </w:rPr>
        <w:t xml:space="preserve">For the nonlinear analyses, </w:t>
      </w:r>
      <w:r w:rsidR="0084627D">
        <w:rPr>
          <w:rFonts w:cs="Arial"/>
          <w:shd w:val="clear" w:color="auto" w:fill="FFFFFF"/>
        </w:rPr>
        <w:t>t</w:t>
      </w:r>
      <w:r w:rsidR="00DC3A04">
        <w:rPr>
          <w:rFonts w:cs="Arial"/>
          <w:shd w:val="clear" w:color="auto" w:fill="FFFFFF"/>
        </w:rPr>
        <w:t xml:space="preserve">here were significant medication effects on the </w:t>
      </w:r>
      <w:r w:rsidR="008C2FCA">
        <w:rPr>
          <w:rFonts w:cs="Arial"/>
          <w:shd w:val="clear" w:color="auto" w:fill="FFFFFF"/>
        </w:rPr>
        <w:t>A</w:t>
      </w:r>
      <w:r w:rsidR="00DC3A04">
        <w:rPr>
          <w:rFonts w:cs="Arial"/>
          <w:shd w:val="clear" w:color="auto" w:fill="FFFFFF"/>
        </w:rPr>
        <w:t xml:space="preserve">pproximate </w:t>
      </w:r>
      <w:r w:rsidR="008C2FCA">
        <w:rPr>
          <w:rFonts w:cs="Arial"/>
          <w:shd w:val="clear" w:color="auto" w:fill="FFFFFF"/>
        </w:rPr>
        <w:t>E</w:t>
      </w:r>
      <w:r w:rsidR="00DC3A04">
        <w:rPr>
          <w:rFonts w:cs="Arial"/>
          <w:shd w:val="clear" w:color="auto" w:fill="FFFFFF"/>
        </w:rPr>
        <w:t xml:space="preserve">ntropy of the more-PD affected </w:t>
      </w:r>
      <w:r w:rsidR="009725B1">
        <w:rPr>
          <w:rFonts w:cs="Arial"/>
          <w:shd w:val="clear" w:color="auto" w:fill="FFFFFF"/>
        </w:rPr>
        <w:t>knee</w:t>
      </w:r>
      <w:r w:rsidR="00DC3A04">
        <w:rPr>
          <w:rFonts w:cs="Arial"/>
          <w:shd w:val="clear" w:color="auto" w:fill="FFFFFF"/>
        </w:rPr>
        <w:t xml:space="preserve"> while dual-tasking (</w:t>
      </w:r>
      <w:r w:rsidR="00DC3A04" w:rsidRPr="00FE5E8C">
        <w:rPr>
          <w:rFonts w:cs="Arial"/>
          <w:i/>
          <w:shd w:val="clear" w:color="auto" w:fill="FFFFFF"/>
        </w:rPr>
        <w:t>p</w:t>
      </w:r>
      <w:r w:rsidR="00DC3A04">
        <w:rPr>
          <w:rFonts w:cs="Arial"/>
          <w:shd w:val="clear" w:color="auto" w:fill="FFFFFF"/>
        </w:rPr>
        <w:t xml:space="preserve"> = 0.014)</w:t>
      </w:r>
      <w:r w:rsidR="00DD2DA8">
        <w:rPr>
          <w:rFonts w:cs="Arial"/>
          <w:shd w:val="clear" w:color="auto" w:fill="FFFFFF"/>
        </w:rPr>
        <w:t xml:space="preserve"> and the less-PD affected knee while dual-tasking (</w:t>
      </w:r>
      <w:r w:rsidR="00DD2DA8" w:rsidRPr="00DD2DA8">
        <w:rPr>
          <w:rFonts w:cs="Arial"/>
          <w:i/>
          <w:shd w:val="clear" w:color="auto" w:fill="FFFFFF"/>
        </w:rPr>
        <w:t>p</w:t>
      </w:r>
      <w:r w:rsidR="00DD2DA8">
        <w:rPr>
          <w:rFonts w:cs="Arial"/>
          <w:shd w:val="clear" w:color="auto" w:fill="FFFFFF"/>
        </w:rPr>
        <w:t xml:space="preserve"> = 0.004), </w:t>
      </w:r>
      <w:r w:rsidR="00B378C5">
        <w:rPr>
          <w:rFonts w:cs="Arial"/>
          <w:shd w:val="clear" w:color="auto" w:fill="FFFFFF"/>
        </w:rPr>
        <w:t xml:space="preserve">both of </w:t>
      </w:r>
      <w:r w:rsidR="00DD2DA8">
        <w:rPr>
          <w:rFonts w:cs="Arial"/>
          <w:shd w:val="clear" w:color="auto" w:fill="FFFFFF"/>
        </w:rPr>
        <w:t>which indicated that off-medication dual-tasking was more regular than on-medication dual-tasking</w:t>
      </w:r>
      <w:r w:rsidR="00DC3A04">
        <w:rPr>
          <w:rFonts w:cs="Arial"/>
          <w:shd w:val="clear" w:color="auto" w:fill="FFFFFF"/>
        </w:rPr>
        <w:t>. The analysis also revealed that balance task complexity</w:t>
      </w:r>
      <w:r w:rsidR="007F1D94">
        <w:rPr>
          <w:rFonts w:cs="Arial"/>
          <w:shd w:val="clear" w:color="auto" w:fill="FFFFFF"/>
        </w:rPr>
        <w:t>, specifically eyes open vs. eyes closed,</w:t>
      </w:r>
      <w:r w:rsidR="00DC3A04">
        <w:rPr>
          <w:rFonts w:cs="Arial"/>
          <w:shd w:val="clear" w:color="auto" w:fill="FFFFFF"/>
        </w:rPr>
        <w:t xml:space="preserve"> was reflected in the </w:t>
      </w:r>
      <w:r w:rsidR="00B943D5">
        <w:rPr>
          <w:rFonts w:cs="Arial"/>
          <w:shd w:val="clear" w:color="auto" w:fill="FFFFFF"/>
        </w:rPr>
        <w:t>analysis</w:t>
      </w:r>
      <w:r w:rsidR="00DC3A04">
        <w:rPr>
          <w:rFonts w:cs="Arial"/>
          <w:shd w:val="clear" w:color="auto" w:fill="FFFFFF"/>
        </w:rPr>
        <w:t xml:space="preserve"> of the COP path, with more complex tasks eliciting significantly less regular/deterministic </w:t>
      </w:r>
      <w:r w:rsidR="000708AB">
        <w:rPr>
          <w:rFonts w:cs="Arial"/>
          <w:shd w:val="clear" w:color="auto" w:fill="FFFFFF"/>
        </w:rPr>
        <w:t>results</w:t>
      </w:r>
      <w:r w:rsidR="00DC3A04">
        <w:rPr>
          <w:rFonts w:cs="Arial"/>
          <w:shd w:val="clear" w:color="auto" w:fill="FFFFFF"/>
        </w:rPr>
        <w:t>.</w:t>
      </w:r>
      <w:r w:rsidR="008F33B0">
        <w:rPr>
          <w:rFonts w:cs="Arial"/>
          <w:shd w:val="clear" w:color="auto" w:fill="FFFFFF"/>
        </w:rPr>
        <w:t xml:space="preserve"> </w:t>
      </w:r>
      <w:r w:rsidR="003D1E43">
        <w:rPr>
          <w:rFonts w:cs="Arial"/>
          <w:shd w:val="clear" w:color="auto" w:fill="FFFFFF"/>
        </w:rPr>
        <w:t xml:space="preserve">Overall, </w:t>
      </w:r>
      <w:r w:rsidR="003D1E43">
        <w:rPr>
          <w:rFonts w:cs="Arial"/>
        </w:rPr>
        <w:t>t</w:t>
      </w:r>
      <w:r>
        <w:rPr>
          <w:rFonts w:cs="Arial"/>
        </w:rPr>
        <w:t>he significant</w:t>
      </w:r>
      <w:r w:rsidR="00901651">
        <w:rPr>
          <w:rFonts w:cs="Arial"/>
        </w:rPr>
        <w:t xml:space="preserve"> gait</w:t>
      </w:r>
      <w:r>
        <w:rPr>
          <w:rFonts w:cs="Arial"/>
        </w:rPr>
        <w:t xml:space="preserve"> differences in dual-tasking between off- an</w:t>
      </w:r>
      <w:r w:rsidR="00F140DF">
        <w:rPr>
          <w:rFonts w:cs="Arial"/>
        </w:rPr>
        <w:t>d on-medication states indicated</w:t>
      </w:r>
      <w:r>
        <w:rPr>
          <w:rFonts w:cs="Arial"/>
        </w:rPr>
        <w:t xml:space="preserve"> motor improvements from taking </w:t>
      </w:r>
      <w:r w:rsidR="00C942CC">
        <w:rPr>
          <w:rFonts w:cs="Arial"/>
        </w:rPr>
        <w:t>dopaminergic medication</w:t>
      </w:r>
      <w:r>
        <w:rPr>
          <w:rFonts w:cs="Arial"/>
        </w:rPr>
        <w:t xml:space="preserve"> improved dual-tasking.</w:t>
      </w:r>
      <w:r w:rsidRPr="008D4816">
        <w:rPr>
          <w:rFonts w:cs="Arial"/>
        </w:rPr>
        <w:t xml:space="preserve"> </w:t>
      </w:r>
      <w:r>
        <w:rPr>
          <w:rFonts w:cs="Arial"/>
        </w:rPr>
        <w:t xml:space="preserve">However, the lack of significant interactions and secondary task effects </w:t>
      </w:r>
      <w:r w:rsidR="00F140DF">
        <w:rPr>
          <w:rFonts w:cs="Arial"/>
        </w:rPr>
        <w:t>did</w:t>
      </w:r>
      <w:r>
        <w:rPr>
          <w:rFonts w:cs="Arial"/>
        </w:rPr>
        <w:t xml:space="preserve"> not </w:t>
      </w:r>
      <w:r>
        <w:rPr>
          <w:rFonts w:cs="Arial"/>
        </w:rPr>
        <w:lastRenderedPageBreak/>
        <w:t>support a medication-induced improvement in</w:t>
      </w:r>
      <w:r w:rsidR="00F140DF">
        <w:rPr>
          <w:rFonts w:cs="Arial"/>
        </w:rPr>
        <w:t xml:space="preserve"> gait</w:t>
      </w:r>
      <w:r>
        <w:rPr>
          <w:rFonts w:cs="Arial"/>
        </w:rPr>
        <w:t xml:space="preserve"> automaticity.</w:t>
      </w:r>
      <w:r w:rsidR="00302166">
        <w:rPr>
          <w:rFonts w:cs="Arial"/>
        </w:rPr>
        <w:t xml:space="preserve"> Lastly, the nonlinear characteristics of gait and balance in PD seem</w:t>
      </w:r>
      <w:r w:rsidR="005212FE">
        <w:rPr>
          <w:rFonts w:cs="Arial"/>
        </w:rPr>
        <w:t>ed</w:t>
      </w:r>
      <w:r w:rsidR="00302166">
        <w:rPr>
          <w:rFonts w:cs="Arial"/>
        </w:rPr>
        <w:t xml:space="preserve"> to be differently affected</w:t>
      </w:r>
      <w:r w:rsidR="00302166" w:rsidRPr="000C7E3F">
        <w:rPr>
          <w:rFonts w:cs="Arial"/>
        </w:rPr>
        <w:t xml:space="preserve"> </w:t>
      </w:r>
      <w:r w:rsidR="00302166">
        <w:rPr>
          <w:rFonts w:cs="Arial"/>
        </w:rPr>
        <w:t>by medication and task</w:t>
      </w:r>
      <w:r w:rsidR="003D1E43">
        <w:rPr>
          <w:rFonts w:cs="Arial"/>
        </w:rPr>
        <w:t xml:space="preserve"> complexity</w:t>
      </w:r>
      <w:r w:rsidR="00302166">
        <w:rPr>
          <w:rFonts w:cs="Arial"/>
        </w:rPr>
        <w:t>. The medication-induced decreases in regularity, coupled with accepted improvements in gait performance with medication, may indicate that PD patients are too regular in their joint movements off medication.</w:t>
      </w:r>
    </w:p>
    <w:p w14:paraId="4CF462CA" w14:textId="07B5FB4D" w:rsidR="00617024" w:rsidRPr="00E705FF" w:rsidRDefault="008D01FC" w:rsidP="008009D0">
      <w:pPr>
        <w:jc w:val="both"/>
        <w:rPr>
          <w:rFonts w:cs="Arial"/>
        </w:rPr>
      </w:pPr>
      <w:r w:rsidRPr="00E705FF">
        <w:rPr>
          <w:rFonts w:cs="Arial"/>
        </w:rPr>
        <w:t xml:space="preserve"> </w:t>
      </w:r>
      <w:r w:rsidR="00617024" w:rsidRPr="00E705FF">
        <w:rPr>
          <w:rFonts w:cs="Arial"/>
        </w:rPr>
        <w:br w:type="page"/>
      </w:r>
    </w:p>
    <w:p w14:paraId="45FAE5F0" w14:textId="6FBC7529" w:rsidR="0051153B" w:rsidRDefault="00617024" w:rsidP="008009D0">
      <w:pPr>
        <w:jc w:val="both"/>
        <w:rPr>
          <w:rFonts w:cs="Arial"/>
        </w:rPr>
      </w:pPr>
      <w:r w:rsidRPr="00E705FF">
        <w:rPr>
          <w:rFonts w:cs="Arial"/>
        </w:rPr>
        <w:lastRenderedPageBreak/>
        <w:t>ACKNOWLEDGEMENTS</w:t>
      </w:r>
    </w:p>
    <w:p w14:paraId="2BE7A0A1" w14:textId="64E49E21" w:rsidR="002703FF" w:rsidRDefault="00B55E60" w:rsidP="008009D0">
      <w:pPr>
        <w:jc w:val="both"/>
        <w:rPr>
          <w:rFonts w:cs="Arial"/>
        </w:rPr>
      </w:pPr>
      <w:r>
        <w:rPr>
          <w:rFonts w:cs="Arial"/>
        </w:rPr>
        <w:t xml:space="preserve">First </w:t>
      </w:r>
      <w:r w:rsidR="00845561">
        <w:rPr>
          <w:rFonts w:cs="Arial"/>
        </w:rPr>
        <w:t xml:space="preserve">and foremost, I thank my family, especially my wife and </w:t>
      </w:r>
      <w:r>
        <w:rPr>
          <w:rFonts w:cs="Arial"/>
        </w:rPr>
        <w:t>sons</w:t>
      </w:r>
      <w:r w:rsidR="00845561">
        <w:rPr>
          <w:rFonts w:cs="Arial"/>
        </w:rPr>
        <w:t xml:space="preserve">, who have patiently supported me in moving to Houston and the subsequent kerfuffles </w:t>
      </w:r>
      <w:r w:rsidR="00E36135">
        <w:rPr>
          <w:rFonts w:cs="Arial"/>
        </w:rPr>
        <w:t>we shared</w:t>
      </w:r>
      <w:r w:rsidR="00845561">
        <w:rPr>
          <w:rFonts w:cs="Arial"/>
        </w:rPr>
        <w:t>. Also, I thank my</w:t>
      </w:r>
      <w:r>
        <w:rPr>
          <w:rFonts w:cs="Arial"/>
        </w:rPr>
        <w:t xml:space="preserve"> parents,</w:t>
      </w:r>
      <w:r w:rsidR="005D07A5">
        <w:rPr>
          <w:rFonts w:cs="Arial"/>
        </w:rPr>
        <w:t xml:space="preserve"> siblings,</w:t>
      </w:r>
      <w:r>
        <w:rPr>
          <w:rFonts w:cs="Arial"/>
        </w:rPr>
        <w:t xml:space="preserve"> and in-laws</w:t>
      </w:r>
      <w:r w:rsidR="00845561">
        <w:rPr>
          <w:rFonts w:cs="Arial"/>
        </w:rPr>
        <w:t xml:space="preserve"> who have </w:t>
      </w:r>
      <w:r>
        <w:rPr>
          <w:rFonts w:cs="Arial"/>
        </w:rPr>
        <w:t>provided me with endless support</w:t>
      </w:r>
      <w:r w:rsidR="00222052">
        <w:rPr>
          <w:rFonts w:cs="Arial"/>
        </w:rPr>
        <w:t xml:space="preserve"> and welcome diversions</w:t>
      </w:r>
      <w:r w:rsidR="005D07A5">
        <w:rPr>
          <w:rFonts w:cs="Arial"/>
        </w:rPr>
        <w:t xml:space="preserve"> throughout this </w:t>
      </w:r>
      <w:r w:rsidR="00192940" w:rsidRPr="00192940">
        <w:rPr>
          <w:rFonts w:cs="Arial"/>
        </w:rPr>
        <w:t>exten</w:t>
      </w:r>
      <w:r w:rsidR="00192940">
        <w:rPr>
          <w:rFonts w:cs="Arial"/>
        </w:rPr>
        <w:t>ded</w:t>
      </w:r>
      <w:r w:rsidR="005D07A5">
        <w:rPr>
          <w:rFonts w:cs="Arial"/>
        </w:rPr>
        <w:t xml:space="preserve"> journey. </w:t>
      </w:r>
      <w:r w:rsidR="004D7515">
        <w:rPr>
          <w:rFonts w:cs="Arial"/>
        </w:rPr>
        <w:t>A special t</w:t>
      </w:r>
      <w:r w:rsidR="005D07A5">
        <w:rPr>
          <w:rFonts w:cs="Arial"/>
        </w:rPr>
        <w:t>hank you to my advisor, Dr. Thrasher, for your counsel</w:t>
      </w:r>
      <w:r w:rsidR="00192940">
        <w:rPr>
          <w:rFonts w:cs="Arial"/>
        </w:rPr>
        <w:t>, input, and mentorship during my tenure as a Ph.D. student. And</w:t>
      </w:r>
      <w:r w:rsidR="0057607E">
        <w:rPr>
          <w:rFonts w:cs="Arial"/>
        </w:rPr>
        <w:t>,</w:t>
      </w:r>
      <w:r w:rsidR="00DD1E81">
        <w:rPr>
          <w:rFonts w:cs="Arial"/>
        </w:rPr>
        <w:t xml:space="preserve"> thank you</w:t>
      </w:r>
      <w:r w:rsidR="00192940">
        <w:rPr>
          <w:rFonts w:cs="Arial"/>
        </w:rPr>
        <w:t xml:space="preserve"> to Dr. Mon Bryant for giving me the opportunity to get consistent hand-on experience that helped cultivate this work. </w:t>
      </w:r>
      <w:r w:rsidR="00D430FD">
        <w:rPr>
          <w:rFonts w:cs="Arial"/>
        </w:rPr>
        <w:t>Lastly, I thank my fellow class/lab-mates</w:t>
      </w:r>
      <w:r w:rsidR="00784D6A">
        <w:rPr>
          <w:rFonts w:cs="Arial"/>
        </w:rPr>
        <w:t>, specifically Raul, Ram, Stefan, Recep, Amber, and the</w:t>
      </w:r>
      <w:r w:rsidR="001B13B2">
        <w:rPr>
          <w:rFonts w:cs="Arial"/>
        </w:rPr>
        <w:t xml:space="preserve"> two Davids who have always been willing to lend an extra hand, teach a skill, </w:t>
      </w:r>
      <w:r w:rsidR="00845561">
        <w:rPr>
          <w:rFonts w:cs="Arial"/>
        </w:rPr>
        <w:t xml:space="preserve">give advice, </w:t>
      </w:r>
      <w:r w:rsidR="001B13B2">
        <w:rPr>
          <w:rFonts w:cs="Arial"/>
        </w:rPr>
        <w:t>or provide meaningful</w:t>
      </w:r>
      <w:r w:rsidR="00845561">
        <w:rPr>
          <w:rFonts w:cs="Arial"/>
        </w:rPr>
        <w:t xml:space="preserve"> and benign</w:t>
      </w:r>
      <w:r w:rsidR="001B13B2">
        <w:rPr>
          <w:rFonts w:cs="Arial"/>
        </w:rPr>
        <w:t xml:space="preserve"> conversation</w:t>
      </w:r>
      <w:r w:rsidR="00845561">
        <w:rPr>
          <w:rFonts w:cs="Arial"/>
        </w:rPr>
        <w:t>s</w:t>
      </w:r>
      <w:r w:rsidR="001B13B2">
        <w:rPr>
          <w:rFonts w:cs="Arial"/>
        </w:rPr>
        <w:t xml:space="preserve">. </w:t>
      </w:r>
    </w:p>
    <w:p w14:paraId="45FE2011" w14:textId="2D903C4D" w:rsidR="00BF7F93" w:rsidRDefault="005D1CB3" w:rsidP="008009D0">
      <w:pPr>
        <w:jc w:val="both"/>
        <w:rPr>
          <w:rFonts w:cs="Arial"/>
        </w:rPr>
      </w:pPr>
      <w:r>
        <w:rPr>
          <w:rFonts w:cs="Arial"/>
        </w:rPr>
        <w:br w:type="page"/>
      </w:r>
    </w:p>
    <w:bookmarkStart w:id="0" w:name="_Toc527361715" w:displacedByCustomXml="next"/>
    <w:sdt>
      <w:sdtPr>
        <w:rPr>
          <w:rFonts w:eastAsiaTheme="minorEastAsia" w:cstheme="minorBidi"/>
          <w:b w:val="0"/>
          <w:bCs w:val="0"/>
          <w:i w:val="0"/>
          <w:iCs w:val="0"/>
          <w:sz w:val="24"/>
          <w:szCs w:val="24"/>
        </w:rPr>
        <w:id w:val="524376822"/>
        <w:docPartObj>
          <w:docPartGallery w:val="Table of Contents"/>
          <w:docPartUnique/>
        </w:docPartObj>
      </w:sdtPr>
      <w:sdtEndPr>
        <w:rPr>
          <w:rFonts w:cs="Arial"/>
          <w:noProof/>
        </w:rPr>
      </w:sdtEndPr>
      <w:sdtContent>
        <w:p w14:paraId="7A948B6C" w14:textId="25892749" w:rsidR="007A488D" w:rsidRPr="00E705FF" w:rsidRDefault="003E5C43" w:rsidP="008009D0">
          <w:pPr>
            <w:pStyle w:val="Heading1"/>
            <w:jc w:val="both"/>
          </w:pPr>
          <w:r w:rsidRPr="003E5C43">
            <w:t>Table of</w:t>
          </w:r>
          <w:r>
            <w:t xml:space="preserve"> </w:t>
          </w:r>
          <w:r w:rsidR="007A488D" w:rsidRPr="00E705FF">
            <w:t>Contents</w:t>
          </w:r>
          <w:bookmarkEnd w:id="0"/>
        </w:p>
        <w:p w14:paraId="26A6C854" w14:textId="679D942D" w:rsidR="00C97A31" w:rsidRDefault="006D096C">
          <w:pPr>
            <w:pStyle w:val="TOC1"/>
            <w:tabs>
              <w:tab w:val="right" w:leader="dot" w:pos="9350"/>
            </w:tabs>
            <w:rPr>
              <w:rFonts w:asciiTheme="minorHAnsi" w:hAnsiTheme="minorHAnsi"/>
              <w:noProof/>
            </w:rPr>
          </w:pPr>
          <w:r>
            <w:rPr>
              <w:rFonts w:cs="Arial"/>
              <w:b/>
              <w:bCs/>
              <w:noProof/>
            </w:rPr>
            <w:fldChar w:fldCharType="begin"/>
          </w:r>
          <w:r>
            <w:rPr>
              <w:rFonts w:cs="Arial"/>
              <w:b/>
              <w:bCs/>
              <w:noProof/>
            </w:rPr>
            <w:instrText xml:space="preserve"> TOC \o "1-3" \h \z \u </w:instrText>
          </w:r>
          <w:r>
            <w:rPr>
              <w:rFonts w:cs="Arial"/>
              <w:b/>
              <w:bCs/>
              <w:noProof/>
            </w:rPr>
            <w:fldChar w:fldCharType="separate"/>
          </w:r>
          <w:hyperlink w:anchor="_Toc527361715" w:history="1">
            <w:r w:rsidR="00C97A31" w:rsidRPr="00BF2FB8">
              <w:rPr>
                <w:rStyle w:val="Hyperlink"/>
                <w:noProof/>
              </w:rPr>
              <w:t>I. Table of Contents</w:t>
            </w:r>
            <w:r w:rsidR="00C97A31">
              <w:rPr>
                <w:noProof/>
                <w:webHidden/>
              </w:rPr>
              <w:tab/>
            </w:r>
            <w:r w:rsidR="00C97A31">
              <w:rPr>
                <w:noProof/>
                <w:webHidden/>
              </w:rPr>
              <w:fldChar w:fldCharType="begin"/>
            </w:r>
            <w:r w:rsidR="00C97A31">
              <w:rPr>
                <w:noProof/>
                <w:webHidden/>
              </w:rPr>
              <w:instrText xml:space="preserve"> PAGEREF _Toc527361715 \h </w:instrText>
            </w:r>
            <w:r w:rsidR="00C97A31">
              <w:rPr>
                <w:noProof/>
                <w:webHidden/>
              </w:rPr>
            </w:r>
            <w:r w:rsidR="00C97A31">
              <w:rPr>
                <w:noProof/>
                <w:webHidden/>
              </w:rPr>
              <w:fldChar w:fldCharType="separate"/>
            </w:r>
            <w:r w:rsidR="00331725">
              <w:rPr>
                <w:noProof/>
                <w:webHidden/>
              </w:rPr>
              <w:t>viii</w:t>
            </w:r>
            <w:r w:rsidR="00C97A31">
              <w:rPr>
                <w:noProof/>
                <w:webHidden/>
              </w:rPr>
              <w:fldChar w:fldCharType="end"/>
            </w:r>
          </w:hyperlink>
        </w:p>
        <w:p w14:paraId="67601368" w14:textId="7BDE3422" w:rsidR="00C97A31" w:rsidRDefault="00C97A31">
          <w:pPr>
            <w:pStyle w:val="TOC1"/>
            <w:tabs>
              <w:tab w:val="right" w:leader="dot" w:pos="9350"/>
            </w:tabs>
            <w:rPr>
              <w:rFonts w:asciiTheme="minorHAnsi" w:hAnsiTheme="minorHAnsi"/>
              <w:noProof/>
            </w:rPr>
          </w:pPr>
          <w:hyperlink w:anchor="_Toc527361716" w:history="1">
            <w:r w:rsidRPr="00BF2FB8">
              <w:rPr>
                <w:rStyle w:val="Hyperlink"/>
                <w:noProof/>
              </w:rPr>
              <w:t>II. List of Tables</w:t>
            </w:r>
            <w:r>
              <w:rPr>
                <w:noProof/>
                <w:webHidden/>
              </w:rPr>
              <w:tab/>
            </w:r>
            <w:r>
              <w:rPr>
                <w:noProof/>
                <w:webHidden/>
              </w:rPr>
              <w:fldChar w:fldCharType="begin"/>
            </w:r>
            <w:r>
              <w:rPr>
                <w:noProof/>
                <w:webHidden/>
              </w:rPr>
              <w:instrText xml:space="preserve"> PAGEREF _Toc527361716 \h </w:instrText>
            </w:r>
            <w:r>
              <w:rPr>
                <w:noProof/>
                <w:webHidden/>
              </w:rPr>
            </w:r>
            <w:r>
              <w:rPr>
                <w:noProof/>
                <w:webHidden/>
              </w:rPr>
              <w:fldChar w:fldCharType="separate"/>
            </w:r>
            <w:r w:rsidR="00331725">
              <w:rPr>
                <w:noProof/>
                <w:webHidden/>
              </w:rPr>
              <w:t>xii</w:t>
            </w:r>
            <w:r>
              <w:rPr>
                <w:noProof/>
                <w:webHidden/>
              </w:rPr>
              <w:fldChar w:fldCharType="end"/>
            </w:r>
          </w:hyperlink>
        </w:p>
        <w:p w14:paraId="6BD57543" w14:textId="3A256513" w:rsidR="00C97A31" w:rsidRDefault="00C97A31">
          <w:pPr>
            <w:pStyle w:val="TOC1"/>
            <w:tabs>
              <w:tab w:val="right" w:leader="dot" w:pos="9350"/>
            </w:tabs>
            <w:rPr>
              <w:rFonts w:asciiTheme="minorHAnsi" w:hAnsiTheme="minorHAnsi"/>
              <w:noProof/>
            </w:rPr>
          </w:pPr>
          <w:hyperlink w:anchor="_Toc527361717" w:history="1">
            <w:r w:rsidRPr="00BF2FB8">
              <w:rPr>
                <w:rStyle w:val="Hyperlink"/>
                <w:noProof/>
              </w:rPr>
              <w:t>List of Figures</w:t>
            </w:r>
            <w:r>
              <w:rPr>
                <w:noProof/>
                <w:webHidden/>
              </w:rPr>
              <w:tab/>
            </w:r>
            <w:r>
              <w:rPr>
                <w:noProof/>
                <w:webHidden/>
              </w:rPr>
              <w:fldChar w:fldCharType="begin"/>
            </w:r>
            <w:r>
              <w:rPr>
                <w:noProof/>
                <w:webHidden/>
              </w:rPr>
              <w:instrText xml:space="preserve"> PAGEREF _Toc527361717 \h </w:instrText>
            </w:r>
            <w:r>
              <w:rPr>
                <w:noProof/>
                <w:webHidden/>
              </w:rPr>
            </w:r>
            <w:r>
              <w:rPr>
                <w:noProof/>
                <w:webHidden/>
              </w:rPr>
              <w:fldChar w:fldCharType="separate"/>
            </w:r>
            <w:r w:rsidR="00331725">
              <w:rPr>
                <w:noProof/>
                <w:webHidden/>
              </w:rPr>
              <w:t>xiii</w:t>
            </w:r>
            <w:r>
              <w:rPr>
                <w:noProof/>
                <w:webHidden/>
              </w:rPr>
              <w:fldChar w:fldCharType="end"/>
            </w:r>
          </w:hyperlink>
        </w:p>
        <w:p w14:paraId="77008E89" w14:textId="61F424AB" w:rsidR="00C97A31" w:rsidRDefault="00C97A31">
          <w:pPr>
            <w:pStyle w:val="TOC1"/>
            <w:tabs>
              <w:tab w:val="right" w:leader="dot" w:pos="9350"/>
            </w:tabs>
            <w:rPr>
              <w:rFonts w:asciiTheme="minorHAnsi" w:hAnsiTheme="minorHAnsi"/>
              <w:noProof/>
            </w:rPr>
          </w:pPr>
          <w:hyperlink w:anchor="_Toc527361718" w:history="1">
            <w:r w:rsidRPr="00BF2FB8">
              <w:rPr>
                <w:rStyle w:val="Hyperlink"/>
                <w:noProof/>
              </w:rPr>
              <w:t>III. Introduction</w:t>
            </w:r>
            <w:r>
              <w:rPr>
                <w:noProof/>
                <w:webHidden/>
              </w:rPr>
              <w:tab/>
            </w:r>
            <w:r>
              <w:rPr>
                <w:noProof/>
                <w:webHidden/>
              </w:rPr>
              <w:fldChar w:fldCharType="begin"/>
            </w:r>
            <w:r>
              <w:rPr>
                <w:noProof/>
                <w:webHidden/>
              </w:rPr>
              <w:instrText xml:space="preserve"> PAGEREF _Toc527361718 \h </w:instrText>
            </w:r>
            <w:r>
              <w:rPr>
                <w:noProof/>
                <w:webHidden/>
              </w:rPr>
            </w:r>
            <w:r>
              <w:rPr>
                <w:noProof/>
                <w:webHidden/>
              </w:rPr>
              <w:fldChar w:fldCharType="separate"/>
            </w:r>
            <w:r w:rsidR="00331725">
              <w:rPr>
                <w:noProof/>
                <w:webHidden/>
              </w:rPr>
              <w:t>1</w:t>
            </w:r>
            <w:r>
              <w:rPr>
                <w:noProof/>
                <w:webHidden/>
              </w:rPr>
              <w:fldChar w:fldCharType="end"/>
            </w:r>
          </w:hyperlink>
        </w:p>
        <w:p w14:paraId="6B692011" w14:textId="340969A6" w:rsidR="00C97A31" w:rsidRDefault="00C97A31">
          <w:pPr>
            <w:pStyle w:val="TOC2"/>
            <w:rPr>
              <w:rFonts w:asciiTheme="minorHAnsi" w:hAnsiTheme="minorHAnsi"/>
              <w:noProof/>
            </w:rPr>
          </w:pPr>
          <w:hyperlink w:anchor="_Toc527361719" w:history="1">
            <w:r w:rsidRPr="00BF2FB8">
              <w:rPr>
                <w:rStyle w:val="Hyperlink"/>
                <w:noProof/>
              </w:rPr>
              <w:t>III.I Statement of the Problem</w:t>
            </w:r>
            <w:r>
              <w:rPr>
                <w:noProof/>
                <w:webHidden/>
              </w:rPr>
              <w:tab/>
            </w:r>
            <w:r>
              <w:rPr>
                <w:noProof/>
                <w:webHidden/>
              </w:rPr>
              <w:fldChar w:fldCharType="begin"/>
            </w:r>
            <w:r>
              <w:rPr>
                <w:noProof/>
                <w:webHidden/>
              </w:rPr>
              <w:instrText xml:space="preserve"> PAGEREF _Toc527361719 \h </w:instrText>
            </w:r>
            <w:r>
              <w:rPr>
                <w:noProof/>
                <w:webHidden/>
              </w:rPr>
            </w:r>
            <w:r>
              <w:rPr>
                <w:noProof/>
                <w:webHidden/>
              </w:rPr>
              <w:fldChar w:fldCharType="separate"/>
            </w:r>
            <w:r w:rsidR="00331725">
              <w:rPr>
                <w:noProof/>
                <w:webHidden/>
              </w:rPr>
              <w:t>1</w:t>
            </w:r>
            <w:r>
              <w:rPr>
                <w:noProof/>
                <w:webHidden/>
              </w:rPr>
              <w:fldChar w:fldCharType="end"/>
            </w:r>
          </w:hyperlink>
        </w:p>
        <w:p w14:paraId="3B002795" w14:textId="34D5B0ED" w:rsidR="00C97A31" w:rsidRDefault="00C97A31">
          <w:pPr>
            <w:pStyle w:val="TOC2"/>
            <w:rPr>
              <w:rFonts w:asciiTheme="minorHAnsi" w:hAnsiTheme="minorHAnsi"/>
              <w:noProof/>
            </w:rPr>
          </w:pPr>
          <w:hyperlink w:anchor="_Toc527361720" w:history="1">
            <w:r w:rsidRPr="00BF2FB8">
              <w:rPr>
                <w:rStyle w:val="Hyperlink"/>
                <w:noProof/>
              </w:rPr>
              <w:t>III.II Purpose of the Study</w:t>
            </w:r>
            <w:r>
              <w:rPr>
                <w:noProof/>
                <w:webHidden/>
              </w:rPr>
              <w:tab/>
            </w:r>
            <w:r>
              <w:rPr>
                <w:noProof/>
                <w:webHidden/>
              </w:rPr>
              <w:fldChar w:fldCharType="begin"/>
            </w:r>
            <w:r>
              <w:rPr>
                <w:noProof/>
                <w:webHidden/>
              </w:rPr>
              <w:instrText xml:space="preserve"> PAGEREF _Toc527361720 \h </w:instrText>
            </w:r>
            <w:r>
              <w:rPr>
                <w:noProof/>
                <w:webHidden/>
              </w:rPr>
            </w:r>
            <w:r>
              <w:rPr>
                <w:noProof/>
                <w:webHidden/>
              </w:rPr>
              <w:fldChar w:fldCharType="separate"/>
            </w:r>
            <w:r w:rsidR="00331725">
              <w:rPr>
                <w:noProof/>
                <w:webHidden/>
              </w:rPr>
              <w:t>2</w:t>
            </w:r>
            <w:r>
              <w:rPr>
                <w:noProof/>
                <w:webHidden/>
              </w:rPr>
              <w:fldChar w:fldCharType="end"/>
            </w:r>
          </w:hyperlink>
        </w:p>
        <w:p w14:paraId="0FFB5F44" w14:textId="3802C4F7" w:rsidR="00C97A31" w:rsidRDefault="00C97A31">
          <w:pPr>
            <w:pStyle w:val="TOC2"/>
            <w:rPr>
              <w:rFonts w:asciiTheme="minorHAnsi" w:hAnsiTheme="minorHAnsi"/>
              <w:noProof/>
            </w:rPr>
          </w:pPr>
          <w:hyperlink w:anchor="_Toc527361721" w:history="1">
            <w:r w:rsidRPr="00BF2FB8">
              <w:rPr>
                <w:rStyle w:val="Hyperlink"/>
                <w:noProof/>
              </w:rPr>
              <w:t>III.III Research Aims and Hypotheses</w:t>
            </w:r>
            <w:r>
              <w:rPr>
                <w:noProof/>
                <w:webHidden/>
              </w:rPr>
              <w:tab/>
            </w:r>
            <w:r>
              <w:rPr>
                <w:noProof/>
                <w:webHidden/>
              </w:rPr>
              <w:fldChar w:fldCharType="begin"/>
            </w:r>
            <w:r>
              <w:rPr>
                <w:noProof/>
                <w:webHidden/>
              </w:rPr>
              <w:instrText xml:space="preserve"> PAGEREF _Toc527361721 \h </w:instrText>
            </w:r>
            <w:r>
              <w:rPr>
                <w:noProof/>
                <w:webHidden/>
              </w:rPr>
            </w:r>
            <w:r>
              <w:rPr>
                <w:noProof/>
                <w:webHidden/>
              </w:rPr>
              <w:fldChar w:fldCharType="separate"/>
            </w:r>
            <w:r w:rsidR="00331725">
              <w:rPr>
                <w:noProof/>
                <w:webHidden/>
              </w:rPr>
              <w:t>2</w:t>
            </w:r>
            <w:r>
              <w:rPr>
                <w:noProof/>
                <w:webHidden/>
              </w:rPr>
              <w:fldChar w:fldCharType="end"/>
            </w:r>
          </w:hyperlink>
        </w:p>
        <w:p w14:paraId="398268E7" w14:textId="216FBC6C" w:rsidR="00C97A31" w:rsidRDefault="00C97A31">
          <w:pPr>
            <w:pStyle w:val="TOC2"/>
            <w:rPr>
              <w:rFonts w:asciiTheme="minorHAnsi" w:hAnsiTheme="minorHAnsi"/>
              <w:noProof/>
            </w:rPr>
          </w:pPr>
          <w:hyperlink w:anchor="_Toc527361722" w:history="1">
            <w:r w:rsidRPr="00BF2FB8">
              <w:rPr>
                <w:rStyle w:val="Hyperlink"/>
                <w:noProof/>
              </w:rPr>
              <w:t>III.IV Significance of the Problem</w:t>
            </w:r>
            <w:r>
              <w:rPr>
                <w:noProof/>
                <w:webHidden/>
              </w:rPr>
              <w:tab/>
            </w:r>
            <w:r>
              <w:rPr>
                <w:noProof/>
                <w:webHidden/>
              </w:rPr>
              <w:fldChar w:fldCharType="begin"/>
            </w:r>
            <w:r>
              <w:rPr>
                <w:noProof/>
                <w:webHidden/>
              </w:rPr>
              <w:instrText xml:space="preserve"> PAGEREF _Toc527361722 \h </w:instrText>
            </w:r>
            <w:r>
              <w:rPr>
                <w:noProof/>
                <w:webHidden/>
              </w:rPr>
            </w:r>
            <w:r>
              <w:rPr>
                <w:noProof/>
                <w:webHidden/>
              </w:rPr>
              <w:fldChar w:fldCharType="separate"/>
            </w:r>
            <w:r w:rsidR="00331725">
              <w:rPr>
                <w:noProof/>
                <w:webHidden/>
              </w:rPr>
              <w:t>5</w:t>
            </w:r>
            <w:r>
              <w:rPr>
                <w:noProof/>
                <w:webHidden/>
              </w:rPr>
              <w:fldChar w:fldCharType="end"/>
            </w:r>
          </w:hyperlink>
        </w:p>
        <w:p w14:paraId="5AFF3E68" w14:textId="45871670" w:rsidR="00C97A31" w:rsidRDefault="00C97A31">
          <w:pPr>
            <w:pStyle w:val="TOC1"/>
            <w:tabs>
              <w:tab w:val="right" w:leader="dot" w:pos="9350"/>
            </w:tabs>
            <w:rPr>
              <w:rFonts w:asciiTheme="minorHAnsi" w:hAnsiTheme="minorHAnsi"/>
              <w:noProof/>
            </w:rPr>
          </w:pPr>
          <w:hyperlink w:anchor="_Toc527361723" w:history="1">
            <w:r w:rsidRPr="00BF2FB8">
              <w:rPr>
                <w:rStyle w:val="Hyperlink"/>
                <w:noProof/>
              </w:rPr>
              <w:t>IV. Manuscripts Introduction</w:t>
            </w:r>
            <w:r>
              <w:rPr>
                <w:noProof/>
                <w:webHidden/>
              </w:rPr>
              <w:tab/>
            </w:r>
            <w:r>
              <w:rPr>
                <w:noProof/>
                <w:webHidden/>
              </w:rPr>
              <w:fldChar w:fldCharType="begin"/>
            </w:r>
            <w:r>
              <w:rPr>
                <w:noProof/>
                <w:webHidden/>
              </w:rPr>
              <w:instrText xml:space="preserve"> PAGEREF _Toc527361723 \h </w:instrText>
            </w:r>
            <w:r>
              <w:rPr>
                <w:noProof/>
                <w:webHidden/>
              </w:rPr>
            </w:r>
            <w:r>
              <w:rPr>
                <w:noProof/>
                <w:webHidden/>
              </w:rPr>
              <w:fldChar w:fldCharType="separate"/>
            </w:r>
            <w:r w:rsidR="00331725">
              <w:rPr>
                <w:noProof/>
                <w:webHidden/>
              </w:rPr>
              <w:t>7</w:t>
            </w:r>
            <w:r>
              <w:rPr>
                <w:noProof/>
                <w:webHidden/>
              </w:rPr>
              <w:fldChar w:fldCharType="end"/>
            </w:r>
          </w:hyperlink>
        </w:p>
        <w:p w14:paraId="0D0A097B" w14:textId="17506BF1" w:rsidR="00C97A31" w:rsidRDefault="00C97A31">
          <w:pPr>
            <w:pStyle w:val="TOC1"/>
            <w:tabs>
              <w:tab w:val="right" w:leader="dot" w:pos="9350"/>
            </w:tabs>
            <w:rPr>
              <w:rFonts w:asciiTheme="minorHAnsi" w:hAnsiTheme="minorHAnsi"/>
              <w:noProof/>
            </w:rPr>
          </w:pPr>
          <w:hyperlink w:anchor="_Toc527361724" w:history="1">
            <w:r w:rsidRPr="00BF2FB8">
              <w:rPr>
                <w:rStyle w:val="Hyperlink"/>
                <w:noProof/>
              </w:rPr>
              <w:t>V. Manuscript 1, Gait Automaticity</w:t>
            </w:r>
            <w:r>
              <w:rPr>
                <w:noProof/>
                <w:webHidden/>
              </w:rPr>
              <w:tab/>
            </w:r>
            <w:r>
              <w:rPr>
                <w:noProof/>
                <w:webHidden/>
              </w:rPr>
              <w:fldChar w:fldCharType="begin"/>
            </w:r>
            <w:r>
              <w:rPr>
                <w:noProof/>
                <w:webHidden/>
              </w:rPr>
              <w:instrText xml:space="preserve"> PAGEREF _Toc527361724 \h </w:instrText>
            </w:r>
            <w:r>
              <w:rPr>
                <w:noProof/>
                <w:webHidden/>
              </w:rPr>
            </w:r>
            <w:r>
              <w:rPr>
                <w:noProof/>
                <w:webHidden/>
              </w:rPr>
              <w:fldChar w:fldCharType="separate"/>
            </w:r>
            <w:r w:rsidR="00331725">
              <w:rPr>
                <w:noProof/>
                <w:webHidden/>
              </w:rPr>
              <w:t>8</w:t>
            </w:r>
            <w:r>
              <w:rPr>
                <w:noProof/>
                <w:webHidden/>
              </w:rPr>
              <w:fldChar w:fldCharType="end"/>
            </w:r>
          </w:hyperlink>
        </w:p>
        <w:p w14:paraId="551A6429" w14:textId="3EECB774" w:rsidR="00C97A31" w:rsidRDefault="00C97A31">
          <w:pPr>
            <w:pStyle w:val="TOC2"/>
            <w:rPr>
              <w:rFonts w:asciiTheme="minorHAnsi" w:hAnsiTheme="minorHAnsi"/>
              <w:noProof/>
            </w:rPr>
          </w:pPr>
          <w:hyperlink w:anchor="_Toc527361725" w:history="1">
            <w:r w:rsidRPr="00BF2FB8">
              <w:rPr>
                <w:rStyle w:val="Hyperlink"/>
                <w:noProof/>
              </w:rPr>
              <w:t>V.I Title Page</w:t>
            </w:r>
            <w:r>
              <w:rPr>
                <w:noProof/>
                <w:webHidden/>
              </w:rPr>
              <w:tab/>
            </w:r>
            <w:r>
              <w:rPr>
                <w:noProof/>
                <w:webHidden/>
              </w:rPr>
              <w:fldChar w:fldCharType="begin"/>
            </w:r>
            <w:r>
              <w:rPr>
                <w:noProof/>
                <w:webHidden/>
              </w:rPr>
              <w:instrText xml:space="preserve"> PAGEREF _Toc527361725 \h </w:instrText>
            </w:r>
            <w:r>
              <w:rPr>
                <w:noProof/>
                <w:webHidden/>
              </w:rPr>
            </w:r>
            <w:r>
              <w:rPr>
                <w:noProof/>
                <w:webHidden/>
              </w:rPr>
              <w:fldChar w:fldCharType="separate"/>
            </w:r>
            <w:r w:rsidR="00331725">
              <w:rPr>
                <w:noProof/>
                <w:webHidden/>
              </w:rPr>
              <w:t>8</w:t>
            </w:r>
            <w:r>
              <w:rPr>
                <w:noProof/>
                <w:webHidden/>
              </w:rPr>
              <w:fldChar w:fldCharType="end"/>
            </w:r>
          </w:hyperlink>
        </w:p>
        <w:p w14:paraId="708166BD" w14:textId="265F5E6E" w:rsidR="00C97A31" w:rsidRDefault="00C97A31">
          <w:pPr>
            <w:pStyle w:val="TOC2"/>
            <w:rPr>
              <w:rFonts w:asciiTheme="minorHAnsi" w:hAnsiTheme="minorHAnsi"/>
              <w:noProof/>
            </w:rPr>
          </w:pPr>
          <w:hyperlink w:anchor="_Toc527361726" w:history="1">
            <w:r w:rsidRPr="00BF2FB8">
              <w:rPr>
                <w:rStyle w:val="Hyperlink"/>
                <w:noProof/>
              </w:rPr>
              <w:t>V.II Abstract</w:t>
            </w:r>
            <w:r>
              <w:rPr>
                <w:noProof/>
                <w:webHidden/>
              </w:rPr>
              <w:tab/>
            </w:r>
            <w:r>
              <w:rPr>
                <w:noProof/>
                <w:webHidden/>
              </w:rPr>
              <w:fldChar w:fldCharType="begin"/>
            </w:r>
            <w:r>
              <w:rPr>
                <w:noProof/>
                <w:webHidden/>
              </w:rPr>
              <w:instrText xml:space="preserve"> PAGEREF _Toc527361726 \h </w:instrText>
            </w:r>
            <w:r>
              <w:rPr>
                <w:noProof/>
                <w:webHidden/>
              </w:rPr>
            </w:r>
            <w:r>
              <w:rPr>
                <w:noProof/>
                <w:webHidden/>
              </w:rPr>
              <w:fldChar w:fldCharType="separate"/>
            </w:r>
            <w:r w:rsidR="00331725">
              <w:rPr>
                <w:noProof/>
                <w:webHidden/>
              </w:rPr>
              <w:t>9</w:t>
            </w:r>
            <w:r>
              <w:rPr>
                <w:noProof/>
                <w:webHidden/>
              </w:rPr>
              <w:fldChar w:fldCharType="end"/>
            </w:r>
          </w:hyperlink>
        </w:p>
        <w:p w14:paraId="2F4F4571" w14:textId="765A0B73" w:rsidR="00C97A31" w:rsidRDefault="00C97A31">
          <w:pPr>
            <w:pStyle w:val="TOC2"/>
            <w:rPr>
              <w:rFonts w:asciiTheme="minorHAnsi" w:hAnsiTheme="minorHAnsi"/>
              <w:noProof/>
            </w:rPr>
          </w:pPr>
          <w:hyperlink w:anchor="_Toc527361727" w:history="1">
            <w:r w:rsidRPr="00BF2FB8">
              <w:rPr>
                <w:rStyle w:val="Hyperlink"/>
                <w:noProof/>
              </w:rPr>
              <w:t>V.III Introduction</w:t>
            </w:r>
            <w:r>
              <w:rPr>
                <w:noProof/>
                <w:webHidden/>
              </w:rPr>
              <w:tab/>
            </w:r>
            <w:r>
              <w:rPr>
                <w:noProof/>
                <w:webHidden/>
              </w:rPr>
              <w:fldChar w:fldCharType="begin"/>
            </w:r>
            <w:r>
              <w:rPr>
                <w:noProof/>
                <w:webHidden/>
              </w:rPr>
              <w:instrText xml:space="preserve"> PAGEREF _Toc527361727 \h </w:instrText>
            </w:r>
            <w:r>
              <w:rPr>
                <w:noProof/>
                <w:webHidden/>
              </w:rPr>
            </w:r>
            <w:r>
              <w:rPr>
                <w:noProof/>
                <w:webHidden/>
              </w:rPr>
              <w:fldChar w:fldCharType="separate"/>
            </w:r>
            <w:r w:rsidR="00331725">
              <w:rPr>
                <w:noProof/>
                <w:webHidden/>
              </w:rPr>
              <w:t>10</w:t>
            </w:r>
            <w:r>
              <w:rPr>
                <w:noProof/>
                <w:webHidden/>
              </w:rPr>
              <w:fldChar w:fldCharType="end"/>
            </w:r>
          </w:hyperlink>
        </w:p>
        <w:p w14:paraId="0F27BF5E" w14:textId="0C76EFBB" w:rsidR="00C97A31" w:rsidRDefault="00C97A31">
          <w:pPr>
            <w:pStyle w:val="TOC2"/>
            <w:rPr>
              <w:rFonts w:asciiTheme="minorHAnsi" w:hAnsiTheme="minorHAnsi"/>
              <w:noProof/>
            </w:rPr>
          </w:pPr>
          <w:hyperlink w:anchor="_Toc527361728" w:history="1">
            <w:r w:rsidRPr="00BF2FB8">
              <w:rPr>
                <w:rStyle w:val="Hyperlink"/>
                <w:noProof/>
              </w:rPr>
              <w:t>V.IV Methods</w:t>
            </w:r>
            <w:r>
              <w:rPr>
                <w:noProof/>
                <w:webHidden/>
              </w:rPr>
              <w:tab/>
            </w:r>
            <w:r>
              <w:rPr>
                <w:noProof/>
                <w:webHidden/>
              </w:rPr>
              <w:fldChar w:fldCharType="begin"/>
            </w:r>
            <w:r>
              <w:rPr>
                <w:noProof/>
                <w:webHidden/>
              </w:rPr>
              <w:instrText xml:space="preserve"> PAGEREF _Toc527361728 \h </w:instrText>
            </w:r>
            <w:r>
              <w:rPr>
                <w:noProof/>
                <w:webHidden/>
              </w:rPr>
            </w:r>
            <w:r>
              <w:rPr>
                <w:noProof/>
                <w:webHidden/>
              </w:rPr>
              <w:fldChar w:fldCharType="separate"/>
            </w:r>
            <w:r w:rsidR="00331725">
              <w:rPr>
                <w:noProof/>
                <w:webHidden/>
              </w:rPr>
              <w:t>11</w:t>
            </w:r>
            <w:r>
              <w:rPr>
                <w:noProof/>
                <w:webHidden/>
              </w:rPr>
              <w:fldChar w:fldCharType="end"/>
            </w:r>
          </w:hyperlink>
        </w:p>
        <w:p w14:paraId="02E53F49" w14:textId="6F2C530D" w:rsidR="00C97A31" w:rsidRDefault="00C97A31">
          <w:pPr>
            <w:pStyle w:val="TOC3"/>
            <w:rPr>
              <w:rFonts w:asciiTheme="minorHAnsi" w:hAnsiTheme="minorHAnsi"/>
              <w:noProof/>
            </w:rPr>
          </w:pPr>
          <w:hyperlink w:anchor="_Toc527361729" w:history="1">
            <w:r w:rsidRPr="00BF2FB8">
              <w:rPr>
                <w:rStyle w:val="Hyperlink"/>
                <w:noProof/>
              </w:rPr>
              <w:t>V.IV.I Subjects</w:t>
            </w:r>
            <w:r>
              <w:rPr>
                <w:noProof/>
                <w:webHidden/>
              </w:rPr>
              <w:tab/>
            </w:r>
            <w:r>
              <w:rPr>
                <w:noProof/>
                <w:webHidden/>
              </w:rPr>
              <w:fldChar w:fldCharType="begin"/>
            </w:r>
            <w:r>
              <w:rPr>
                <w:noProof/>
                <w:webHidden/>
              </w:rPr>
              <w:instrText xml:space="preserve"> PAGEREF _Toc527361729 \h </w:instrText>
            </w:r>
            <w:r>
              <w:rPr>
                <w:noProof/>
                <w:webHidden/>
              </w:rPr>
            </w:r>
            <w:r>
              <w:rPr>
                <w:noProof/>
                <w:webHidden/>
              </w:rPr>
              <w:fldChar w:fldCharType="separate"/>
            </w:r>
            <w:r w:rsidR="00331725">
              <w:rPr>
                <w:noProof/>
                <w:webHidden/>
              </w:rPr>
              <w:t>11</w:t>
            </w:r>
            <w:r>
              <w:rPr>
                <w:noProof/>
                <w:webHidden/>
              </w:rPr>
              <w:fldChar w:fldCharType="end"/>
            </w:r>
          </w:hyperlink>
        </w:p>
        <w:p w14:paraId="2FB98799" w14:textId="1817256A" w:rsidR="00C97A31" w:rsidRDefault="00C97A31">
          <w:pPr>
            <w:pStyle w:val="TOC3"/>
            <w:rPr>
              <w:rFonts w:asciiTheme="minorHAnsi" w:hAnsiTheme="minorHAnsi"/>
              <w:noProof/>
            </w:rPr>
          </w:pPr>
          <w:hyperlink w:anchor="_Toc527361730" w:history="1">
            <w:r w:rsidRPr="00BF2FB8">
              <w:rPr>
                <w:rStyle w:val="Hyperlink"/>
                <w:noProof/>
              </w:rPr>
              <w:t>V.IV.II Equipment and Tasks</w:t>
            </w:r>
            <w:r>
              <w:rPr>
                <w:noProof/>
                <w:webHidden/>
              </w:rPr>
              <w:tab/>
            </w:r>
            <w:r>
              <w:rPr>
                <w:noProof/>
                <w:webHidden/>
              </w:rPr>
              <w:fldChar w:fldCharType="begin"/>
            </w:r>
            <w:r>
              <w:rPr>
                <w:noProof/>
                <w:webHidden/>
              </w:rPr>
              <w:instrText xml:space="preserve"> PAGEREF _Toc527361730 \h </w:instrText>
            </w:r>
            <w:r>
              <w:rPr>
                <w:noProof/>
                <w:webHidden/>
              </w:rPr>
            </w:r>
            <w:r>
              <w:rPr>
                <w:noProof/>
                <w:webHidden/>
              </w:rPr>
              <w:fldChar w:fldCharType="separate"/>
            </w:r>
            <w:r w:rsidR="00331725">
              <w:rPr>
                <w:noProof/>
                <w:webHidden/>
              </w:rPr>
              <w:t>12</w:t>
            </w:r>
            <w:r>
              <w:rPr>
                <w:noProof/>
                <w:webHidden/>
              </w:rPr>
              <w:fldChar w:fldCharType="end"/>
            </w:r>
          </w:hyperlink>
        </w:p>
        <w:p w14:paraId="7B93B546" w14:textId="51F877A3" w:rsidR="00C97A31" w:rsidRDefault="00C97A31">
          <w:pPr>
            <w:pStyle w:val="TOC3"/>
            <w:rPr>
              <w:rFonts w:asciiTheme="minorHAnsi" w:hAnsiTheme="minorHAnsi"/>
              <w:noProof/>
            </w:rPr>
          </w:pPr>
          <w:hyperlink w:anchor="_Toc527361731" w:history="1">
            <w:r w:rsidRPr="00BF2FB8">
              <w:rPr>
                <w:rStyle w:val="Hyperlink"/>
                <w:noProof/>
              </w:rPr>
              <w:t>V.IV.III Procedures</w:t>
            </w:r>
            <w:r>
              <w:rPr>
                <w:noProof/>
                <w:webHidden/>
              </w:rPr>
              <w:tab/>
            </w:r>
            <w:r>
              <w:rPr>
                <w:noProof/>
                <w:webHidden/>
              </w:rPr>
              <w:fldChar w:fldCharType="begin"/>
            </w:r>
            <w:r>
              <w:rPr>
                <w:noProof/>
                <w:webHidden/>
              </w:rPr>
              <w:instrText xml:space="preserve"> PAGEREF _Toc527361731 \h </w:instrText>
            </w:r>
            <w:r>
              <w:rPr>
                <w:noProof/>
                <w:webHidden/>
              </w:rPr>
            </w:r>
            <w:r>
              <w:rPr>
                <w:noProof/>
                <w:webHidden/>
              </w:rPr>
              <w:fldChar w:fldCharType="separate"/>
            </w:r>
            <w:r w:rsidR="00331725">
              <w:rPr>
                <w:noProof/>
                <w:webHidden/>
              </w:rPr>
              <w:t>13</w:t>
            </w:r>
            <w:r>
              <w:rPr>
                <w:noProof/>
                <w:webHidden/>
              </w:rPr>
              <w:fldChar w:fldCharType="end"/>
            </w:r>
          </w:hyperlink>
        </w:p>
        <w:p w14:paraId="6C9E3437" w14:textId="13DAD2DB" w:rsidR="00C97A31" w:rsidRDefault="00C97A31">
          <w:pPr>
            <w:pStyle w:val="TOC3"/>
            <w:rPr>
              <w:rFonts w:asciiTheme="minorHAnsi" w:hAnsiTheme="minorHAnsi"/>
              <w:noProof/>
            </w:rPr>
          </w:pPr>
          <w:hyperlink w:anchor="_Toc527361732" w:history="1">
            <w:r w:rsidRPr="00BF2FB8">
              <w:rPr>
                <w:rStyle w:val="Hyperlink"/>
                <w:noProof/>
              </w:rPr>
              <w:t>V.IV.IV Data Processing</w:t>
            </w:r>
            <w:r>
              <w:rPr>
                <w:noProof/>
                <w:webHidden/>
              </w:rPr>
              <w:tab/>
            </w:r>
            <w:r>
              <w:rPr>
                <w:noProof/>
                <w:webHidden/>
              </w:rPr>
              <w:fldChar w:fldCharType="begin"/>
            </w:r>
            <w:r>
              <w:rPr>
                <w:noProof/>
                <w:webHidden/>
              </w:rPr>
              <w:instrText xml:space="preserve"> PAGEREF _Toc527361732 \h </w:instrText>
            </w:r>
            <w:r>
              <w:rPr>
                <w:noProof/>
                <w:webHidden/>
              </w:rPr>
            </w:r>
            <w:r>
              <w:rPr>
                <w:noProof/>
                <w:webHidden/>
              </w:rPr>
              <w:fldChar w:fldCharType="separate"/>
            </w:r>
            <w:r w:rsidR="00331725">
              <w:rPr>
                <w:noProof/>
                <w:webHidden/>
              </w:rPr>
              <w:t>15</w:t>
            </w:r>
            <w:r>
              <w:rPr>
                <w:noProof/>
                <w:webHidden/>
              </w:rPr>
              <w:fldChar w:fldCharType="end"/>
            </w:r>
          </w:hyperlink>
        </w:p>
        <w:p w14:paraId="0C461081" w14:textId="12308FC6" w:rsidR="00C97A31" w:rsidRDefault="00C97A31">
          <w:pPr>
            <w:pStyle w:val="TOC3"/>
            <w:rPr>
              <w:rFonts w:asciiTheme="minorHAnsi" w:hAnsiTheme="minorHAnsi"/>
              <w:noProof/>
            </w:rPr>
          </w:pPr>
          <w:hyperlink w:anchor="_Toc527361733" w:history="1">
            <w:r w:rsidRPr="00BF2FB8">
              <w:rPr>
                <w:rStyle w:val="Hyperlink"/>
                <w:noProof/>
              </w:rPr>
              <w:t>V.IV.V Statistical Analysis</w:t>
            </w:r>
            <w:r>
              <w:rPr>
                <w:noProof/>
                <w:webHidden/>
              </w:rPr>
              <w:tab/>
            </w:r>
            <w:r>
              <w:rPr>
                <w:noProof/>
                <w:webHidden/>
              </w:rPr>
              <w:fldChar w:fldCharType="begin"/>
            </w:r>
            <w:r>
              <w:rPr>
                <w:noProof/>
                <w:webHidden/>
              </w:rPr>
              <w:instrText xml:space="preserve"> PAGEREF _Toc527361733 \h </w:instrText>
            </w:r>
            <w:r>
              <w:rPr>
                <w:noProof/>
                <w:webHidden/>
              </w:rPr>
            </w:r>
            <w:r>
              <w:rPr>
                <w:noProof/>
                <w:webHidden/>
              </w:rPr>
              <w:fldChar w:fldCharType="separate"/>
            </w:r>
            <w:r w:rsidR="00331725">
              <w:rPr>
                <w:noProof/>
                <w:webHidden/>
              </w:rPr>
              <w:t>16</w:t>
            </w:r>
            <w:r>
              <w:rPr>
                <w:noProof/>
                <w:webHidden/>
              </w:rPr>
              <w:fldChar w:fldCharType="end"/>
            </w:r>
          </w:hyperlink>
        </w:p>
        <w:p w14:paraId="76F3D557" w14:textId="19FA272B" w:rsidR="00C97A31" w:rsidRDefault="00C97A31">
          <w:pPr>
            <w:pStyle w:val="TOC2"/>
            <w:rPr>
              <w:rFonts w:asciiTheme="minorHAnsi" w:hAnsiTheme="minorHAnsi"/>
              <w:noProof/>
            </w:rPr>
          </w:pPr>
          <w:hyperlink w:anchor="_Toc527361734" w:history="1">
            <w:r w:rsidRPr="00BF2FB8">
              <w:rPr>
                <w:rStyle w:val="Hyperlink"/>
                <w:noProof/>
              </w:rPr>
              <w:t>V.V Results</w:t>
            </w:r>
            <w:r>
              <w:rPr>
                <w:noProof/>
                <w:webHidden/>
              </w:rPr>
              <w:tab/>
            </w:r>
            <w:r>
              <w:rPr>
                <w:noProof/>
                <w:webHidden/>
              </w:rPr>
              <w:fldChar w:fldCharType="begin"/>
            </w:r>
            <w:r>
              <w:rPr>
                <w:noProof/>
                <w:webHidden/>
              </w:rPr>
              <w:instrText xml:space="preserve"> PAGEREF _Toc527361734 \h </w:instrText>
            </w:r>
            <w:r>
              <w:rPr>
                <w:noProof/>
                <w:webHidden/>
              </w:rPr>
            </w:r>
            <w:r>
              <w:rPr>
                <w:noProof/>
                <w:webHidden/>
              </w:rPr>
              <w:fldChar w:fldCharType="separate"/>
            </w:r>
            <w:r w:rsidR="00331725">
              <w:rPr>
                <w:noProof/>
                <w:webHidden/>
              </w:rPr>
              <w:t>17</w:t>
            </w:r>
            <w:r>
              <w:rPr>
                <w:noProof/>
                <w:webHidden/>
              </w:rPr>
              <w:fldChar w:fldCharType="end"/>
            </w:r>
          </w:hyperlink>
        </w:p>
        <w:p w14:paraId="034C5874" w14:textId="74ED69CE" w:rsidR="00C97A31" w:rsidRDefault="00C97A31">
          <w:pPr>
            <w:pStyle w:val="TOC3"/>
            <w:rPr>
              <w:rFonts w:asciiTheme="minorHAnsi" w:hAnsiTheme="minorHAnsi"/>
              <w:noProof/>
            </w:rPr>
          </w:pPr>
          <w:hyperlink w:anchor="_Toc527361735" w:history="1">
            <w:r w:rsidRPr="00BF2FB8">
              <w:rPr>
                <w:rStyle w:val="Hyperlink"/>
                <w:noProof/>
              </w:rPr>
              <w:t>V.V.I Temporo-Spatial Variables</w:t>
            </w:r>
            <w:r>
              <w:rPr>
                <w:noProof/>
                <w:webHidden/>
              </w:rPr>
              <w:tab/>
            </w:r>
            <w:r>
              <w:rPr>
                <w:noProof/>
                <w:webHidden/>
              </w:rPr>
              <w:fldChar w:fldCharType="begin"/>
            </w:r>
            <w:r>
              <w:rPr>
                <w:noProof/>
                <w:webHidden/>
              </w:rPr>
              <w:instrText xml:space="preserve"> PAGEREF _Toc527361735 \h </w:instrText>
            </w:r>
            <w:r>
              <w:rPr>
                <w:noProof/>
                <w:webHidden/>
              </w:rPr>
            </w:r>
            <w:r>
              <w:rPr>
                <w:noProof/>
                <w:webHidden/>
              </w:rPr>
              <w:fldChar w:fldCharType="separate"/>
            </w:r>
            <w:r w:rsidR="00331725">
              <w:rPr>
                <w:noProof/>
                <w:webHidden/>
              </w:rPr>
              <w:t>17</w:t>
            </w:r>
            <w:r>
              <w:rPr>
                <w:noProof/>
                <w:webHidden/>
              </w:rPr>
              <w:fldChar w:fldCharType="end"/>
            </w:r>
          </w:hyperlink>
        </w:p>
        <w:p w14:paraId="22EA18B5" w14:textId="663065F8" w:rsidR="00C97A31" w:rsidRDefault="00C97A31">
          <w:pPr>
            <w:pStyle w:val="TOC3"/>
            <w:rPr>
              <w:rFonts w:asciiTheme="minorHAnsi" w:hAnsiTheme="minorHAnsi"/>
              <w:noProof/>
            </w:rPr>
          </w:pPr>
          <w:hyperlink w:anchor="_Toc527361736" w:history="1">
            <w:r w:rsidRPr="00BF2FB8">
              <w:rPr>
                <w:rStyle w:val="Hyperlink"/>
                <w:noProof/>
              </w:rPr>
              <w:t>V.V.II Kinematic Variables</w:t>
            </w:r>
            <w:r>
              <w:rPr>
                <w:noProof/>
                <w:webHidden/>
              </w:rPr>
              <w:tab/>
            </w:r>
            <w:r>
              <w:rPr>
                <w:noProof/>
                <w:webHidden/>
              </w:rPr>
              <w:fldChar w:fldCharType="begin"/>
            </w:r>
            <w:r>
              <w:rPr>
                <w:noProof/>
                <w:webHidden/>
              </w:rPr>
              <w:instrText xml:space="preserve"> PAGEREF _Toc527361736 \h </w:instrText>
            </w:r>
            <w:r>
              <w:rPr>
                <w:noProof/>
                <w:webHidden/>
              </w:rPr>
            </w:r>
            <w:r>
              <w:rPr>
                <w:noProof/>
                <w:webHidden/>
              </w:rPr>
              <w:fldChar w:fldCharType="separate"/>
            </w:r>
            <w:r w:rsidR="00331725">
              <w:rPr>
                <w:noProof/>
                <w:webHidden/>
              </w:rPr>
              <w:t>18</w:t>
            </w:r>
            <w:r>
              <w:rPr>
                <w:noProof/>
                <w:webHidden/>
              </w:rPr>
              <w:fldChar w:fldCharType="end"/>
            </w:r>
          </w:hyperlink>
        </w:p>
        <w:p w14:paraId="09C2A4F0" w14:textId="3BBF9697" w:rsidR="00C97A31" w:rsidRDefault="00C97A31">
          <w:pPr>
            <w:pStyle w:val="TOC3"/>
            <w:rPr>
              <w:rFonts w:asciiTheme="minorHAnsi" w:hAnsiTheme="minorHAnsi"/>
              <w:noProof/>
            </w:rPr>
          </w:pPr>
          <w:hyperlink w:anchor="_Toc527361737" w:history="1">
            <w:r w:rsidRPr="00BF2FB8">
              <w:rPr>
                <w:rStyle w:val="Hyperlink"/>
                <w:noProof/>
              </w:rPr>
              <w:t>V.V.III Phoneme Monitoring</w:t>
            </w:r>
            <w:r>
              <w:rPr>
                <w:noProof/>
                <w:webHidden/>
              </w:rPr>
              <w:tab/>
            </w:r>
            <w:r>
              <w:rPr>
                <w:noProof/>
                <w:webHidden/>
              </w:rPr>
              <w:fldChar w:fldCharType="begin"/>
            </w:r>
            <w:r>
              <w:rPr>
                <w:noProof/>
                <w:webHidden/>
              </w:rPr>
              <w:instrText xml:space="preserve"> PAGEREF _Toc527361737 \h </w:instrText>
            </w:r>
            <w:r>
              <w:rPr>
                <w:noProof/>
                <w:webHidden/>
              </w:rPr>
            </w:r>
            <w:r>
              <w:rPr>
                <w:noProof/>
                <w:webHidden/>
              </w:rPr>
              <w:fldChar w:fldCharType="separate"/>
            </w:r>
            <w:r w:rsidR="00331725">
              <w:rPr>
                <w:noProof/>
                <w:webHidden/>
              </w:rPr>
              <w:t>19</w:t>
            </w:r>
            <w:r>
              <w:rPr>
                <w:noProof/>
                <w:webHidden/>
              </w:rPr>
              <w:fldChar w:fldCharType="end"/>
            </w:r>
          </w:hyperlink>
        </w:p>
        <w:p w14:paraId="0B3E32C1" w14:textId="7F070534" w:rsidR="00C97A31" w:rsidRDefault="00C97A31">
          <w:pPr>
            <w:pStyle w:val="TOC3"/>
            <w:rPr>
              <w:rFonts w:asciiTheme="minorHAnsi" w:hAnsiTheme="minorHAnsi"/>
              <w:noProof/>
            </w:rPr>
          </w:pPr>
          <w:hyperlink w:anchor="_Toc527361738" w:history="1">
            <w:r w:rsidRPr="00BF2FB8">
              <w:rPr>
                <w:rStyle w:val="Hyperlink"/>
                <w:noProof/>
              </w:rPr>
              <w:t>V.V.IV Change in Dual-task Effect</w:t>
            </w:r>
            <w:r>
              <w:rPr>
                <w:noProof/>
                <w:webHidden/>
              </w:rPr>
              <w:tab/>
            </w:r>
            <w:r>
              <w:rPr>
                <w:noProof/>
                <w:webHidden/>
              </w:rPr>
              <w:fldChar w:fldCharType="begin"/>
            </w:r>
            <w:r>
              <w:rPr>
                <w:noProof/>
                <w:webHidden/>
              </w:rPr>
              <w:instrText xml:space="preserve"> PAGEREF _Toc527361738 \h </w:instrText>
            </w:r>
            <w:r>
              <w:rPr>
                <w:noProof/>
                <w:webHidden/>
              </w:rPr>
            </w:r>
            <w:r>
              <w:rPr>
                <w:noProof/>
                <w:webHidden/>
              </w:rPr>
              <w:fldChar w:fldCharType="separate"/>
            </w:r>
            <w:r w:rsidR="00331725">
              <w:rPr>
                <w:noProof/>
                <w:webHidden/>
              </w:rPr>
              <w:t>19</w:t>
            </w:r>
            <w:r>
              <w:rPr>
                <w:noProof/>
                <w:webHidden/>
              </w:rPr>
              <w:fldChar w:fldCharType="end"/>
            </w:r>
          </w:hyperlink>
        </w:p>
        <w:p w14:paraId="6C2DC5FD" w14:textId="2FEB1FE9" w:rsidR="00C97A31" w:rsidRDefault="00C97A31">
          <w:pPr>
            <w:pStyle w:val="TOC2"/>
            <w:rPr>
              <w:rFonts w:asciiTheme="minorHAnsi" w:hAnsiTheme="minorHAnsi"/>
              <w:noProof/>
            </w:rPr>
          </w:pPr>
          <w:hyperlink w:anchor="_Toc527361739" w:history="1">
            <w:r w:rsidRPr="00BF2FB8">
              <w:rPr>
                <w:rStyle w:val="Hyperlink"/>
                <w:noProof/>
              </w:rPr>
              <w:t>V.VI Discussion</w:t>
            </w:r>
            <w:r>
              <w:rPr>
                <w:noProof/>
                <w:webHidden/>
              </w:rPr>
              <w:tab/>
            </w:r>
            <w:r>
              <w:rPr>
                <w:noProof/>
                <w:webHidden/>
              </w:rPr>
              <w:fldChar w:fldCharType="begin"/>
            </w:r>
            <w:r>
              <w:rPr>
                <w:noProof/>
                <w:webHidden/>
              </w:rPr>
              <w:instrText xml:space="preserve"> PAGEREF _Toc527361739 \h </w:instrText>
            </w:r>
            <w:r>
              <w:rPr>
                <w:noProof/>
                <w:webHidden/>
              </w:rPr>
            </w:r>
            <w:r>
              <w:rPr>
                <w:noProof/>
                <w:webHidden/>
              </w:rPr>
              <w:fldChar w:fldCharType="separate"/>
            </w:r>
            <w:r w:rsidR="00331725">
              <w:rPr>
                <w:noProof/>
                <w:webHidden/>
              </w:rPr>
              <w:t>19</w:t>
            </w:r>
            <w:r>
              <w:rPr>
                <w:noProof/>
                <w:webHidden/>
              </w:rPr>
              <w:fldChar w:fldCharType="end"/>
            </w:r>
          </w:hyperlink>
        </w:p>
        <w:p w14:paraId="33117DBC" w14:textId="667DAF55" w:rsidR="00C97A31" w:rsidRDefault="00C97A31">
          <w:pPr>
            <w:pStyle w:val="TOC2"/>
            <w:rPr>
              <w:rFonts w:asciiTheme="minorHAnsi" w:hAnsiTheme="minorHAnsi"/>
              <w:noProof/>
            </w:rPr>
          </w:pPr>
          <w:hyperlink w:anchor="_Toc527361740" w:history="1">
            <w:r w:rsidRPr="00BF2FB8">
              <w:rPr>
                <w:rStyle w:val="Hyperlink"/>
                <w:noProof/>
              </w:rPr>
              <w:t>V.VII Conclusions</w:t>
            </w:r>
            <w:r>
              <w:rPr>
                <w:noProof/>
                <w:webHidden/>
              </w:rPr>
              <w:tab/>
            </w:r>
            <w:r>
              <w:rPr>
                <w:noProof/>
                <w:webHidden/>
              </w:rPr>
              <w:fldChar w:fldCharType="begin"/>
            </w:r>
            <w:r>
              <w:rPr>
                <w:noProof/>
                <w:webHidden/>
              </w:rPr>
              <w:instrText xml:space="preserve"> PAGEREF _Toc527361740 \h </w:instrText>
            </w:r>
            <w:r>
              <w:rPr>
                <w:noProof/>
                <w:webHidden/>
              </w:rPr>
            </w:r>
            <w:r>
              <w:rPr>
                <w:noProof/>
                <w:webHidden/>
              </w:rPr>
              <w:fldChar w:fldCharType="separate"/>
            </w:r>
            <w:r w:rsidR="00331725">
              <w:rPr>
                <w:noProof/>
                <w:webHidden/>
              </w:rPr>
              <w:t>21</w:t>
            </w:r>
            <w:r>
              <w:rPr>
                <w:noProof/>
                <w:webHidden/>
              </w:rPr>
              <w:fldChar w:fldCharType="end"/>
            </w:r>
          </w:hyperlink>
        </w:p>
        <w:p w14:paraId="411174D5" w14:textId="16FA8297" w:rsidR="00C97A31" w:rsidRDefault="00C97A31">
          <w:pPr>
            <w:pStyle w:val="TOC1"/>
            <w:tabs>
              <w:tab w:val="right" w:leader="dot" w:pos="9350"/>
            </w:tabs>
            <w:rPr>
              <w:rFonts w:asciiTheme="minorHAnsi" w:hAnsiTheme="minorHAnsi"/>
              <w:noProof/>
            </w:rPr>
          </w:pPr>
          <w:hyperlink w:anchor="_Toc527361741" w:history="1">
            <w:r w:rsidRPr="00BF2FB8">
              <w:rPr>
                <w:rStyle w:val="Hyperlink"/>
                <w:noProof/>
              </w:rPr>
              <w:t>VI. Manuscript 2, Balance Automaticity</w:t>
            </w:r>
            <w:r>
              <w:rPr>
                <w:noProof/>
                <w:webHidden/>
              </w:rPr>
              <w:tab/>
            </w:r>
            <w:r>
              <w:rPr>
                <w:noProof/>
                <w:webHidden/>
              </w:rPr>
              <w:fldChar w:fldCharType="begin"/>
            </w:r>
            <w:r>
              <w:rPr>
                <w:noProof/>
                <w:webHidden/>
              </w:rPr>
              <w:instrText xml:space="preserve"> PAGEREF _Toc527361741 \h </w:instrText>
            </w:r>
            <w:r>
              <w:rPr>
                <w:noProof/>
                <w:webHidden/>
              </w:rPr>
            </w:r>
            <w:r>
              <w:rPr>
                <w:noProof/>
                <w:webHidden/>
              </w:rPr>
              <w:fldChar w:fldCharType="separate"/>
            </w:r>
            <w:r w:rsidR="00331725">
              <w:rPr>
                <w:noProof/>
                <w:webHidden/>
              </w:rPr>
              <w:t>27</w:t>
            </w:r>
            <w:r>
              <w:rPr>
                <w:noProof/>
                <w:webHidden/>
              </w:rPr>
              <w:fldChar w:fldCharType="end"/>
            </w:r>
          </w:hyperlink>
        </w:p>
        <w:p w14:paraId="55BBD98F" w14:textId="33D6F919" w:rsidR="00C97A31" w:rsidRDefault="00C97A31">
          <w:pPr>
            <w:pStyle w:val="TOC2"/>
            <w:rPr>
              <w:rFonts w:asciiTheme="minorHAnsi" w:hAnsiTheme="minorHAnsi"/>
              <w:noProof/>
            </w:rPr>
          </w:pPr>
          <w:hyperlink w:anchor="_Toc527361742" w:history="1">
            <w:r w:rsidRPr="00BF2FB8">
              <w:rPr>
                <w:rStyle w:val="Hyperlink"/>
                <w:noProof/>
              </w:rPr>
              <w:t>VI.I Title Page</w:t>
            </w:r>
            <w:r>
              <w:rPr>
                <w:noProof/>
                <w:webHidden/>
              </w:rPr>
              <w:tab/>
            </w:r>
            <w:r>
              <w:rPr>
                <w:noProof/>
                <w:webHidden/>
              </w:rPr>
              <w:fldChar w:fldCharType="begin"/>
            </w:r>
            <w:r>
              <w:rPr>
                <w:noProof/>
                <w:webHidden/>
              </w:rPr>
              <w:instrText xml:space="preserve"> PAGEREF _Toc527361742 \h </w:instrText>
            </w:r>
            <w:r>
              <w:rPr>
                <w:noProof/>
                <w:webHidden/>
              </w:rPr>
            </w:r>
            <w:r>
              <w:rPr>
                <w:noProof/>
                <w:webHidden/>
              </w:rPr>
              <w:fldChar w:fldCharType="separate"/>
            </w:r>
            <w:r w:rsidR="00331725">
              <w:rPr>
                <w:noProof/>
                <w:webHidden/>
              </w:rPr>
              <w:t>27</w:t>
            </w:r>
            <w:r>
              <w:rPr>
                <w:noProof/>
                <w:webHidden/>
              </w:rPr>
              <w:fldChar w:fldCharType="end"/>
            </w:r>
          </w:hyperlink>
        </w:p>
        <w:p w14:paraId="2296160C" w14:textId="16CAAF65" w:rsidR="00C97A31" w:rsidRDefault="00C97A31">
          <w:pPr>
            <w:pStyle w:val="TOC2"/>
            <w:rPr>
              <w:rFonts w:asciiTheme="minorHAnsi" w:hAnsiTheme="minorHAnsi"/>
              <w:noProof/>
            </w:rPr>
          </w:pPr>
          <w:hyperlink w:anchor="_Toc527361743" w:history="1">
            <w:r w:rsidRPr="00BF2FB8">
              <w:rPr>
                <w:rStyle w:val="Hyperlink"/>
                <w:noProof/>
              </w:rPr>
              <w:t>VI.II</w:t>
            </w:r>
            <w:r w:rsidRPr="00BF2FB8">
              <w:rPr>
                <w:rStyle w:val="Hyperlink"/>
                <w:noProof/>
                <w:shd w:val="clear" w:color="auto" w:fill="FFFFFF"/>
              </w:rPr>
              <w:t xml:space="preserve"> Abstract</w:t>
            </w:r>
            <w:r>
              <w:rPr>
                <w:noProof/>
                <w:webHidden/>
              </w:rPr>
              <w:tab/>
            </w:r>
            <w:r>
              <w:rPr>
                <w:noProof/>
                <w:webHidden/>
              </w:rPr>
              <w:fldChar w:fldCharType="begin"/>
            </w:r>
            <w:r>
              <w:rPr>
                <w:noProof/>
                <w:webHidden/>
              </w:rPr>
              <w:instrText xml:space="preserve"> PAGEREF _Toc527361743 \h </w:instrText>
            </w:r>
            <w:r>
              <w:rPr>
                <w:noProof/>
                <w:webHidden/>
              </w:rPr>
            </w:r>
            <w:r>
              <w:rPr>
                <w:noProof/>
                <w:webHidden/>
              </w:rPr>
              <w:fldChar w:fldCharType="separate"/>
            </w:r>
            <w:r w:rsidR="00331725">
              <w:rPr>
                <w:noProof/>
                <w:webHidden/>
              </w:rPr>
              <w:t>28</w:t>
            </w:r>
            <w:r>
              <w:rPr>
                <w:noProof/>
                <w:webHidden/>
              </w:rPr>
              <w:fldChar w:fldCharType="end"/>
            </w:r>
          </w:hyperlink>
        </w:p>
        <w:p w14:paraId="72D88EB1" w14:textId="2E13F643" w:rsidR="00C97A31" w:rsidRDefault="00C97A31">
          <w:pPr>
            <w:pStyle w:val="TOC2"/>
            <w:rPr>
              <w:rFonts w:asciiTheme="minorHAnsi" w:hAnsiTheme="minorHAnsi"/>
              <w:noProof/>
            </w:rPr>
          </w:pPr>
          <w:hyperlink w:anchor="_Toc527361744" w:history="1">
            <w:r w:rsidRPr="00BF2FB8">
              <w:rPr>
                <w:rStyle w:val="Hyperlink"/>
                <w:noProof/>
              </w:rPr>
              <w:t>VI.III Introduction</w:t>
            </w:r>
            <w:r>
              <w:rPr>
                <w:noProof/>
                <w:webHidden/>
              </w:rPr>
              <w:tab/>
            </w:r>
            <w:r>
              <w:rPr>
                <w:noProof/>
                <w:webHidden/>
              </w:rPr>
              <w:fldChar w:fldCharType="begin"/>
            </w:r>
            <w:r>
              <w:rPr>
                <w:noProof/>
                <w:webHidden/>
              </w:rPr>
              <w:instrText xml:space="preserve"> PAGEREF _Toc527361744 \h </w:instrText>
            </w:r>
            <w:r>
              <w:rPr>
                <w:noProof/>
                <w:webHidden/>
              </w:rPr>
            </w:r>
            <w:r>
              <w:rPr>
                <w:noProof/>
                <w:webHidden/>
              </w:rPr>
              <w:fldChar w:fldCharType="separate"/>
            </w:r>
            <w:r w:rsidR="00331725">
              <w:rPr>
                <w:noProof/>
                <w:webHidden/>
              </w:rPr>
              <w:t>30</w:t>
            </w:r>
            <w:r>
              <w:rPr>
                <w:noProof/>
                <w:webHidden/>
              </w:rPr>
              <w:fldChar w:fldCharType="end"/>
            </w:r>
          </w:hyperlink>
        </w:p>
        <w:p w14:paraId="78E70F50" w14:textId="4A30CB48" w:rsidR="00C97A31" w:rsidRDefault="00C97A31">
          <w:pPr>
            <w:pStyle w:val="TOC2"/>
            <w:rPr>
              <w:rFonts w:asciiTheme="minorHAnsi" w:hAnsiTheme="minorHAnsi"/>
              <w:noProof/>
            </w:rPr>
          </w:pPr>
          <w:hyperlink w:anchor="_Toc527361745" w:history="1">
            <w:r w:rsidRPr="00BF2FB8">
              <w:rPr>
                <w:rStyle w:val="Hyperlink"/>
                <w:noProof/>
              </w:rPr>
              <w:t>VI.IV Methods</w:t>
            </w:r>
            <w:r>
              <w:rPr>
                <w:noProof/>
                <w:webHidden/>
              </w:rPr>
              <w:tab/>
            </w:r>
            <w:r>
              <w:rPr>
                <w:noProof/>
                <w:webHidden/>
              </w:rPr>
              <w:fldChar w:fldCharType="begin"/>
            </w:r>
            <w:r>
              <w:rPr>
                <w:noProof/>
                <w:webHidden/>
              </w:rPr>
              <w:instrText xml:space="preserve"> PAGEREF _Toc527361745 \h </w:instrText>
            </w:r>
            <w:r>
              <w:rPr>
                <w:noProof/>
                <w:webHidden/>
              </w:rPr>
            </w:r>
            <w:r>
              <w:rPr>
                <w:noProof/>
                <w:webHidden/>
              </w:rPr>
              <w:fldChar w:fldCharType="separate"/>
            </w:r>
            <w:r w:rsidR="00331725">
              <w:rPr>
                <w:noProof/>
                <w:webHidden/>
              </w:rPr>
              <w:t>32</w:t>
            </w:r>
            <w:r>
              <w:rPr>
                <w:noProof/>
                <w:webHidden/>
              </w:rPr>
              <w:fldChar w:fldCharType="end"/>
            </w:r>
          </w:hyperlink>
        </w:p>
        <w:p w14:paraId="5343695F" w14:textId="32124C53" w:rsidR="00C97A31" w:rsidRDefault="00C97A31">
          <w:pPr>
            <w:pStyle w:val="TOC3"/>
            <w:rPr>
              <w:rFonts w:asciiTheme="minorHAnsi" w:hAnsiTheme="minorHAnsi"/>
              <w:noProof/>
            </w:rPr>
          </w:pPr>
          <w:hyperlink w:anchor="_Toc527361746" w:history="1">
            <w:r w:rsidRPr="00BF2FB8">
              <w:rPr>
                <w:rStyle w:val="Hyperlink"/>
                <w:noProof/>
              </w:rPr>
              <w:t>VI.IV.I Subjects</w:t>
            </w:r>
            <w:r>
              <w:rPr>
                <w:noProof/>
                <w:webHidden/>
              </w:rPr>
              <w:tab/>
            </w:r>
            <w:r>
              <w:rPr>
                <w:noProof/>
                <w:webHidden/>
              </w:rPr>
              <w:fldChar w:fldCharType="begin"/>
            </w:r>
            <w:r>
              <w:rPr>
                <w:noProof/>
                <w:webHidden/>
              </w:rPr>
              <w:instrText xml:space="preserve"> PAGEREF _Toc527361746 \h </w:instrText>
            </w:r>
            <w:r>
              <w:rPr>
                <w:noProof/>
                <w:webHidden/>
              </w:rPr>
            </w:r>
            <w:r>
              <w:rPr>
                <w:noProof/>
                <w:webHidden/>
              </w:rPr>
              <w:fldChar w:fldCharType="separate"/>
            </w:r>
            <w:r w:rsidR="00331725">
              <w:rPr>
                <w:noProof/>
                <w:webHidden/>
              </w:rPr>
              <w:t>32</w:t>
            </w:r>
            <w:r>
              <w:rPr>
                <w:noProof/>
                <w:webHidden/>
              </w:rPr>
              <w:fldChar w:fldCharType="end"/>
            </w:r>
          </w:hyperlink>
        </w:p>
        <w:p w14:paraId="5C2E3E59" w14:textId="391FA50D" w:rsidR="00C97A31" w:rsidRDefault="00C97A31">
          <w:pPr>
            <w:pStyle w:val="TOC3"/>
            <w:rPr>
              <w:rFonts w:asciiTheme="minorHAnsi" w:hAnsiTheme="minorHAnsi"/>
              <w:noProof/>
            </w:rPr>
          </w:pPr>
          <w:hyperlink w:anchor="_Toc527361747" w:history="1">
            <w:r w:rsidRPr="00BF2FB8">
              <w:rPr>
                <w:rStyle w:val="Hyperlink"/>
                <w:noProof/>
              </w:rPr>
              <w:t>VI.IV.II Equipment and Tasks</w:t>
            </w:r>
            <w:r>
              <w:rPr>
                <w:noProof/>
                <w:webHidden/>
              </w:rPr>
              <w:tab/>
            </w:r>
            <w:r>
              <w:rPr>
                <w:noProof/>
                <w:webHidden/>
              </w:rPr>
              <w:fldChar w:fldCharType="begin"/>
            </w:r>
            <w:r>
              <w:rPr>
                <w:noProof/>
                <w:webHidden/>
              </w:rPr>
              <w:instrText xml:space="preserve"> PAGEREF _Toc527361747 \h </w:instrText>
            </w:r>
            <w:r>
              <w:rPr>
                <w:noProof/>
                <w:webHidden/>
              </w:rPr>
            </w:r>
            <w:r>
              <w:rPr>
                <w:noProof/>
                <w:webHidden/>
              </w:rPr>
              <w:fldChar w:fldCharType="separate"/>
            </w:r>
            <w:r w:rsidR="00331725">
              <w:rPr>
                <w:noProof/>
                <w:webHidden/>
              </w:rPr>
              <w:t>32</w:t>
            </w:r>
            <w:r>
              <w:rPr>
                <w:noProof/>
                <w:webHidden/>
              </w:rPr>
              <w:fldChar w:fldCharType="end"/>
            </w:r>
          </w:hyperlink>
        </w:p>
        <w:p w14:paraId="751AB831" w14:textId="739C642D" w:rsidR="00C97A31" w:rsidRDefault="00C97A31">
          <w:pPr>
            <w:pStyle w:val="TOC3"/>
            <w:rPr>
              <w:rFonts w:asciiTheme="minorHAnsi" w:hAnsiTheme="minorHAnsi"/>
              <w:noProof/>
            </w:rPr>
          </w:pPr>
          <w:hyperlink w:anchor="_Toc527361748" w:history="1">
            <w:r w:rsidRPr="00BF2FB8">
              <w:rPr>
                <w:rStyle w:val="Hyperlink"/>
                <w:noProof/>
              </w:rPr>
              <w:t>VI.IV.III Procedures</w:t>
            </w:r>
            <w:r>
              <w:rPr>
                <w:noProof/>
                <w:webHidden/>
              </w:rPr>
              <w:tab/>
            </w:r>
            <w:r>
              <w:rPr>
                <w:noProof/>
                <w:webHidden/>
              </w:rPr>
              <w:fldChar w:fldCharType="begin"/>
            </w:r>
            <w:r>
              <w:rPr>
                <w:noProof/>
                <w:webHidden/>
              </w:rPr>
              <w:instrText xml:space="preserve"> PAGEREF _Toc527361748 \h </w:instrText>
            </w:r>
            <w:r>
              <w:rPr>
                <w:noProof/>
                <w:webHidden/>
              </w:rPr>
            </w:r>
            <w:r>
              <w:rPr>
                <w:noProof/>
                <w:webHidden/>
              </w:rPr>
              <w:fldChar w:fldCharType="separate"/>
            </w:r>
            <w:r w:rsidR="00331725">
              <w:rPr>
                <w:noProof/>
                <w:webHidden/>
              </w:rPr>
              <w:t>34</w:t>
            </w:r>
            <w:r>
              <w:rPr>
                <w:noProof/>
                <w:webHidden/>
              </w:rPr>
              <w:fldChar w:fldCharType="end"/>
            </w:r>
          </w:hyperlink>
        </w:p>
        <w:p w14:paraId="1D19242B" w14:textId="32CDCED6" w:rsidR="00C97A31" w:rsidRDefault="00C97A31">
          <w:pPr>
            <w:pStyle w:val="TOC3"/>
            <w:rPr>
              <w:rFonts w:asciiTheme="minorHAnsi" w:hAnsiTheme="minorHAnsi"/>
              <w:noProof/>
            </w:rPr>
          </w:pPr>
          <w:hyperlink w:anchor="_Toc527361749" w:history="1">
            <w:r w:rsidRPr="00BF2FB8">
              <w:rPr>
                <w:rStyle w:val="Hyperlink"/>
                <w:noProof/>
              </w:rPr>
              <w:t>VI.IV.IV Data Processing</w:t>
            </w:r>
            <w:r>
              <w:rPr>
                <w:noProof/>
                <w:webHidden/>
              </w:rPr>
              <w:tab/>
            </w:r>
            <w:r>
              <w:rPr>
                <w:noProof/>
                <w:webHidden/>
              </w:rPr>
              <w:fldChar w:fldCharType="begin"/>
            </w:r>
            <w:r>
              <w:rPr>
                <w:noProof/>
                <w:webHidden/>
              </w:rPr>
              <w:instrText xml:space="preserve"> PAGEREF _Toc527361749 \h </w:instrText>
            </w:r>
            <w:r>
              <w:rPr>
                <w:noProof/>
                <w:webHidden/>
              </w:rPr>
            </w:r>
            <w:r>
              <w:rPr>
                <w:noProof/>
                <w:webHidden/>
              </w:rPr>
              <w:fldChar w:fldCharType="separate"/>
            </w:r>
            <w:r w:rsidR="00331725">
              <w:rPr>
                <w:noProof/>
                <w:webHidden/>
              </w:rPr>
              <w:t>35</w:t>
            </w:r>
            <w:r>
              <w:rPr>
                <w:noProof/>
                <w:webHidden/>
              </w:rPr>
              <w:fldChar w:fldCharType="end"/>
            </w:r>
          </w:hyperlink>
        </w:p>
        <w:p w14:paraId="688D3C8B" w14:textId="2A56F612" w:rsidR="00C97A31" w:rsidRDefault="00C97A31">
          <w:pPr>
            <w:pStyle w:val="TOC3"/>
            <w:rPr>
              <w:rFonts w:asciiTheme="minorHAnsi" w:hAnsiTheme="minorHAnsi"/>
              <w:noProof/>
            </w:rPr>
          </w:pPr>
          <w:hyperlink w:anchor="_Toc527361750" w:history="1">
            <w:r w:rsidRPr="00BF2FB8">
              <w:rPr>
                <w:rStyle w:val="Hyperlink"/>
                <w:noProof/>
              </w:rPr>
              <w:t>VI.IV.V Statistical Analysis</w:t>
            </w:r>
            <w:r>
              <w:rPr>
                <w:noProof/>
                <w:webHidden/>
              </w:rPr>
              <w:tab/>
            </w:r>
            <w:r>
              <w:rPr>
                <w:noProof/>
                <w:webHidden/>
              </w:rPr>
              <w:fldChar w:fldCharType="begin"/>
            </w:r>
            <w:r>
              <w:rPr>
                <w:noProof/>
                <w:webHidden/>
              </w:rPr>
              <w:instrText xml:space="preserve"> PAGEREF _Toc527361750 \h </w:instrText>
            </w:r>
            <w:r>
              <w:rPr>
                <w:noProof/>
                <w:webHidden/>
              </w:rPr>
            </w:r>
            <w:r>
              <w:rPr>
                <w:noProof/>
                <w:webHidden/>
              </w:rPr>
              <w:fldChar w:fldCharType="separate"/>
            </w:r>
            <w:r w:rsidR="00331725">
              <w:rPr>
                <w:noProof/>
                <w:webHidden/>
              </w:rPr>
              <w:t>36</w:t>
            </w:r>
            <w:r>
              <w:rPr>
                <w:noProof/>
                <w:webHidden/>
              </w:rPr>
              <w:fldChar w:fldCharType="end"/>
            </w:r>
          </w:hyperlink>
        </w:p>
        <w:p w14:paraId="0D587FCF" w14:textId="3A65BD4C" w:rsidR="00C97A31" w:rsidRDefault="00C97A31">
          <w:pPr>
            <w:pStyle w:val="TOC2"/>
            <w:rPr>
              <w:rFonts w:asciiTheme="minorHAnsi" w:hAnsiTheme="minorHAnsi"/>
              <w:noProof/>
            </w:rPr>
          </w:pPr>
          <w:hyperlink w:anchor="_Toc527361751" w:history="1">
            <w:r w:rsidRPr="00BF2FB8">
              <w:rPr>
                <w:rStyle w:val="Hyperlink"/>
                <w:noProof/>
              </w:rPr>
              <w:t>VI.V Results</w:t>
            </w:r>
            <w:r>
              <w:rPr>
                <w:noProof/>
                <w:webHidden/>
              </w:rPr>
              <w:tab/>
            </w:r>
            <w:r>
              <w:rPr>
                <w:noProof/>
                <w:webHidden/>
              </w:rPr>
              <w:fldChar w:fldCharType="begin"/>
            </w:r>
            <w:r>
              <w:rPr>
                <w:noProof/>
                <w:webHidden/>
              </w:rPr>
              <w:instrText xml:space="preserve"> PAGEREF _Toc527361751 \h </w:instrText>
            </w:r>
            <w:r>
              <w:rPr>
                <w:noProof/>
                <w:webHidden/>
              </w:rPr>
            </w:r>
            <w:r>
              <w:rPr>
                <w:noProof/>
                <w:webHidden/>
              </w:rPr>
              <w:fldChar w:fldCharType="separate"/>
            </w:r>
            <w:r w:rsidR="00331725">
              <w:rPr>
                <w:noProof/>
                <w:webHidden/>
              </w:rPr>
              <w:t>37</w:t>
            </w:r>
            <w:r>
              <w:rPr>
                <w:noProof/>
                <w:webHidden/>
              </w:rPr>
              <w:fldChar w:fldCharType="end"/>
            </w:r>
          </w:hyperlink>
        </w:p>
        <w:p w14:paraId="172BDD7A" w14:textId="072DA6E4" w:rsidR="00C97A31" w:rsidRDefault="00C97A31">
          <w:pPr>
            <w:pStyle w:val="TOC3"/>
            <w:rPr>
              <w:rFonts w:asciiTheme="minorHAnsi" w:hAnsiTheme="minorHAnsi"/>
              <w:noProof/>
            </w:rPr>
          </w:pPr>
          <w:hyperlink w:anchor="_Toc527361752" w:history="1">
            <w:r w:rsidRPr="00BF2FB8">
              <w:rPr>
                <w:rStyle w:val="Hyperlink"/>
                <w:noProof/>
              </w:rPr>
              <w:t>VI.V.I</w:t>
            </w:r>
            <w:r w:rsidRPr="00BF2FB8">
              <w:rPr>
                <w:rStyle w:val="Hyperlink"/>
                <w:rFonts w:eastAsia="MS Mincho"/>
                <w:noProof/>
              </w:rPr>
              <w:t xml:space="preserve"> Center of Pressure 95% Confidence Ellipse Area</w:t>
            </w:r>
            <w:r>
              <w:rPr>
                <w:noProof/>
                <w:webHidden/>
              </w:rPr>
              <w:tab/>
            </w:r>
            <w:r>
              <w:rPr>
                <w:noProof/>
                <w:webHidden/>
              </w:rPr>
              <w:fldChar w:fldCharType="begin"/>
            </w:r>
            <w:r>
              <w:rPr>
                <w:noProof/>
                <w:webHidden/>
              </w:rPr>
              <w:instrText xml:space="preserve"> PAGEREF _Toc527361752 \h </w:instrText>
            </w:r>
            <w:r>
              <w:rPr>
                <w:noProof/>
                <w:webHidden/>
              </w:rPr>
            </w:r>
            <w:r>
              <w:rPr>
                <w:noProof/>
                <w:webHidden/>
              </w:rPr>
              <w:fldChar w:fldCharType="separate"/>
            </w:r>
            <w:r w:rsidR="00331725">
              <w:rPr>
                <w:noProof/>
                <w:webHidden/>
              </w:rPr>
              <w:t>37</w:t>
            </w:r>
            <w:r>
              <w:rPr>
                <w:noProof/>
                <w:webHidden/>
              </w:rPr>
              <w:fldChar w:fldCharType="end"/>
            </w:r>
          </w:hyperlink>
        </w:p>
        <w:p w14:paraId="08DC4A6B" w14:textId="1FF443F6" w:rsidR="00C97A31" w:rsidRDefault="00C97A31">
          <w:pPr>
            <w:pStyle w:val="TOC3"/>
            <w:rPr>
              <w:rFonts w:asciiTheme="minorHAnsi" w:hAnsiTheme="minorHAnsi"/>
              <w:noProof/>
            </w:rPr>
          </w:pPr>
          <w:hyperlink w:anchor="_Toc527361753" w:history="1">
            <w:r w:rsidRPr="00BF2FB8">
              <w:rPr>
                <w:rStyle w:val="Hyperlink"/>
                <w:noProof/>
              </w:rPr>
              <w:t>VI.V.II Integrated Time to Boundary</w:t>
            </w:r>
            <w:r>
              <w:rPr>
                <w:noProof/>
                <w:webHidden/>
              </w:rPr>
              <w:tab/>
            </w:r>
            <w:r>
              <w:rPr>
                <w:noProof/>
                <w:webHidden/>
              </w:rPr>
              <w:fldChar w:fldCharType="begin"/>
            </w:r>
            <w:r>
              <w:rPr>
                <w:noProof/>
                <w:webHidden/>
              </w:rPr>
              <w:instrText xml:space="preserve"> PAGEREF _Toc527361753 \h </w:instrText>
            </w:r>
            <w:r>
              <w:rPr>
                <w:noProof/>
                <w:webHidden/>
              </w:rPr>
            </w:r>
            <w:r>
              <w:rPr>
                <w:noProof/>
                <w:webHidden/>
              </w:rPr>
              <w:fldChar w:fldCharType="separate"/>
            </w:r>
            <w:r w:rsidR="00331725">
              <w:rPr>
                <w:noProof/>
                <w:webHidden/>
              </w:rPr>
              <w:t>38</w:t>
            </w:r>
            <w:r>
              <w:rPr>
                <w:noProof/>
                <w:webHidden/>
              </w:rPr>
              <w:fldChar w:fldCharType="end"/>
            </w:r>
          </w:hyperlink>
        </w:p>
        <w:p w14:paraId="061FAE16" w14:textId="40669FCC" w:rsidR="00C97A31" w:rsidRDefault="00C97A31">
          <w:pPr>
            <w:pStyle w:val="TOC3"/>
            <w:rPr>
              <w:rFonts w:asciiTheme="minorHAnsi" w:hAnsiTheme="minorHAnsi"/>
              <w:noProof/>
            </w:rPr>
          </w:pPr>
          <w:hyperlink w:anchor="_Toc527361754" w:history="1">
            <w:r w:rsidRPr="00BF2FB8">
              <w:rPr>
                <w:rStyle w:val="Hyperlink"/>
                <w:noProof/>
              </w:rPr>
              <w:t>VI.V.III COP Velocity, Anterior-Posterior</w:t>
            </w:r>
            <w:r>
              <w:rPr>
                <w:noProof/>
                <w:webHidden/>
              </w:rPr>
              <w:tab/>
            </w:r>
            <w:r>
              <w:rPr>
                <w:noProof/>
                <w:webHidden/>
              </w:rPr>
              <w:fldChar w:fldCharType="begin"/>
            </w:r>
            <w:r>
              <w:rPr>
                <w:noProof/>
                <w:webHidden/>
              </w:rPr>
              <w:instrText xml:space="preserve"> PAGEREF _Toc527361754 \h </w:instrText>
            </w:r>
            <w:r>
              <w:rPr>
                <w:noProof/>
                <w:webHidden/>
              </w:rPr>
            </w:r>
            <w:r>
              <w:rPr>
                <w:noProof/>
                <w:webHidden/>
              </w:rPr>
              <w:fldChar w:fldCharType="separate"/>
            </w:r>
            <w:r w:rsidR="00331725">
              <w:rPr>
                <w:noProof/>
                <w:webHidden/>
              </w:rPr>
              <w:t>38</w:t>
            </w:r>
            <w:r>
              <w:rPr>
                <w:noProof/>
                <w:webHidden/>
              </w:rPr>
              <w:fldChar w:fldCharType="end"/>
            </w:r>
          </w:hyperlink>
        </w:p>
        <w:p w14:paraId="086632D9" w14:textId="5FFFFB42" w:rsidR="00C97A31" w:rsidRDefault="00C97A31">
          <w:pPr>
            <w:pStyle w:val="TOC3"/>
            <w:rPr>
              <w:rFonts w:asciiTheme="minorHAnsi" w:hAnsiTheme="minorHAnsi"/>
              <w:noProof/>
            </w:rPr>
          </w:pPr>
          <w:hyperlink w:anchor="_Toc527361755" w:history="1">
            <w:r w:rsidRPr="00BF2FB8">
              <w:rPr>
                <w:rStyle w:val="Hyperlink"/>
                <w:noProof/>
              </w:rPr>
              <w:t>VI.V.IV COP Velocity, Medial-Lateral</w:t>
            </w:r>
            <w:r>
              <w:rPr>
                <w:noProof/>
                <w:webHidden/>
              </w:rPr>
              <w:tab/>
            </w:r>
            <w:r>
              <w:rPr>
                <w:noProof/>
                <w:webHidden/>
              </w:rPr>
              <w:fldChar w:fldCharType="begin"/>
            </w:r>
            <w:r>
              <w:rPr>
                <w:noProof/>
                <w:webHidden/>
              </w:rPr>
              <w:instrText xml:space="preserve"> PAGEREF _Toc527361755 \h </w:instrText>
            </w:r>
            <w:r>
              <w:rPr>
                <w:noProof/>
                <w:webHidden/>
              </w:rPr>
            </w:r>
            <w:r>
              <w:rPr>
                <w:noProof/>
                <w:webHidden/>
              </w:rPr>
              <w:fldChar w:fldCharType="separate"/>
            </w:r>
            <w:r w:rsidR="00331725">
              <w:rPr>
                <w:noProof/>
                <w:webHidden/>
              </w:rPr>
              <w:t>39</w:t>
            </w:r>
            <w:r>
              <w:rPr>
                <w:noProof/>
                <w:webHidden/>
              </w:rPr>
              <w:fldChar w:fldCharType="end"/>
            </w:r>
          </w:hyperlink>
        </w:p>
        <w:p w14:paraId="53B972CB" w14:textId="77EF6FBE" w:rsidR="00C97A31" w:rsidRDefault="00C97A31">
          <w:pPr>
            <w:pStyle w:val="TOC3"/>
            <w:rPr>
              <w:rFonts w:asciiTheme="minorHAnsi" w:hAnsiTheme="minorHAnsi"/>
              <w:noProof/>
            </w:rPr>
          </w:pPr>
          <w:hyperlink w:anchor="_Toc527361756" w:history="1">
            <w:r w:rsidRPr="00BF2FB8">
              <w:rPr>
                <w:rStyle w:val="Hyperlink"/>
                <w:noProof/>
              </w:rPr>
              <w:t>VI.V.V Phoneme Monitoring</w:t>
            </w:r>
            <w:r>
              <w:rPr>
                <w:noProof/>
                <w:webHidden/>
              </w:rPr>
              <w:tab/>
            </w:r>
            <w:r>
              <w:rPr>
                <w:noProof/>
                <w:webHidden/>
              </w:rPr>
              <w:fldChar w:fldCharType="begin"/>
            </w:r>
            <w:r>
              <w:rPr>
                <w:noProof/>
                <w:webHidden/>
              </w:rPr>
              <w:instrText xml:space="preserve"> PAGEREF _Toc527361756 \h </w:instrText>
            </w:r>
            <w:r>
              <w:rPr>
                <w:noProof/>
                <w:webHidden/>
              </w:rPr>
            </w:r>
            <w:r>
              <w:rPr>
                <w:noProof/>
                <w:webHidden/>
              </w:rPr>
              <w:fldChar w:fldCharType="separate"/>
            </w:r>
            <w:r w:rsidR="00331725">
              <w:rPr>
                <w:noProof/>
                <w:webHidden/>
              </w:rPr>
              <w:t>39</w:t>
            </w:r>
            <w:r>
              <w:rPr>
                <w:noProof/>
                <w:webHidden/>
              </w:rPr>
              <w:fldChar w:fldCharType="end"/>
            </w:r>
          </w:hyperlink>
        </w:p>
        <w:p w14:paraId="0C75A5EC" w14:textId="63720EC7" w:rsidR="00C97A31" w:rsidRDefault="00C97A31">
          <w:pPr>
            <w:pStyle w:val="TOC3"/>
            <w:rPr>
              <w:rFonts w:asciiTheme="minorHAnsi" w:hAnsiTheme="minorHAnsi"/>
              <w:noProof/>
            </w:rPr>
          </w:pPr>
          <w:hyperlink w:anchor="_Toc527361757" w:history="1">
            <w:r w:rsidRPr="00BF2FB8">
              <w:rPr>
                <w:rStyle w:val="Hyperlink"/>
                <w:noProof/>
              </w:rPr>
              <w:t>VI.V.VI Dual-Task Effect</w:t>
            </w:r>
            <w:r>
              <w:rPr>
                <w:noProof/>
                <w:webHidden/>
              </w:rPr>
              <w:tab/>
            </w:r>
            <w:r>
              <w:rPr>
                <w:noProof/>
                <w:webHidden/>
              </w:rPr>
              <w:fldChar w:fldCharType="begin"/>
            </w:r>
            <w:r>
              <w:rPr>
                <w:noProof/>
                <w:webHidden/>
              </w:rPr>
              <w:instrText xml:space="preserve"> PAGEREF _Toc527361757 \h </w:instrText>
            </w:r>
            <w:r>
              <w:rPr>
                <w:noProof/>
                <w:webHidden/>
              </w:rPr>
            </w:r>
            <w:r>
              <w:rPr>
                <w:noProof/>
                <w:webHidden/>
              </w:rPr>
              <w:fldChar w:fldCharType="separate"/>
            </w:r>
            <w:r w:rsidR="00331725">
              <w:rPr>
                <w:noProof/>
                <w:webHidden/>
              </w:rPr>
              <w:t>40</w:t>
            </w:r>
            <w:r>
              <w:rPr>
                <w:noProof/>
                <w:webHidden/>
              </w:rPr>
              <w:fldChar w:fldCharType="end"/>
            </w:r>
          </w:hyperlink>
        </w:p>
        <w:p w14:paraId="186B0FDA" w14:textId="0EDFCBC5" w:rsidR="00C97A31" w:rsidRDefault="00C97A31">
          <w:pPr>
            <w:pStyle w:val="TOC2"/>
            <w:rPr>
              <w:rFonts w:asciiTheme="minorHAnsi" w:hAnsiTheme="minorHAnsi"/>
              <w:noProof/>
            </w:rPr>
          </w:pPr>
          <w:hyperlink w:anchor="_Toc527361758" w:history="1">
            <w:r w:rsidRPr="00BF2FB8">
              <w:rPr>
                <w:rStyle w:val="Hyperlink"/>
                <w:noProof/>
              </w:rPr>
              <w:t>VI.VI Discussion</w:t>
            </w:r>
            <w:r>
              <w:rPr>
                <w:noProof/>
                <w:webHidden/>
              </w:rPr>
              <w:tab/>
            </w:r>
            <w:r>
              <w:rPr>
                <w:noProof/>
                <w:webHidden/>
              </w:rPr>
              <w:fldChar w:fldCharType="begin"/>
            </w:r>
            <w:r>
              <w:rPr>
                <w:noProof/>
                <w:webHidden/>
              </w:rPr>
              <w:instrText xml:space="preserve"> PAGEREF _Toc527361758 \h </w:instrText>
            </w:r>
            <w:r>
              <w:rPr>
                <w:noProof/>
                <w:webHidden/>
              </w:rPr>
            </w:r>
            <w:r>
              <w:rPr>
                <w:noProof/>
                <w:webHidden/>
              </w:rPr>
              <w:fldChar w:fldCharType="separate"/>
            </w:r>
            <w:r w:rsidR="00331725">
              <w:rPr>
                <w:noProof/>
                <w:webHidden/>
              </w:rPr>
              <w:t>40</w:t>
            </w:r>
            <w:r>
              <w:rPr>
                <w:noProof/>
                <w:webHidden/>
              </w:rPr>
              <w:fldChar w:fldCharType="end"/>
            </w:r>
          </w:hyperlink>
        </w:p>
        <w:p w14:paraId="5E4BCBC0" w14:textId="1AEEDE78" w:rsidR="00C97A31" w:rsidRDefault="00C97A31">
          <w:pPr>
            <w:pStyle w:val="TOC2"/>
            <w:rPr>
              <w:rFonts w:asciiTheme="minorHAnsi" w:hAnsiTheme="minorHAnsi"/>
              <w:noProof/>
            </w:rPr>
          </w:pPr>
          <w:hyperlink w:anchor="_Toc527361759" w:history="1">
            <w:r w:rsidRPr="00BF2FB8">
              <w:rPr>
                <w:rStyle w:val="Hyperlink"/>
                <w:noProof/>
              </w:rPr>
              <w:t>VI.VII Conclusions</w:t>
            </w:r>
            <w:r>
              <w:rPr>
                <w:noProof/>
                <w:webHidden/>
              </w:rPr>
              <w:tab/>
            </w:r>
            <w:r>
              <w:rPr>
                <w:noProof/>
                <w:webHidden/>
              </w:rPr>
              <w:fldChar w:fldCharType="begin"/>
            </w:r>
            <w:r>
              <w:rPr>
                <w:noProof/>
                <w:webHidden/>
              </w:rPr>
              <w:instrText xml:space="preserve"> PAGEREF _Toc527361759 \h </w:instrText>
            </w:r>
            <w:r>
              <w:rPr>
                <w:noProof/>
                <w:webHidden/>
              </w:rPr>
            </w:r>
            <w:r>
              <w:rPr>
                <w:noProof/>
                <w:webHidden/>
              </w:rPr>
              <w:fldChar w:fldCharType="separate"/>
            </w:r>
            <w:r w:rsidR="00331725">
              <w:rPr>
                <w:noProof/>
                <w:webHidden/>
              </w:rPr>
              <w:t>42</w:t>
            </w:r>
            <w:r>
              <w:rPr>
                <w:noProof/>
                <w:webHidden/>
              </w:rPr>
              <w:fldChar w:fldCharType="end"/>
            </w:r>
          </w:hyperlink>
        </w:p>
        <w:p w14:paraId="1CD46F60" w14:textId="28A956C9" w:rsidR="00C97A31" w:rsidRDefault="00C97A31">
          <w:pPr>
            <w:pStyle w:val="TOC1"/>
            <w:tabs>
              <w:tab w:val="right" w:leader="dot" w:pos="9350"/>
            </w:tabs>
            <w:rPr>
              <w:rFonts w:asciiTheme="minorHAnsi" w:hAnsiTheme="minorHAnsi"/>
              <w:noProof/>
            </w:rPr>
          </w:pPr>
          <w:hyperlink w:anchor="_Toc527361760" w:history="1">
            <w:r w:rsidRPr="00BF2FB8">
              <w:rPr>
                <w:rStyle w:val="Hyperlink"/>
                <w:noProof/>
              </w:rPr>
              <w:t>VII. Manuscript 3, Nonlinear Analyses</w:t>
            </w:r>
            <w:r>
              <w:rPr>
                <w:noProof/>
                <w:webHidden/>
              </w:rPr>
              <w:tab/>
            </w:r>
            <w:r>
              <w:rPr>
                <w:noProof/>
                <w:webHidden/>
              </w:rPr>
              <w:fldChar w:fldCharType="begin"/>
            </w:r>
            <w:r>
              <w:rPr>
                <w:noProof/>
                <w:webHidden/>
              </w:rPr>
              <w:instrText xml:space="preserve"> PAGEREF _Toc527361760 \h </w:instrText>
            </w:r>
            <w:r>
              <w:rPr>
                <w:noProof/>
                <w:webHidden/>
              </w:rPr>
            </w:r>
            <w:r>
              <w:rPr>
                <w:noProof/>
                <w:webHidden/>
              </w:rPr>
              <w:fldChar w:fldCharType="separate"/>
            </w:r>
            <w:r w:rsidR="00331725">
              <w:rPr>
                <w:noProof/>
                <w:webHidden/>
              </w:rPr>
              <w:t>47</w:t>
            </w:r>
            <w:r>
              <w:rPr>
                <w:noProof/>
                <w:webHidden/>
              </w:rPr>
              <w:fldChar w:fldCharType="end"/>
            </w:r>
          </w:hyperlink>
        </w:p>
        <w:p w14:paraId="1CC17B90" w14:textId="72BC6DBE" w:rsidR="00C97A31" w:rsidRDefault="00C97A31">
          <w:pPr>
            <w:pStyle w:val="TOC2"/>
            <w:rPr>
              <w:rFonts w:asciiTheme="minorHAnsi" w:hAnsiTheme="minorHAnsi"/>
              <w:noProof/>
            </w:rPr>
          </w:pPr>
          <w:hyperlink w:anchor="_Toc527361761" w:history="1">
            <w:r w:rsidRPr="00BF2FB8">
              <w:rPr>
                <w:rStyle w:val="Hyperlink"/>
                <w:noProof/>
              </w:rPr>
              <w:t>VII.I Title Page</w:t>
            </w:r>
            <w:r>
              <w:rPr>
                <w:noProof/>
                <w:webHidden/>
              </w:rPr>
              <w:tab/>
            </w:r>
            <w:r>
              <w:rPr>
                <w:noProof/>
                <w:webHidden/>
              </w:rPr>
              <w:fldChar w:fldCharType="begin"/>
            </w:r>
            <w:r>
              <w:rPr>
                <w:noProof/>
                <w:webHidden/>
              </w:rPr>
              <w:instrText xml:space="preserve"> PAGEREF _Toc527361761 \h </w:instrText>
            </w:r>
            <w:r>
              <w:rPr>
                <w:noProof/>
                <w:webHidden/>
              </w:rPr>
            </w:r>
            <w:r>
              <w:rPr>
                <w:noProof/>
                <w:webHidden/>
              </w:rPr>
              <w:fldChar w:fldCharType="separate"/>
            </w:r>
            <w:r w:rsidR="00331725">
              <w:rPr>
                <w:noProof/>
                <w:webHidden/>
              </w:rPr>
              <w:t>47</w:t>
            </w:r>
            <w:r>
              <w:rPr>
                <w:noProof/>
                <w:webHidden/>
              </w:rPr>
              <w:fldChar w:fldCharType="end"/>
            </w:r>
          </w:hyperlink>
        </w:p>
        <w:p w14:paraId="45ADF3F1" w14:textId="24ACC23C" w:rsidR="00C97A31" w:rsidRDefault="00C97A31">
          <w:pPr>
            <w:pStyle w:val="TOC2"/>
            <w:rPr>
              <w:rFonts w:asciiTheme="minorHAnsi" w:hAnsiTheme="minorHAnsi"/>
              <w:noProof/>
            </w:rPr>
          </w:pPr>
          <w:hyperlink w:anchor="_Toc527361762" w:history="1">
            <w:r w:rsidRPr="00BF2FB8">
              <w:rPr>
                <w:rStyle w:val="Hyperlink"/>
                <w:noProof/>
              </w:rPr>
              <w:t>VII.II</w:t>
            </w:r>
            <w:r w:rsidRPr="00BF2FB8">
              <w:rPr>
                <w:rStyle w:val="Hyperlink"/>
                <w:noProof/>
                <w:shd w:val="clear" w:color="auto" w:fill="FFFFFF"/>
              </w:rPr>
              <w:t xml:space="preserve"> Abstract</w:t>
            </w:r>
            <w:r>
              <w:rPr>
                <w:noProof/>
                <w:webHidden/>
              </w:rPr>
              <w:tab/>
            </w:r>
            <w:r>
              <w:rPr>
                <w:noProof/>
                <w:webHidden/>
              </w:rPr>
              <w:fldChar w:fldCharType="begin"/>
            </w:r>
            <w:r>
              <w:rPr>
                <w:noProof/>
                <w:webHidden/>
              </w:rPr>
              <w:instrText xml:space="preserve"> PAGEREF _Toc527361762 \h </w:instrText>
            </w:r>
            <w:r>
              <w:rPr>
                <w:noProof/>
                <w:webHidden/>
              </w:rPr>
            </w:r>
            <w:r>
              <w:rPr>
                <w:noProof/>
                <w:webHidden/>
              </w:rPr>
              <w:fldChar w:fldCharType="separate"/>
            </w:r>
            <w:r w:rsidR="00331725">
              <w:rPr>
                <w:noProof/>
                <w:webHidden/>
              </w:rPr>
              <w:t>48</w:t>
            </w:r>
            <w:r>
              <w:rPr>
                <w:noProof/>
                <w:webHidden/>
              </w:rPr>
              <w:fldChar w:fldCharType="end"/>
            </w:r>
          </w:hyperlink>
        </w:p>
        <w:p w14:paraId="3D7439F8" w14:textId="3F8D090F" w:rsidR="00C97A31" w:rsidRDefault="00C97A31">
          <w:pPr>
            <w:pStyle w:val="TOC2"/>
            <w:rPr>
              <w:rFonts w:asciiTheme="minorHAnsi" w:hAnsiTheme="minorHAnsi"/>
              <w:noProof/>
            </w:rPr>
          </w:pPr>
          <w:hyperlink w:anchor="_Toc527361763" w:history="1">
            <w:r w:rsidRPr="00BF2FB8">
              <w:rPr>
                <w:rStyle w:val="Hyperlink"/>
                <w:noProof/>
              </w:rPr>
              <w:t>VII.III Introduction</w:t>
            </w:r>
            <w:r>
              <w:rPr>
                <w:noProof/>
                <w:webHidden/>
              </w:rPr>
              <w:tab/>
            </w:r>
            <w:r>
              <w:rPr>
                <w:noProof/>
                <w:webHidden/>
              </w:rPr>
              <w:fldChar w:fldCharType="begin"/>
            </w:r>
            <w:r>
              <w:rPr>
                <w:noProof/>
                <w:webHidden/>
              </w:rPr>
              <w:instrText xml:space="preserve"> PAGEREF _Toc527361763 \h </w:instrText>
            </w:r>
            <w:r>
              <w:rPr>
                <w:noProof/>
                <w:webHidden/>
              </w:rPr>
            </w:r>
            <w:r>
              <w:rPr>
                <w:noProof/>
                <w:webHidden/>
              </w:rPr>
              <w:fldChar w:fldCharType="separate"/>
            </w:r>
            <w:r w:rsidR="00331725">
              <w:rPr>
                <w:noProof/>
                <w:webHidden/>
              </w:rPr>
              <w:t>49</w:t>
            </w:r>
            <w:r>
              <w:rPr>
                <w:noProof/>
                <w:webHidden/>
              </w:rPr>
              <w:fldChar w:fldCharType="end"/>
            </w:r>
          </w:hyperlink>
        </w:p>
        <w:p w14:paraId="2EE0BBA2" w14:textId="6882FBE0" w:rsidR="00C97A31" w:rsidRDefault="00C97A31">
          <w:pPr>
            <w:pStyle w:val="TOC2"/>
            <w:rPr>
              <w:rFonts w:asciiTheme="minorHAnsi" w:hAnsiTheme="minorHAnsi"/>
              <w:noProof/>
            </w:rPr>
          </w:pPr>
          <w:hyperlink w:anchor="_Toc527361764" w:history="1">
            <w:r w:rsidRPr="00BF2FB8">
              <w:rPr>
                <w:rStyle w:val="Hyperlink"/>
                <w:noProof/>
              </w:rPr>
              <w:t>VII.IV Material and Methods</w:t>
            </w:r>
            <w:r>
              <w:rPr>
                <w:noProof/>
                <w:webHidden/>
              </w:rPr>
              <w:tab/>
            </w:r>
            <w:r>
              <w:rPr>
                <w:noProof/>
                <w:webHidden/>
              </w:rPr>
              <w:fldChar w:fldCharType="begin"/>
            </w:r>
            <w:r>
              <w:rPr>
                <w:noProof/>
                <w:webHidden/>
              </w:rPr>
              <w:instrText xml:space="preserve"> PAGEREF _Toc527361764 \h </w:instrText>
            </w:r>
            <w:r>
              <w:rPr>
                <w:noProof/>
                <w:webHidden/>
              </w:rPr>
            </w:r>
            <w:r>
              <w:rPr>
                <w:noProof/>
                <w:webHidden/>
              </w:rPr>
              <w:fldChar w:fldCharType="separate"/>
            </w:r>
            <w:r w:rsidR="00331725">
              <w:rPr>
                <w:noProof/>
                <w:webHidden/>
              </w:rPr>
              <w:t>51</w:t>
            </w:r>
            <w:r>
              <w:rPr>
                <w:noProof/>
                <w:webHidden/>
              </w:rPr>
              <w:fldChar w:fldCharType="end"/>
            </w:r>
          </w:hyperlink>
        </w:p>
        <w:p w14:paraId="7E8AF5D6" w14:textId="66479E29" w:rsidR="00C97A31" w:rsidRDefault="00C97A31">
          <w:pPr>
            <w:pStyle w:val="TOC3"/>
            <w:rPr>
              <w:rFonts w:asciiTheme="minorHAnsi" w:hAnsiTheme="minorHAnsi"/>
              <w:noProof/>
            </w:rPr>
          </w:pPr>
          <w:hyperlink w:anchor="_Toc527361765" w:history="1">
            <w:r w:rsidRPr="00BF2FB8">
              <w:rPr>
                <w:rStyle w:val="Hyperlink"/>
                <w:noProof/>
              </w:rPr>
              <w:t>VII.IV.I Subjects</w:t>
            </w:r>
            <w:r>
              <w:rPr>
                <w:noProof/>
                <w:webHidden/>
              </w:rPr>
              <w:tab/>
            </w:r>
            <w:r>
              <w:rPr>
                <w:noProof/>
                <w:webHidden/>
              </w:rPr>
              <w:fldChar w:fldCharType="begin"/>
            </w:r>
            <w:r>
              <w:rPr>
                <w:noProof/>
                <w:webHidden/>
              </w:rPr>
              <w:instrText xml:space="preserve"> PAGEREF _Toc527361765 \h </w:instrText>
            </w:r>
            <w:r>
              <w:rPr>
                <w:noProof/>
                <w:webHidden/>
              </w:rPr>
            </w:r>
            <w:r>
              <w:rPr>
                <w:noProof/>
                <w:webHidden/>
              </w:rPr>
              <w:fldChar w:fldCharType="separate"/>
            </w:r>
            <w:r w:rsidR="00331725">
              <w:rPr>
                <w:noProof/>
                <w:webHidden/>
              </w:rPr>
              <w:t>51</w:t>
            </w:r>
            <w:r>
              <w:rPr>
                <w:noProof/>
                <w:webHidden/>
              </w:rPr>
              <w:fldChar w:fldCharType="end"/>
            </w:r>
          </w:hyperlink>
        </w:p>
        <w:p w14:paraId="34061797" w14:textId="5325AC26" w:rsidR="00C97A31" w:rsidRDefault="00C97A31">
          <w:pPr>
            <w:pStyle w:val="TOC3"/>
            <w:rPr>
              <w:rFonts w:asciiTheme="minorHAnsi" w:hAnsiTheme="minorHAnsi"/>
              <w:noProof/>
            </w:rPr>
          </w:pPr>
          <w:hyperlink w:anchor="_Toc527361766" w:history="1">
            <w:r w:rsidRPr="00BF2FB8">
              <w:rPr>
                <w:rStyle w:val="Hyperlink"/>
                <w:noProof/>
              </w:rPr>
              <w:t>VII.IV.II Equipment and Tasks</w:t>
            </w:r>
            <w:r>
              <w:rPr>
                <w:noProof/>
                <w:webHidden/>
              </w:rPr>
              <w:tab/>
            </w:r>
            <w:r>
              <w:rPr>
                <w:noProof/>
                <w:webHidden/>
              </w:rPr>
              <w:fldChar w:fldCharType="begin"/>
            </w:r>
            <w:r>
              <w:rPr>
                <w:noProof/>
                <w:webHidden/>
              </w:rPr>
              <w:instrText xml:space="preserve"> PAGEREF _Toc527361766 \h </w:instrText>
            </w:r>
            <w:r>
              <w:rPr>
                <w:noProof/>
                <w:webHidden/>
              </w:rPr>
            </w:r>
            <w:r>
              <w:rPr>
                <w:noProof/>
                <w:webHidden/>
              </w:rPr>
              <w:fldChar w:fldCharType="separate"/>
            </w:r>
            <w:r w:rsidR="00331725">
              <w:rPr>
                <w:noProof/>
                <w:webHidden/>
              </w:rPr>
              <w:t>51</w:t>
            </w:r>
            <w:r>
              <w:rPr>
                <w:noProof/>
                <w:webHidden/>
              </w:rPr>
              <w:fldChar w:fldCharType="end"/>
            </w:r>
          </w:hyperlink>
        </w:p>
        <w:p w14:paraId="68C3D7A4" w14:textId="1EF72C66" w:rsidR="00C97A31" w:rsidRDefault="00C97A31">
          <w:pPr>
            <w:pStyle w:val="TOC3"/>
            <w:rPr>
              <w:rFonts w:asciiTheme="minorHAnsi" w:hAnsiTheme="minorHAnsi"/>
              <w:noProof/>
            </w:rPr>
          </w:pPr>
          <w:hyperlink w:anchor="_Toc527361767" w:history="1">
            <w:r w:rsidRPr="00BF2FB8">
              <w:rPr>
                <w:rStyle w:val="Hyperlink"/>
                <w:noProof/>
              </w:rPr>
              <w:t>VII.IV.III Procedures</w:t>
            </w:r>
            <w:r>
              <w:rPr>
                <w:noProof/>
                <w:webHidden/>
              </w:rPr>
              <w:tab/>
            </w:r>
            <w:r>
              <w:rPr>
                <w:noProof/>
                <w:webHidden/>
              </w:rPr>
              <w:fldChar w:fldCharType="begin"/>
            </w:r>
            <w:r>
              <w:rPr>
                <w:noProof/>
                <w:webHidden/>
              </w:rPr>
              <w:instrText xml:space="preserve"> PAGEREF _Toc527361767 \h </w:instrText>
            </w:r>
            <w:r>
              <w:rPr>
                <w:noProof/>
                <w:webHidden/>
              </w:rPr>
            </w:r>
            <w:r>
              <w:rPr>
                <w:noProof/>
                <w:webHidden/>
              </w:rPr>
              <w:fldChar w:fldCharType="separate"/>
            </w:r>
            <w:r w:rsidR="00331725">
              <w:rPr>
                <w:noProof/>
                <w:webHidden/>
              </w:rPr>
              <w:t>53</w:t>
            </w:r>
            <w:r>
              <w:rPr>
                <w:noProof/>
                <w:webHidden/>
              </w:rPr>
              <w:fldChar w:fldCharType="end"/>
            </w:r>
          </w:hyperlink>
        </w:p>
        <w:p w14:paraId="3C349BF9" w14:textId="3E2409D7" w:rsidR="00C97A31" w:rsidRDefault="00C97A31">
          <w:pPr>
            <w:pStyle w:val="TOC3"/>
            <w:rPr>
              <w:rFonts w:asciiTheme="minorHAnsi" w:hAnsiTheme="minorHAnsi"/>
              <w:noProof/>
            </w:rPr>
          </w:pPr>
          <w:hyperlink w:anchor="_Toc527361768" w:history="1">
            <w:r w:rsidRPr="00BF2FB8">
              <w:rPr>
                <w:rStyle w:val="Hyperlink"/>
                <w:noProof/>
              </w:rPr>
              <w:t>VII.IV.IV Data Processing</w:t>
            </w:r>
            <w:r>
              <w:rPr>
                <w:noProof/>
                <w:webHidden/>
              </w:rPr>
              <w:tab/>
            </w:r>
            <w:r>
              <w:rPr>
                <w:noProof/>
                <w:webHidden/>
              </w:rPr>
              <w:fldChar w:fldCharType="begin"/>
            </w:r>
            <w:r>
              <w:rPr>
                <w:noProof/>
                <w:webHidden/>
              </w:rPr>
              <w:instrText xml:space="preserve"> PAGEREF _Toc527361768 \h </w:instrText>
            </w:r>
            <w:r>
              <w:rPr>
                <w:noProof/>
                <w:webHidden/>
              </w:rPr>
            </w:r>
            <w:r>
              <w:rPr>
                <w:noProof/>
                <w:webHidden/>
              </w:rPr>
              <w:fldChar w:fldCharType="separate"/>
            </w:r>
            <w:r w:rsidR="00331725">
              <w:rPr>
                <w:noProof/>
                <w:webHidden/>
              </w:rPr>
              <w:t>54</w:t>
            </w:r>
            <w:r>
              <w:rPr>
                <w:noProof/>
                <w:webHidden/>
              </w:rPr>
              <w:fldChar w:fldCharType="end"/>
            </w:r>
          </w:hyperlink>
        </w:p>
        <w:p w14:paraId="495080CA" w14:textId="4936DA5E" w:rsidR="00C97A31" w:rsidRDefault="00C97A31">
          <w:pPr>
            <w:pStyle w:val="TOC3"/>
            <w:rPr>
              <w:rFonts w:asciiTheme="minorHAnsi" w:hAnsiTheme="minorHAnsi"/>
              <w:noProof/>
            </w:rPr>
          </w:pPr>
          <w:hyperlink w:anchor="_Toc527361769" w:history="1">
            <w:r w:rsidRPr="00BF2FB8">
              <w:rPr>
                <w:rStyle w:val="Hyperlink"/>
                <w:noProof/>
              </w:rPr>
              <w:t>VII.IV.V Statistical Analysis</w:t>
            </w:r>
            <w:r>
              <w:rPr>
                <w:noProof/>
                <w:webHidden/>
              </w:rPr>
              <w:tab/>
            </w:r>
            <w:r>
              <w:rPr>
                <w:noProof/>
                <w:webHidden/>
              </w:rPr>
              <w:fldChar w:fldCharType="begin"/>
            </w:r>
            <w:r>
              <w:rPr>
                <w:noProof/>
                <w:webHidden/>
              </w:rPr>
              <w:instrText xml:space="preserve"> PAGEREF _Toc527361769 \h </w:instrText>
            </w:r>
            <w:r>
              <w:rPr>
                <w:noProof/>
                <w:webHidden/>
              </w:rPr>
            </w:r>
            <w:r>
              <w:rPr>
                <w:noProof/>
                <w:webHidden/>
              </w:rPr>
              <w:fldChar w:fldCharType="separate"/>
            </w:r>
            <w:r w:rsidR="00331725">
              <w:rPr>
                <w:noProof/>
                <w:webHidden/>
              </w:rPr>
              <w:t>56</w:t>
            </w:r>
            <w:r>
              <w:rPr>
                <w:noProof/>
                <w:webHidden/>
              </w:rPr>
              <w:fldChar w:fldCharType="end"/>
            </w:r>
          </w:hyperlink>
        </w:p>
        <w:p w14:paraId="30699D5A" w14:textId="14B515DE" w:rsidR="00C97A31" w:rsidRDefault="00C97A31">
          <w:pPr>
            <w:pStyle w:val="TOC2"/>
            <w:rPr>
              <w:rFonts w:asciiTheme="minorHAnsi" w:hAnsiTheme="minorHAnsi"/>
              <w:noProof/>
            </w:rPr>
          </w:pPr>
          <w:hyperlink w:anchor="_Toc527361770" w:history="1">
            <w:r w:rsidRPr="00BF2FB8">
              <w:rPr>
                <w:rStyle w:val="Hyperlink"/>
                <w:noProof/>
              </w:rPr>
              <w:t>VII.V Results</w:t>
            </w:r>
            <w:r>
              <w:rPr>
                <w:noProof/>
                <w:webHidden/>
              </w:rPr>
              <w:tab/>
            </w:r>
            <w:r>
              <w:rPr>
                <w:noProof/>
                <w:webHidden/>
              </w:rPr>
              <w:fldChar w:fldCharType="begin"/>
            </w:r>
            <w:r>
              <w:rPr>
                <w:noProof/>
                <w:webHidden/>
              </w:rPr>
              <w:instrText xml:space="preserve"> PAGEREF _Toc527361770 \h </w:instrText>
            </w:r>
            <w:r>
              <w:rPr>
                <w:noProof/>
                <w:webHidden/>
              </w:rPr>
            </w:r>
            <w:r>
              <w:rPr>
                <w:noProof/>
                <w:webHidden/>
              </w:rPr>
              <w:fldChar w:fldCharType="separate"/>
            </w:r>
            <w:r w:rsidR="00331725">
              <w:rPr>
                <w:noProof/>
                <w:webHidden/>
              </w:rPr>
              <w:t>57</w:t>
            </w:r>
            <w:r>
              <w:rPr>
                <w:noProof/>
                <w:webHidden/>
              </w:rPr>
              <w:fldChar w:fldCharType="end"/>
            </w:r>
          </w:hyperlink>
        </w:p>
        <w:p w14:paraId="5EC6429C" w14:textId="6F7921CC" w:rsidR="00C97A31" w:rsidRDefault="00C97A31">
          <w:pPr>
            <w:pStyle w:val="TOC3"/>
            <w:rPr>
              <w:rFonts w:asciiTheme="minorHAnsi" w:hAnsiTheme="minorHAnsi"/>
              <w:noProof/>
            </w:rPr>
          </w:pPr>
          <w:hyperlink w:anchor="_Toc527361771" w:history="1">
            <w:r w:rsidRPr="00BF2FB8">
              <w:rPr>
                <w:rStyle w:val="Hyperlink"/>
                <w:noProof/>
              </w:rPr>
              <w:t>VII.V.I</w:t>
            </w:r>
            <w:r w:rsidRPr="00BF2FB8">
              <w:rPr>
                <w:rStyle w:val="Hyperlink"/>
                <w:rFonts w:cs="Arial"/>
                <w:noProof/>
              </w:rPr>
              <w:t xml:space="preserve"> Joint Angles during Gait</w:t>
            </w:r>
            <w:r>
              <w:rPr>
                <w:noProof/>
                <w:webHidden/>
              </w:rPr>
              <w:tab/>
            </w:r>
            <w:r>
              <w:rPr>
                <w:noProof/>
                <w:webHidden/>
              </w:rPr>
              <w:fldChar w:fldCharType="begin"/>
            </w:r>
            <w:r>
              <w:rPr>
                <w:noProof/>
                <w:webHidden/>
              </w:rPr>
              <w:instrText xml:space="preserve"> PAGEREF _Toc527361771 \h </w:instrText>
            </w:r>
            <w:r>
              <w:rPr>
                <w:noProof/>
                <w:webHidden/>
              </w:rPr>
            </w:r>
            <w:r>
              <w:rPr>
                <w:noProof/>
                <w:webHidden/>
              </w:rPr>
              <w:fldChar w:fldCharType="separate"/>
            </w:r>
            <w:r w:rsidR="00331725">
              <w:rPr>
                <w:noProof/>
                <w:webHidden/>
              </w:rPr>
              <w:t>57</w:t>
            </w:r>
            <w:r>
              <w:rPr>
                <w:noProof/>
                <w:webHidden/>
              </w:rPr>
              <w:fldChar w:fldCharType="end"/>
            </w:r>
          </w:hyperlink>
        </w:p>
        <w:p w14:paraId="76F64E5C" w14:textId="025ECC58" w:rsidR="00C97A31" w:rsidRDefault="00C97A31">
          <w:pPr>
            <w:pStyle w:val="TOC3"/>
            <w:rPr>
              <w:rFonts w:asciiTheme="minorHAnsi" w:hAnsiTheme="minorHAnsi"/>
              <w:noProof/>
            </w:rPr>
          </w:pPr>
          <w:hyperlink w:anchor="_Toc527361772" w:history="1">
            <w:r w:rsidRPr="00BF2FB8">
              <w:rPr>
                <w:rStyle w:val="Hyperlink"/>
                <w:noProof/>
              </w:rPr>
              <w:t>VII.V.II</w:t>
            </w:r>
            <w:r w:rsidRPr="00BF2FB8">
              <w:rPr>
                <w:rStyle w:val="Hyperlink"/>
                <w:rFonts w:cs="Arial"/>
                <w:noProof/>
              </w:rPr>
              <w:t xml:space="preserve"> COP Path while Standing</w:t>
            </w:r>
            <w:r>
              <w:rPr>
                <w:noProof/>
                <w:webHidden/>
              </w:rPr>
              <w:tab/>
            </w:r>
            <w:r>
              <w:rPr>
                <w:noProof/>
                <w:webHidden/>
              </w:rPr>
              <w:fldChar w:fldCharType="begin"/>
            </w:r>
            <w:r>
              <w:rPr>
                <w:noProof/>
                <w:webHidden/>
              </w:rPr>
              <w:instrText xml:space="preserve"> PAGEREF _Toc527361772 \h </w:instrText>
            </w:r>
            <w:r>
              <w:rPr>
                <w:noProof/>
                <w:webHidden/>
              </w:rPr>
            </w:r>
            <w:r>
              <w:rPr>
                <w:noProof/>
                <w:webHidden/>
              </w:rPr>
              <w:fldChar w:fldCharType="separate"/>
            </w:r>
            <w:r w:rsidR="00331725">
              <w:rPr>
                <w:noProof/>
                <w:webHidden/>
              </w:rPr>
              <w:t>58</w:t>
            </w:r>
            <w:r>
              <w:rPr>
                <w:noProof/>
                <w:webHidden/>
              </w:rPr>
              <w:fldChar w:fldCharType="end"/>
            </w:r>
          </w:hyperlink>
        </w:p>
        <w:p w14:paraId="62290AA4" w14:textId="59249FDF" w:rsidR="00C97A31" w:rsidRDefault="00C97A31">
          <w:pPr>
            <w:pStyle w:val="TOC2"/>
            <w:rPr>
              <w:rFonts w:asciiTheme="minorHAnsi" w:hAnsiTheme="minorHAnsi"/>
              <w:noProof/>
            </w:rPr>
          </w:pPr>
          <w:hyperlink w:anchor="_Toc527361773" w:history="1">
            <w:r w:rsidRPr="00BF2FB8">
              <w:rPr>
                <w:rStyle w:val="Hyperlink"/>
                <w:noProof/>
              </w:rPr>
              <w:t>VII.VI Discussion</w:t>
            </w:r>
            <w:r>
              <w:rPr>
                <w:noProof/>
                <w:webHidden/>
              </w:rPr>
              <w:tab/>
            </w:r>
            <w:r>
              <w:rPr>
                <w:noProof/>
                <w:webHidden/>
              </w:rPr>
              <w:fldChar w:fldCharType="begin"/>
            </w:r>
            <w:r>
              <w:rPr>
                <w:noProof/>
                <w:webHidden/>
              </w:rPr>
              <w:instrText xml:space="preserve"> PAGEREF _Toc527361773 \h </w:instrText>
            </w:r>
            <w:r>
              <w:rPr>
                <w:noProof/>
                <w:webHidden/>
              </w:rPr>
            </w:r>
            <w:r>
              <w:rPr>
                <w:noProof/>
                <w:webHidden/>
              </w:rPr>
              <w:fldChar w:fldCharType="separate"/>
            </w:r>
            <w:r w:rsidR="00331725">
              <w:rPr>
                <w:noProof/>
                <w:webHidden/>
              </w:rPr>
              <w:t>59</w:t>
            </w:r>
            <w:r>
              <w:rPr>
                <w:noProof/>
                <w:webHidden/>
              </w:rPr>
              <w:fldChar w:fldCharType="end"/>
            </w:r>
          </w:hyperlink>
        </w:p>
        <w:p w14:paraId="5B8A3315" w14:textId="01CD2522" w:rsidR="00C97A31" w:rsidRDefault="00C97A31">
          <w:pPr>
            <w:pStyle w:val="TOC2"/>
            <w:rPr>
              <w:rFonts w:asciiTheme="minorHAnsi" w:hAnsiTheme="minorHAnsi"/>
              <w:noProof/>
            </w:rPr>
          </w:pPr>
          <w:hyperlink w:anchor="_Toc527361774" w:history="1">
            <w:r w:rsidRPr="00BF2FB8">
              <w:rPr>
                <w:rStyle w:val="Hyperlink"/>
                <w:noProof/>
              </w:rPr>
              <w:t>VII.VII Conclusions</w:t>
            </w:r>
            <w:r>
              <w:rPr>
                <w:noProof/>
                <w:webHidden/>
              </w:rPr>
              <w:tab/>
            </w:r>
            <w:r>
              <w:rPr>
                <w:noProof/>
                <w:webHidden/>
              </w:rPr>
              <w:fldChar w:fldCharType="begin"/>
            </w:r>
            <w:r>
              <w:rPr>
                <w:noProof/>
                <w:webHidden/>
              </w:rPr>
              <w:instrText xml:space="preserve"> PAGEREF _Toc527361774 \h </w:instrText>
            </w:r>
            <w:r>
              <w:rPr>
                <w:noProof/>
                <w:webHidden/>
              </w:rPr>
            </w:r>
            <w:r>
              <w:rPr>
                <w:noProof/>
                <w:webHidden/>
              </w:rPr>
              <w:fldChar w:fldCharType="separate"/>
            </w:r>
            <w:r w:rsidR="00331725">
              <w:rPr>
                <w:noProof/>
                <w:webHidden/>
              </w:rPr>
              <w:t>61</w:t>
            </w:r>
            <w:r>
              <w:rPr>
                <w:noProof/>
                <w:webHidden/>
              </w:rPr>
              <w:fldChar w:fldCharType="end"/>
            </w:r>
          </w:hyperlink>
        </w:p>
        <w:p w14:paraId="5FD68FFB" w14:textId="102DCB6A" w:rsidR="00C97A31" w:rsidRDefault="00C97A31">
          <w:pPr>
            <w:pStyle w:val="TOC1"/>
            <w:tabs>
              <w:tab w:val="right" w:leader="dot" w:pos="9350"/>
            </w:tabs>
            <w:rPr>
              <w:rFonts w:asciiTheme="minorHAnsi" w:hAnsiTheme="minorHAnsi"/>
              <w:noProof/>
            </w:rPr>
          </w:pPr>
          <w:hyperlink w:anchor="_Toc527361775" w:history="1">
            <w:r w:rsidRPr="00BF2FB8">
              <w:rPr>
                <w:rStyle w:val="Hyperlink"/>
                <w:noProof/>
              </w:rPr>
              <w:t>VIII. Summary</w:t>
            </w:r>
            <w:r>
              <w:rPr>
                <w:noProof/>
                <w:webHidden/>
              </w:rPr>
              <w:tab/>
            </w:r>
            <w:r>
              <w:rPr>
                <w:noProof/>
                <w:webHidden/>
              </w:rPr>
              <w:fldChar w:fldCharType="begin"/>
            </w:r>
            <w:r>
              <w:rPr>
                <w:noProof/>
                <w:webHidden/>
              </w:rPr>
              <w:instrText xml:space="preserve"> PAGEREF _Toc527361775 \h </w:instrText>
            </w:r>
            <w:r>
              <w:rPr>
                <w:noProof/>
                <w:webHidden/>
              </w:rPr>
            </w:r>
            <w:r>
              <w:rPr>
                <w:noProof/>
                <w:webHidden/>
              </w:rPr>
              <w:fldChar w:fldCharType="separate"/>
            </w:r>
            <w:r w:rsidR="00331725">
              <w:rPr>
                <w:noProof/>
                <w:webHidden/>
              </w:rPr>
              <w:t>68</w:t>
            </w:r>
            <w:r>
              <w:rPr>
                <w:noProof/>
                <w:webHidden/>
              </w:rPr>
              <w:fldChar w:fldCharType="end"/>
            </w:r>
          </w:hyperlink>
        </w:p>
        <w:p w14:paraId="455E8AD7" w14:textId="2BF8E88A" w:rsidR="00C97A31" w:rsidRDefault="00C97A31">
          <w:pPr>
            <w:pStyle w:val="TOC1"/>
            <w:tabs>
              <w:tab w:val="right" w:leader="dot" w:pos="9350"/>
            </w:tabs>
            <w:rPr>
              <w:rFonts w:asciiTheme="minorHAnsi" w:hAnsiTheme="minorHAnsi"/>
              <w:noProof/>
            </w:rPr>
          </w:pPr>
          <w:hyperlink w:anchor="_Toc527361776" w:history="1">
            <w:r w:rsidRPr="00BF2FB8">
              <w:rPr>
                <w:rStyle w:val="Hyperlink"/>
                <w:noProof/>
              </w:rPr>
              <w:t>IX. References</w:t>
            </w:r>
            <w:r>
              <w:rPr>
                <w:noProof/>
                <w:webHidden/>
              </w:rPr>
              <w:tab/>
            </w:r>
            <w:r>
              <w:rPr>
                <w:noProof/>
                <w:webHidden/>
              </w:rPr>
              <w:fldChar w:fldCharType="begin"/>
            </w:r>
            <w:r>
              <w:rPr>
                <w:noProof/>
                <w:webHidden/>
              </w:rPr>
              <w:instrText xml:space="preserve"> PAGEREF _Toc527361776 \h </w:instrText>
            </w:r>
            <w:r>
              <w:rPr>
                <w:noProof/>
                <w:webHidden/>
              </w:rPr>
            </w:r>
            <w:r>
              <w:rPr>
                <w:noProof/>
                <w:webHidden/>
              </w:rPr>
              <w:fldChar w:fldCharType="separate"/>
            </w:r>
            <w:r w:rsidR="00331725">
              <w:rPr>
                <w:noProof/>
                <w:webHidden/>
              </w:rPr>
              <w:t>70</w:t>
            </w:r>
            <w:r>
              <w:rPr>
                <w:noProof/>
                <w:webHidden/>
              </w:rPr>
              <w:fldChar w:fldCharType="end"/>
            </w:r>
          </w:hyperlink>
        </w:p>
        <w:p w14:paraId="1EC8161F" w14:textId="081B9EC6" w:rsidR="007A488D" w:rsidRPr="00E705FF" w:rsidRDefault="006D096C" w:rsidP="008009D0">
          <w:pPr>
            <w:jc w:val="both"/>
            <w:rPr>
              <w:rFonts w:cs="Arial"/>
            </w:rPr>
          </w:pPr>
          <w:r>
            <w:rPr>
              <w:rFonts w:cs="Arial"/>
              <w:b/>
              <w:bCs/>
              <w:noProof/>
            </w:rPr>
            <w:fldChar w:fldCharType="end"/>
          </w:r>
        </w:p>
      </w:sdtContent>
    </w:sdt>
    <w:p w14:paraId="7D057395" w14:textId="77777777" w:rsidR="007A488D" w:rsidRPr="00E705FF" w:rsidRDefault="007A488D" w:rsidP="008009D0">
      <w:pPr>
        <w:jc w:val="both"/>
        <w:rPr>
          <w:rFonts w:cs="Arial"/>
        </w:rPr>
      </w:pPr>
      <w:r w:rsidRPr="00E705FF">
        <w:rPr>
          <w:rFonts w:cs="Arial"/>
        </w:rPr>
        <w:br w:type="page"/>
      </w:r>
    </w:p>
    <w:p w14:paraId="5530108A" w14:textId="77777777" w:rsidR="007A488D" w:rsidRPr="00E705FF" w:rsidRDefault="007A488D" w:rsidP="008009D0">
      <w:pPr>
        <w:pStyle w:val="Heading1"/>
        <w:jc w:val="both"/>
      </w:pPr>
      <w:bookmarkStart w:id="1" w:name="_Toc527361716"/>
      <w:r w:rsidRPr="00E705FF">
        <w:lastRenderedPageBreak/>
        <w:t>List of Tables</w:t>
      </w:r>
      <w:bookmarkEnd w:id="1"/>
    </w:p>
    <w:p w14:paraId="1E7FF059" w14:textId="4D212EAE" w:rsidR="00C97A31" w:rsidRDefault="00F203F1">
      <w:pPr>
        <w:pStyle w:val="TableofFigures"/>
        <w:tabs>
          <w:tab w:val="right" w:leader="dot" w:pos="9350"/>
        </w:tabs>
        <w:rPr>
          <w:noProof/>
        </w:rPr>
      </w:pPr>
      <w:r>
        <w:rPr>
          <w:rFonts w:cs="Arial"/>
        </w:rPr>
        <w:fldChar w:fldCharType="begin"/>
      </w:r>
      <w:r>
        <w:rPr>
          <w:rFonts w:cs="Arial"/>
        </w:rPr>
        <w:instrText xml:space="preserve"> TOC \c "Table" </w:instrText>
      </w:r>
      <w:r>
        <w:rPr>
          <w:rFonts w:cs="Arial"/>
        </w:rPr>
        <w:fldChar w:fldCharType="separate"/>
      </w:r>
      <w:r w:rsidR="00C97A31" w:rsidRPr="00691327">
        <w:rPr>
          <w:noProof/>
        </w:rPr>
        <w:t>Table 1. Subject demographic information.</w:t>
      </w:r>
      <w:r w:rsidR="00C97A31">
        <w:rPr>
          <w:noProof/>
        </w:rPr>
        <w:tab/>
      </w:r>
      <w:r w:rsidR="00C97A31">
        <w:rPr>
          <w:noProof/>
        </w:rPr>
        <w:fldChar w:fldCharType="begin"/>
      </w:r>
      <w:r w:rsidR="00C97A31">
        <w:rPr>
          <w:noProof/>
        </w:rPr>
        <w:instrText xml:space="preserve"> PAGEREF _Toc527361777 \h </w:instrText>
      </w:r>
      <w:r w:rsidR="00C97A31">
        <w:rPr>
          <w:noProof/>
        </w:rPr>
      </w:r>
      <w:r w:rsidR="00C97A31">
        <w:rPr>
          <w:noProof/>
        </w:rPr>
        <w:fldChar w:fldCharType="separate"/>
      </w:r>
      <w:r w:rsidR="00331725">
        <w:rPr>
          <w:noProof/>
        </w:rPr>
        <w:t>22</w:t>
      </w:r>
      <w:r w:rsidR="00C97A31">
        <w:rPr>
          <w:noProof/>
        </w:rPr>
        <w:fldChar w:fldCharType="end"/>
      </w:r>
    </w:p>
    <w:p w14:paraId="2EABE35A" w14:textId="77777777" w:rsidR="00AF3A22" w:rsidRPr="00AF3A22" w:rsidRDefault="00AF3A22" w:rsidP="00AF3A22">
      <w:pPr>
        <w:rPr>
          <w:noProof/>
        </w:rPr>
      </w:pPr>
    </w:p>
    <w:p w14:paraId="2D343BE8" w14:textId="1E30693C" w:rsidR="00C97A31" w:rsidRDefault="00C97A31">
      <w:pPr>
        <w:pStyle w:val="TableofFigures"/>
        <w:tabs>
          <w:tab w:val="right" w:leader="dot" w:pos="9350"/>
        </w:tabs>
        <w:rPr>
          <w:noProof/>
        </w:rPr>
      </w:pPr>
      <w:r>
        <w:rPr>
          <w:noProof/>
        </w:rPr>
        <w:t>Table 2. The results of the data analysis, stratified by task and medication. Data are presented as mean ± SD.</w:t>
      </w:r>
      <w:r>
        <w:rPr>
          <w:noProof/>
        </w:rPr>
        <w:tab/>
      </w:r>
      <w:r>
        <w:rPr>
          <w:noProof/>
        </w:rPr>
        <w:fldChar w:fldCharType="begin"/>
      </w:r>
      <w:r>
        <w:rPr>
          <w:noProof/>
        </w:rPr>
        <w:instrText xml:space="preserve"> PAGEREF _Toc527361778 \h </w:instrText>
      </w:r>
      <w:r>
        <w:rPr>
          <w:noProof/>
        </w:rPr>
      </w:r>
      <w:r>
        <w:rPr>
          <w:noProof/>
        </w:rPr>
        <w:fldChar w:fldCharType="separate"/>
      </w:r>
      <w:r w:rsidR="00331725">
        <w:rPr>
          <w:noProof/>
        </w:rPr>
        <w:t>23</w:t>
      </w:r>
      <w:r>
        <w:rPr>
          <w:noProof/>
        </w:rPr>
        <w:fldChar w:fldCharType="end"/>
      </w:r>
    </w:p>
    <w:p w14:paraId="4B4042A2" w14:textId="77777777" w:rsidR="00AF3A22" w:rsidRPr="00AF3A22" w:rsidRDefault="00AF3A22" w:rsidP="00AF3A22">
      <w:pPr>
        <w:rPr>
          <w:noProof/>
        </w:rPr>
      </w:pPr>
    </w:p>
    <w:p w14:paraId="47EB0840" w14:textId="758C0D28" w:rsidR="00C97A31" w:rsidRDefault="00C97A31">
      <w:pPr>
        <w:pStyle w:val="TableofFigures"/>
        <w:tabs>
          <w:tab w:val="right" w:leader="dot" w:pos="9350"/>
        </w:tabs>
        <w:rPr>
          <w:noProof/>
        </w:rPr>
      </w:pPr>
      <w:r>
        <w:rPr>
          <w:noProof/>
        </w:rPr>
        <w:t>Table 3. Subject demographic information. Data are mean ± SD, where appropriate.</w:t>
      </w:r>
      <w:r>
        <w:rPr>
          <w:noProof/>
        </w:rPr>
        <w:tab/>
      </w:r>
      <w:r>
        <w:rPr>
          <w:noProof/>
        </w:rPr>
        <w:fldChar w:fldCharType="begin"/>
      </w:r>
      <w:r>
        <w:rPr>
          <w:noProof/>
        </w:rPr>
        <w:instrText xml:space="preserve"> PAGEREF _Toc527361779 \h </w:instrText>
      </w:r>
      <w:r>
        <w:rPr>
          <w:noProof/>
        </w:rPr>
      </w:r>
      <w:r>
        <w:rPr>
          <w:noProof/>
        </w:rPr>
        <w:fldChar w:fldCharType="separate"/>
      </w:r>
      <w:r w:rsidR="00331725">
        <w:rPr>
          <w:noProof/>
        </w:rPr>
        <w:t>43</w:t>
      </w:r>
      <w:r>
        <w:rPr>
          <w:noProof/>
        </w:rPr>
        <w:fldChar w:fldCharType="end"/>
      </w:r>
    </w:p>
    <w:p w14:paraId="54000D01" w14:textId="77777777" w:rsidR="00AF3A22" w:rsidRPr="00AF3A22" w:rsidRDefault="00AF3A22" w:rsidP="00AF3A22">
      <w:pPr>
        <w:rPr>
          <w:noProof/>
        </w:rPr>
      </w:pPr>
    </w:p>
    <w:p w14:paraId="1EA85858" w14:textId="23307D0D" w:rsidR="00C97A31" w:rsidRDefault="00C97A31">
      <w:pPr>
        <w:pStyle w:val="TableofFigures"/>
        <w:tabs>
          <w:tab w:val="right" w:leader="dot" w:pos="9350"/>
        </w:tabs>
        <w:rPr>
          <w:noProof/>
        </w:rPr>
      </w:pPr>
      <w:r>
        <w:rPr>
          <w:noProof/>
        </w:rPr>
        <w:t>Table 4. The results of the data analysis stratified by medication state, task, and condition. Data are presented as mean ± SD.</w:t>
      </w:r>
      <w:r>
        <w:rPr>
          <w:noProof/>
        </w:rPr>
        <w:tab/>
      </w:r>
      <w:r>
        <w:rPr>
          <w:noProof/>
        </w:rPr>
        <w:fldChar w:fldCharType="begin"/>
      </w:r>
      <w:r>
        <w:rPr>
          <w:noProof/>
        </w:rPr>
        <w:instrText xml:space="preserve"> PAGEREF _Toc527361780 \h </w:instrText>
      </w:r>
      <w:r>
        <w:rPr>
          <w:noProof/>
        </w:rPr>
      </w:r>
      <w:r>
        <w:rPr>
          <w:noProof/>
        </w:rPr>
        <w:fldChar w:fldCharType="separate"/>
      </w:r>
      <w:r w:rsidR="00331725">
        <w:rPr>
          <w:noProof/>
        </w:rPr>
        <w:t>44</w:t>
      </w:r>
      <w:r>
        <w:rPr>
          <w:noProof/>
        </w:rPr>
        <w:fldChar w:fldCharType="end"/>
      </w:r>
    </w:p>
    <w:p w14:paraId="726ACEF9" w14:textId="77777777" w:rsidR="00AF3A22" w:rsidRPr="00AF3A22" w:rsidRDefault="00AF3A22" w:rsidP="00AF3A22">
      <w:pPr>
        <w:rPr>
          <w:noProof/>
        </w:rPr>
      </w:pPr>
    </w:p>
    <w:p w14:paraId="3B51DA52" w14:textId="51E949B3" w:rsidR="00C97A31" w:rsidRDefault="00C97A31">
      <w:pPr>
        <w:pStyle w:val="TableofFigures"/>
        <w:tabs>
          <w:tab w:val="right" w:leader="dot" w:pos="9350"/>
        </w:tabs>
        <w:rPr>
          <w:noProof/>
        </w:rPr>
      </w:pPr>
      <w:r>
        <w:rPr>
          <w:noProof/>
        </w:rPr>
        <w:t>Table 5. Subject demographic information. Data are mean ± SD, where appropriate.</w:t>
      </w:r>
      <w:r>
        <w:rPr>
          <w:noProof/>
        </w:rPr>
        <w:tab/>
      </w:r>
      <w:r>
        <w:rPr>
          <w:noProof/>
        </w:rPr>
        <w:fldChar w:fldCharType="begin"/>
      </w:r>
      <w:r>
        <w:rPr>
          <w:noProof/>
        </w:rPr>
        <w:instrText xml:space="preserve"> PAGEREF _Toc527361781 \h </w:instrText>
      </w:r>
      <w:r>
        <w:rPr>
          <w:noProof/>
        </w:rPr>
      </w:r>
      <w:r>
        <w:rPr>
          <w:noProof/>
        </w:rPr>
        <w:fldChar w:fldCharType="separate"/>
      </w:r>
      <w:r w:rsidR="00331725">
        <w:rPr>
          <w:noProof/>
        </w:rPr>
        <w:t>62</w:t>
      </w:r>
      <w:r>
        <w:rPr>
          <w:noProof/>
        </w:rPr>
        <w:fldChar w:fldCharType="end"/>
      </w:r>
    </w:p>
    <w:p w14:paraId="2B195882" w14:textId="77777777" w:rsidR="00AF3A22" w:rsidRPr="00AF3A22" w:rsidRDefault="00AF3A22" w:rsidP="00AF3A22">
      <w:pPr>
        <w:rPr>
          <w:noProof/>
        </w:rPr>
      </w:pPr>
    </w:p>
    <w:p w14:paraId="4E315806" w14:textId="5F963327" w:rsidR="00C97A31" w:rsidRDefault="00C97A31">
      <w:pPr>
        <w:pStyle w:val="TableofFigures"/>
        <w:tabs>
          <w:tab w:val="right" w:leader="dot" w:pos="9350"/>
        </w:tabs>
        <w:rPr>
          <w:noProof/>
        </w:rPr>
      </w:pPr>
      <w:r>
        <w:rPr>
          <w:noProof/>
        </w:rPr>
        <w:t>Table 6. The %REC and parameters calculated and input into the RQA analysis for the joint angle series. Data are presented as mean ± SD.</w:t>
      </w:r>
      <w:r>
        <w:rPr>
          <w:noProof/>
        </w:rPr>
        <w:tab/>
      </w:r>
      <w:r>
        <w:rPr>
          <w:noProof/>
        </w:rPr>
        <w:fldChar w:fldCharType="begin"/>
      </w:r>
      <w:r>
        <w:rPr>
          <w:noProof/>
        </w:rPr>
        <w:instrText xml:space="preserve"> PAGEREF _Toc527361782 \h </w:instrText>
      </w:r>
      <w:r>
        <w:rPr>
          <w:noProof/>
        </w:rPr>
      </w:r>
      <w:r>
        <w:rPr>
          <w:noProof/>
        </w:rPr>
        <w:fldChar w:fldCharType="separate"/>
      </w:r>
      <w:r w:rsidR="00331725">
        <w:rPr>
          <w:noProof/>
        </w:rPr>
        <w:t>63</w:t>
      </w:r>
      <w:r>
        <w:rPr>
          <w:noProof/>
        </w:rPr>
        <w:fldChar w:fldCharType="end"/>
      </w:r>
    </w:p>
    <w:p w14:paraId="41326BB6" w14:textId="77777777" w:rsidR="00AF3A22" w:rsidRPr="00AF3A22" w:rsidRDefault="00AF3A22" w:rsidP="00AF3A22">
      <w:pPr>
        <w:rPr>
          <w:noProof/>
        </w:rPr>
      </w:pPr>
    </w:p>
    <w:p w14:paraId="560ACF05" w14:textId="3814AE27" w:rsidR="00C97A31" w:rsidRDefault="00C97A31">
      <w:pPr>
        <w:pStyle w:val="TableofFigures"/>
        <w:tabs>
          <w:tab w:val="right" w:leader="dot" w:pos="9350"/>
        </w:tabs>
        <w:rPr>
          <w:rFonts w:asciiTheme="minorHAnsi" w:hAnsiTheme="minorHAnsi"/>
          <w:noProof/>
        </w:rPr>
      </w:pPr>
      <w:r>
        <w:rPr>
          <w:noProof/>
        </w:rPr>
        <w:t>Table 7. The %REC and parameters calculated and input into the RQA analysis for the COP path series. Data are presented as mean ± SD.</w:t>
      </w:r>
      <w:r>
        <w:rPr>
          <w:noProof/>
        </w:rPr>
        <w:tab/>
      </w:r>
      <w:r>
        <w:rPr>
          <w:noProof/>
        </w:rPr>
        <w:fldChar w:fldCharType="begin"/>
      </w:r>
      <w:r>
        <w:rPr>
          <w:noProof/>
        </w:rPr>
        <w:instrText xml:space="preserve"> PAGEREF _Toc527361783 \h </w:instrText>
      </w:r>
      <w:r>
        <w:rPr>
          <w:noProof/>
        </w:rPr>
      </w:r>
      <w:r>
        <w:rPr>
          <w:noProof/>
        </w:rPr>
        <w:fldChar w:fldCharType="separate"/>
      </w:r>
      <w:r w:rsidR="00331725">
        <w:rPr>
          <w:noProof/>
        </w:rPr>
        <w:t>64</w:t>
      </w:r>
      <w:r>
        <w:rPr>
          <w:noProof/>
        </w:rPr>
        <w:fldChar w:fldCharType="end"/>
      </w:r>
    </w:p>
    <w:p w14:paraId="2BE078F4" w14:textId="703AE569" w:rsidR="007A488D" w:rsidRPr="0059766A" w:rsidRDefault="00F203F1" w:rsidP="008009D0">
      <w:pPr>
        <w:pStyle w:val="Heading1"/>
        <w:numPr>
          <w:ilvl w:val="0"/>
          <w:numId w:val="0"/>
        </w:numPr>
        <w:spacing w:after="240"/>
        <w:jc w:val="both"/>
        <w:rPr>
          <w:rFonts w:cs="Arial"/>
        </w:rPr>
      </w:pPr>
      <w:r>
        <w:rPr>
          <w:rFonts w:cs="Arial"/>
        </w:rPr>
        <w:fldChar w:fldCharType="end"/>
      </w:r>
      <w:r w:rsidR="007A488D" w:rsidRPr="00E705FF">
        <w:rPr>
          <w:rFonts w:cs="Arial"/>
        </w:rPr>
        <w:br w:type="page"/>
      </w:r>
      <w:bookmarkStart w:id="2" w:name="_Toc527361717"/>
      <w:r w:rsidR="007A488D" w:rsidRPr="00E705FF">
        <w:lastRenderedPageBreak/>
        <w:t>List of Figures</w:t>
      </w:r>
      <w:bookmarkEnd w:id="2"/>
    </w:p>
    <w:p w14:paraId="34C29C4E" w14:textId="56412309" w:rsidR="00C97A31" w:rsidRDefault="00213ED4">
      <w:pPr>
        <w:pStyle w:val="TableofFigures"/>
        <w:tabs>
          <w:tab w:val="right" w:leader="dot" w:pos="9350"/>
        </w:tabs>
        <w:rPr>
          <w:rStyle w:val="Hyperlink"/>
          <w:noProof/>
        </w:rPr>
      </w:pPr>
      <w:r>
        <w:rPr>
          <w:rFonts w:cs="Arial"/>
        </w:rPr>
        <w:fldChar w:fldCharType="begin"/>
      </w:r>
      <w:r>
        <w:rPr>
          <w:rFonts w:cs="Arial"/>
        </w:rPr>
        <w:instrText xml:space="preserve"> TOC \h \z \c "Figure" </w:instrText>
      </w:r>
      <w:r>
        <w:rPr>
          <w:rFonts w:cs="Arial"/>
        </w:rPr>
        <w:fldChar w:fldCharType="separate"/>
      </w:r>
      <w:hyperlink w:anchor="_Toc527361784" w:history="1">
        <w:r w:rsidR="00C97A31" w:rsidRPr="00685ED0">
          <w:rPr>
            <w:rStyle w:val="Hyperlink"/>
            <w:noProof/>
          </w:rPr>
          <w:t xml:space="preserve">Figure 1. Xsens sensor locations (17 total) on the head, sternum, posterior pelvis (i.e., L5/Sacrum), and bilaterally on the shoulders, </w:t>
        </w:r>
        <w:bookmarkStart w:id="3" w:name="_GoBack"/>
        <w:bookmarkEnd w:id="3"/>
        <w:r w:rsidR="00C97A31" w:rsidRPr="00685ED0">
          <w:rPr>
            <w:rStyle w:val="Hyperlink"/>
            <w:noProof/>
          </w:rPr>
          <w:t>upper arms, forearms, hands, thighs, lower legs, and feet. Sensors are shown on top of straps for clear visualization.</w:t>
        </w:r>
        <w:r w:rsidR="00C97A31">
          <w:rPr>
            <w:noProof/>
            <w:webHidden/>
          </w:rPr>
          <w:tab/>
        </w:r>
        <w:r w:rsidR="00C97A31">
          <w:rPr>
            <w:noProof/>
            <w:webHidden/>
          </w:rPr>
          <w:fldChar w:fldCharType="begin"/>
        </w:r>
        <w:r w:rsidR="00C97A31">
          <w:rPr>
            <w:noProof/>
            <w:webHidden/>
          </w:rPr>
          <w:instrText xml:space="preserve"> PAGEREF _Toc527361784 \h </w:instrText>
        </w:r>
        <w:r w:rsidR="00C97A31">
          <w:rPr>
            <w:noProof/>
            <w:webHidden/>
          </w:rPr>
        </w:r>
        <w:r w:rsidR="00C97A31">
          <w:rPr>
            <w:noProof/>
            <w:webHidden/>
          </w:rPr>
          <w:fldChar w:fldCharType="separate"/>
        </w:r>
        <w:r w:rsidR="00331725">
          <w:rPr>
            <w:noProof/>
            <w:webHidden/>
          </w:rPr>
          <w:t>24</w:t>
        </w:r>
        <w:r w:rsidR="00C97A31">
          <w:rPr>
            <w:noProof/>
            <w:webHidden/>
          </w:rPr>
          <w:fldChar w:fldCharType="end"/>
        </w:r>
      </w:hyperlink>
    </w:p>
    <w:p w14:paraId="04F9D022" w14:textId="77777777" w:rsidR="00A54DA2" w:rsidRPr="00A54DA2" w:rsidRDefault="00A54DA2" w:rsidP="00A54DA2">
      <w:pPr>
        <w:rPr>
          <w:noProof/>
        </w:rPr>
      </w:pPr>
    </w:p>
    <w:p w14:paraId="28F32492" w14:textId="78E678E8" w:rsidR="00C97A31" w:rsidRDefault="00C97A31">
      <w:pPr>
        <w:pStyle w:val="TableofFigures"/>
        <w:tabs>
          <w:tab w:val="right" w:leader="dot" w:pos="9350"/>
        </w:tabs>
        <w:rPr>
          <w:rStyle w:val="Hyperlink"/>
          <w:noProof/>
        </w:rPr>
      </w:pPr>
      <w:hyperlink w:anchor="_Toc527361785" w:history="1">
        <w:r w:rsidRPr="00685ED0">
          <w:rPr>
            <w:rStyle w:val="Hyperlink"/>
            <w:noProof/>
          </w:rPr>
          <w:t>Figure 2. Example of a knee joint signal. The vertical line on the left of the figure represents the absolute change in joint angle measured and collected during data analysis. Note how the secondary peaks are ignored and not included in the joint angle measurements.</w:t>
        </w:r>
        <w:r>
          <w:rPr>
            <w:noProof/>
            <w:webHidden/>
          </w:rPr>
          <w:tab/>
        </w:r>
        <w:r>
          <w:rPr>
            <w:noProof/>
            <w:webHidden/>
          </w:rPr>
          <w:fldChar w:fldCharType="begin"/>
        </w:r>
        <w:r>
          <w:rPr>
            <w:noProof/>
            <w:webHidden/>
          </w:rPr>
          <w:instrText xml:space="preserve"> PAGEREF _Toc527361785 \h </w:instrText>
        </w:r>
        <w:r>
          <w:rPr>
            <w:noProof/>
            <w:webHidden/>
          </w:rPr>
        </w:r>
        <w:r>
          <w:rPr>
            <w:noProof/>
            <w:webHidden/>
          </w:rPr>
          <w:fldChar w:fldCharType="separate"/>
        </w:r>
        <w:r w:rsidR="00331725">
          <w:rPr>
            <w:noProof/>
            <w:webHidden/>
          </w:rPr>
          <w:t>25</w:t>
        </w:r>
        <w:r>
          <w:rPr>
            <w:noProof/>
            <w:webHidden/>
          </w:rPr>
          <w:fldChar w:fldCharType="end"/>
        </w:r>
      </w:hyperlink>
    </w:p>
    <w:p w14:paraId="6EB6EB26" w14:textId="77777777" w:rsidR="00A54DA2" w:rsidRPr="00A54DA2" w:rsidRDefault="00A54DA2" w:rsidP="00A54DA2">
      <w:pPr>
        <w:rPr>
          <w:noProof/>
        </w:rPr>
      </w:pPr>
    </w:p>
    <w:p w14:paraId="12CEAC6A" w14:textId="2F880280" w:rsidR="00C97A31" w:rsidRDefault="00C97A31">
      <w:pPr>
        <w:pStyle w:val="TableofFigures"/>
        <w:tabs>
          <w:tab w:val="right" w:leader="dot" w:pos="9350"/>
        </w:tabs>
        <w:rPr>
          <w:rStyle w:val="Hyperlink"/>
          <w:noProof/>
        </w:rPr>
      </w:pPr>
      <w:hyperlink w:anchor="_Toc527361786" w:history="1">
        <w:r w:rsidRPr="00685ED0">
          <w:rPr>
            <w:rStyle w:val="Hyperlink"/>
            <w:noProof/>
          </w:rPr>
          <w:t>Figure 3</w:t>
        </w:r>
        <w:r w:rsidRPr="00685ED0">
          <w:rPr>
            <w:rStyle w:val="Hyperlink"/>
            <w:rFonts w:cs="Arial"/>
            <w:noProof/>
          </w:rPr>
          <w:t>. Plot of the change in dual-task effect for velocity. Each point represents the change in dual-task effect for a subject from OFF to ON and is plotted with the change in dual-task effect for gait velocity as ‘x’ and the change in dual-task effect for phoneme tally as ‘y’. The quadrants are labeled to indicate the relationship between the primary and secondary tasks. Points arbitrarily within a circle of radius 10 (minimal clinically meaningful differences are unknown) about the origin are interpreted as ‘no effect’. Note that several subjects experienced either ‘no effect’ or shifted to a ‘cognitive priority’ dual-task strategy when ON.</w:t>
        </w:r>
        <w:r>
          <w:rPr>
            <w:noProof/>
            <w:webHidden/>
          </w:rPr>
          <w:tab/>
        </w:r>
        <w:r>
          <w:rPr>
            <w:noProof/>
            <w:webHidden/>
          </w:rPr>
          <w:fldChar w:fldCharType="begin"/>
        </w:r>
        <w:r>
          <w:rPr>
            <w:noProof/>
            <w:webHidden/>
          </w:rPr>
          <w:instrText xml:space="preserve"> PAGEREF _Toc527361786 \h </w:instrText>
        </w:r>
        <w:r>
          <w:rPr>
            <w:noProof/>
            <w:webHidden/>
          </w:rPr>
        </w:r>
        <w:r>
          <w:rPr>
            <w:noProof/>
            <w:webHidden/>
          </w:rPr>
          <w:fldChar w:fldCharType="separate"/>
        </w:r>
        <w:r w:rsidR="00331725">
          <w:rPr>
            <w:noProof/>
            <w:webHidden/>
          </w:rPr>
          <w:t>26</w:t>
        </w:r>
        <w:r>
          <w:rPr>
            <w:noProof/>
            <w:webHidden/>
          </w:rPr>
          <w:fldChar w:fldCharType="end"/>
        </w:r>
      </w:hyperlink>
    </w:p>
    <w:p w14:paraId="0C64C586" w14:textId="77777777" w:rsidR="00A54DA2" w:rsidRPr="00A54DA2" w:rsidRDefault="00A54DA2" w:rsidP="00A54DA2">
      <w:pPr>
        <w:rPr>
          <w:noProof/>
        </w:rPr>
      </w:pPr>
    </w:p>
    <w:p w14:paraId="1DB91AE7" w14:textId="6E16CD75" w:rsidR="00C97A31" w:rsidRDefault="00C97A31">
      <w:pPr>
        <w:pStyle w:val="TableofFigures"/>
        <w:tabs>
          <w:tab w:val="right" w:leader="dot" w:pos="9350"/>
        </w:tabs>
        <w:rPr>
          <w:rStyle w:val="Hyperlink"/>
          <w:noProof/>
        </w:rPr>
      </w:pPr>
      <w:hyperlink w:anchor="_Toc527361787" w:history="1">
        <w:r w:rsidRPr="00685ED0">
          <w:rPr>
            <w:rStyle w:val="Hyperlink"/>
            <w:noProof/>
          </w:rPr>
          <w:t>Figure 4.</w:t>
        </w:r>
        <w:r w:rsidRPr="00685ED0">
          <w:rPr>
            <w:rStyle w:val="Hyperlink"/>
            <w:rFonts w:cs="Arial"/>
            <w:noProof/>
          </w:rPr>
          <w:t xml:space="preserve"> Bar graphs depicting the mean ± SEM data for COP 95% area (top-left), integrated time to boundary (top-right), velocity of the COP in the anterior-posterior </w:t>
        </w:r>
        <w:r w:rsidRPr="00685ED0">
          <w:rPr>
            <w:rStyle w:val="Hyperlink"/>
            <w:rFonts w:cs="Arial"/>
            <w:noProof/>
          </w:rPr>
          <w:lastRenderedPageBreak/>
          <w:t>direction (bottom-left), and velocity of the COP in the medial-lateral direction. Significant differences (</w:t>
        </w:r>
        <w:r w:rsidRPr="00685ED0">
          <w:rPr>
            <w:rStyle w:val="Hyperlink"/>
            <w:rFonts w:cs="Arial"/>
            <w:i/>
            <w:noProof/>
          </w:rPr>
          <w:t>p</w:t>
        </w:r>
        <w:r w:rsidRPr="00685ED0">
          <w:rPr>
            <w:rStyle w:val="Hyperlink"/>
            <w:rFonts w:cs="Arial"/>
            <w:noProof/>
          </w:rPr>
          <w:t xml:space="preserve"> &lt; 0.05) are indicated by the lines and tick marks, with the left-most bar being significant from the others indicated. COP = center of pressure, ST = single-task, DT = dual-task, EO = eyes open, EC = eyes closed, OFF = off-medication state, ON = on-medication state.</w:t>
        </w:r>
        <w:r>
          <w:rPr>
            <w:noProof/>
            <w:webHidden/>
          </w:rPr>
          <w:tab/>
        </w:r>
        <w:r>
          <w:rPr>
            <w:noProof/>
            <w:webHidden/>
          </w:rPr>
          <w:fldChar w:fldCharType="begin"/>
        </w:r>
        <w:r>
          <w:rPr>
            <w:noProof/>
            <w:webHidden/>
          </w:rPr>
          <w:instrText xml:space="preserve"> PAGEREF _Toc527361787 \h </w:instrText>
        </w:r>
        <w:r>
          <w:rPr>
            <w:noProof/>
            <w:webHidden/>
          </w:rPr>
        </w:r>
        <w:r>
          <w:rPr>
            <w:noProof/>
            <w:webHidden/>
          </w:rPr>
          <w:fldChar w:fldCharType="separate"/>
        </w:r>
        <w:r w:rsidR="00331725">
          <w:rPr>
            <w:noProof/>
            <w:webHidden/>
          </w:rPr>
          <w:t>45</w:t>
        </w:r>
        <w:r>
          <w:rPr>
            <w:noProof/>
            <w:webHidden/>
          </w:rPr>
          <w:fldChar w:fldCharType="end"/>
        </w:r>
      </w:hyperlink>
    </w:p>
    <w:p w14:paraId="24881D55" w14:textId="77777777" w:rsidR="00A54DA2" w:rsidRPr="00A54DA2" w:rsidRDefault="00A54DA2" w:rsidP="00A54DA2">
      <w:pPr>
        <w:rPr>
          <w:noProof/>
        </w:rPr>
      </w:pPr>
    </w:p>
    <w:p w14:paraId="6149D2D4" w14:textId="361F6988" w:rsidR="00C97A31" w:rsidRDefault="00C97A31">
      <w:pPr>
        <w:pStyle w:val="TableofFigures"/>
        <w:tabs>
          <w:tab w:val="right" w:leader="dot" w:pos="9350"/>
        </w:tabs>
        <w:rPr>
          <w:rStyle w:val="Hyperlink"/>
          <w:noProof/>
        </w:rPr>
      </w:pPr>
      <w:hyperlink w:anchor="_Toc527361788" w:history="1">
        <w:r w:rsidRPr="00685ED0">
          <w:rPr>
            <w:rStyle w:val="Hyperlink"/>
            <w:noProof/>
          </w:rPr>
          <w:t xml:space="preserve">Figure 5. </w:t>
        </w:r>
        <w:r w:rsidRPr="00685ED0">
          <w:rPr>
            <w:rStyle w:val="Hyperlink"/>
            <w:rFonts w:cs="Arial"/>
            <w:noProof/>
          </w:rPr>
          <w:t>Scatterplot of the change in dual-task effect for COP</w:t>
        </w:r>
        <w:r w:rsidRPr="00685ED0">
          <w:rPr>
            <w:rStyle w:val="Hyperlink"/>
            <w:rFonts w:cs="Arial"/>
            <w:noProof/>
            <w:vertAlign w:val="subscript"/>
          </w:rPr>
          <w:t>area</w:t>
        </w:r>
        <w:r w:rsidRPr="00685ED0">
          <w:rPr>
            <w:rStyle w:val="Hyperlink"/>
            <w:rFonts w:cs="Arial"/>
            <w:noProof/>
          </w:rPr>
          <w:t>. Each point represents the change in dual-task effect for a subject from OFF to ON and are plotted as (x,y) = (</w:t>
        </w:r>
        <m:oMath>
          <m:r>
            <w:rPr>
              <w:rStyle w:val="Hyperlink"/>
              <w:rFonts w:ascii="Cambria Math" w:hAnsi="Cambria Math" w:cs="Arial"/>
              <w:noProof/>
            </w:rPr>
            <m:t>∆</m:t>
          </m:r>
        </m:oMath>
        <w:r w:rsidRPr="00685ED0">
          <w:rPr>
            <w:rStyle w:val="Hyperlink"/>
            <w:rFonts w:cs="Arial"/>
            <w:noProof/>
          </w:rPr>
          <w:t>DTE</w:t>
        </w:r>
        <w:r w:rsidRPr="00685ED0">
          <w:rPr>
            <w:rStyle w:val="Hyperlink"/>
            <w:rFonts w:cs="Arial"/>
            <w:noProof/>
            <w:vertAlign w:val="subscript"/>
          </w:rPr>
          <w:t>area</w:t>
        </w:r>
        <w:r w:rsidRPr="00685ED0">
          <w:rPr>
            <w:rStyle w:val="Hyperlink"/>
            <w:rFonts w:cs="Arial"/>
            <w:noProof/>
          </w:rPr>
          <w:t xml:space="preserve">, </w:t>
        </w:r>
        <m:oMath>
          <m:r>
            <w:rPr>
              <w:rStyle w:val="Hyperlink"/>
              <w:rFonts w:ascii="Cambria Math" w:hAnsi="Cambria Math" w:cs="Arial"/>
              <w:noProof/>
            </w:rPr>
            <m:t>∆</m:t>
          </m:r>
        </m:oMath>
        <w:r w:rsidRPr="00685ED0">
          <w:rPr>
            <w:rStyle w:val="Hyperlink"/>
            <w:rFonts w:cs="Arial"/>
            <w:noProof/>
          </w:rPr>
          <w:t>DTE</w:t>
        </w:r>
        <w:r w:rsidRPr="00685ED0">
          <w:rPr>
            <w:rStyle w:val="Hyperlink"/>
            <w:rFonts w:cs="Arial"/>
            <w:noProof/>
            <w:vertAlign w:val="subscript"/>
          </w:rPr>
          <w:t>tally</w:t>
        </w:r>
        <w:r w:rsidRPr="00685ED0">
          <w:rPr>
            <w:rStyle w:val="Hyperlink"/>
            <w:rFonts w:cs="Arial"/>
            <w:noProof/>
          </w:rPr>
          <w:t>) for eyes open and eyes closed conditions. The quadrants are labeled to indicate the relationship between the primary and secondary tasks.</w:t>
        </w:r>
        <w:r>
          <w:rPr>
            <w:noProof/>
            <w:webHidden/>
          </w:rPr>
          <w:tab/>
        </w:r>
        <w:r>
          <w:rPr>
            <w:noProof/>
            <w:webHidden/>
          </w:rPr>
          <w:fldChar w:fldCharType="begin"/>
        </w:r>
        <w:r>
          <w:rPr>
            <w:noProof/>
            <w:webHidden/>
          </w:rPr>
          <w:instrText xml:space="preserve"> PAGEREF _Toc527361788 \h </w:instrText>
        </w:r>
        <w:r>
          <w:rPr>
            <w:noProof/>
            <w:webHidden/>
          </w:rPr>
        </w:r>
        <w:r>
          <w:rPr>
            <w:noProof/>
            <w:webHidden/>
          </w:rPr>
          <w:fldChar w:fldCharType="separate"/>
        </w:r>
        <w:r w:rsidR="00331725">
          <w:rPr>
            <w:noProof/>
            <w:webHidden/>
          </w:rPr>
          <w:t>46</w:t>
        </w:r>
        <w:r>
          <w:rPr>
            <w:noProof/>
            <w:webHidden/>
          </w:rPr>
          <w:fldChar w:fldCharType="end"/>
        </w:r>
      </w:hyperlink>
    </w:p>
    <w:p w14:paraId="54347BD0" w14:textId="77777777" w:rsidR="00A54DA2" w:rsidRPr="00A54DA2" w:rsidRDefault="00A54DA2" w:rsidP="00A54DA2">
      <w:pPr>
        <w:rPr>
          <w:noProof/>
        </w:rPr>
      </w:pPr>
    </w:p>
    <w:p w14:paraId="6829F0B8" w14:textId="6C0A97B1" w:rsidR="00C97A31" w:rsidRDefault="00C97A31">
      <w:pPr>
        <w:pStyle w:val="TableofFigures"/>
        <w:tabs>
          <w:tab w:val="right" w:leader="dot" w:pos="9350"/>
        </w:tabs>
        <w:rPr>
          <w:rStyle w:val="Hyperlink"/>
          <w:noProof/>
        </w:rPr>
      </w:pPr>
      <w:hyperlink w:anchor="_Toc527361789" w:history="1">
        <w:r w:rsidRPr="00685ED0">
          <w:rPr>
            <w:rStyle w:val="Hyperlink"/>
            <w:noProof/>
          </w:rPr>
          <w:t>Figure 6. Xsens sensor locations (17 total) on the head, sternum, posterior pelvis (i.e., L5/Sacrum), and bilaterally on the shoulders, upper arms, forearms, hands, thighs, lower legs, and feet. Sensors are shown on top of straps for visualization.</w:t>
        </w:r>
        <w:r>
          <w:rPr>
            <w:noProof/>
            <w:webHidden/>
          </w:rPr>
          <w:tab/>
        </w:r>
        <w:r>
          <w:rPr>
            <w:noProof/>
            <w:webHidden/>
          </w:rPr>
          <w:fldChar w:fldCharType="begin"/>
        </w:r>
        <w:r>
          <w:rPr>
            <w:noProof/>
            <w:webHidden/>
          </w:rPr>
          <w:instrText xml:space="preserve"> PAGEREF _Toc527361789 \h </w:instrText>
        </w:r>
        <w:r>
          <w:rPr>
            <w:noProof/>
            <w:webHidden/>
          </w:rPr>
        </w:r>
        <w:r>
          <w:rPr>
            <w:noProof/>
            <w:webHidden/>
          </w:rPr>
          <w:fldChar w:fldCharType="separate"/>
        </w:r>
        <w:r w:rsidR="00331725">
          <w:rPr>
            <w:noProof/>
            <w:webHidden/>
          </w:rPr>
          <w:t>65</w:t>
        </w:r>
        <w:r>
          <w:rPr>
            <w:noProof/>
            <w:webHidden/>
          </w:rPr>
          <w:fldChar w:fldCharType="end"/>
        </w:r>
      </w:hyperlink>
    </w:p>
    <w:p w14:paraId="4AD1E2D0" w14:textId="77777777" w:rsidR="00A54DA2" w:rsidRPr="00A54DA2" w:rsidRDefault="00A54DA2" w:rsidP="00A54DA2">
      <w:pPr>
        <w:rPr>
          <w:noProof/>
        </w:rPr>
      </w:pPr>
    </w:p>
    <w:p w14:paraId="2C04BDA7" w14:textId="24FD65AE" w:rsidR="00C97A31" w:rsidRDefault="00C97A31">
      <w:pPr>
        <w:pStyle w:val="TableofFigures"/>
        <w:tabs>
          <w:tab w:val="right" w:leader="dot" w:pos="9350"/>
        </w:tabs>
        <w:rPr>
          <w:rStyle w:val="Hyperlink"/>
          <w:noProof/>
        </w:rPr>
      </w:pPr>
      <w:hyperlink w:anchor="_Toc527361790" w:history="1">
        <w:r w:rsidRPr="00685ED0">
          <w:rPr>
            <w:rStyle w:val="Hyperlink"/>
            <w:noProof/>
          </w:rPr>
          <w:t>Figure 7</w:t>
        </w:r>
        <w:r w:rsidRPr="00685ED0">
          <w:rPr>
            <w:rStyle w:val="Hyperlink"/>
            <w:rFonts w:cs="Arial"/>
            <w:noProof/>
          </w:rPr>
          <w:t>. Bar graphs depicting the mean ± SEM joint angle data for percent determinism (%DET) on the more-affected (top-left) and less-affected (top-right) sides and approximate entropy (ApEn) on the more-affected (bottom-left) and less-affected (bottom-right) sides. Significance is indicated by the lines and tick marks. PD = Parkinson’s disease, Sho = Shoulder, ST = single task, DT = dual-task, OFF = off-medication state, ON = on-medication state.</w:t>
        </w:r>
        <w:r>
          <w:rPr>
            <w:noProof/>
            <w:webHidden/>
          </w:rPr>
          <w:tab/>
        </w:r>
        <w:r>
          <w:rPr>
            <w:noProof/>
            <w:webHidden/>
          </w:rPr>
          <w:fldChar w:fldCharType="begin"/>
        </w:r>
        <w:r>
          <w:rPr>
            <w:noProof/>
            <w:webHidden/>
          </w:rPr>
          <w:instrText xml:space="preserve"> PAGEREF _Toc527361790 \h </w:instrText>
        </w:r>
        <w:r>
          <w:rPr>
            <w:noProof/>
            <w:webHidden/>
          </w:rPr>
        </w:r>
        <w:r>
          <w:rPr>
            <w:noProof/>
            <w:webHidden/>
          </w:rPr>
          <w:fldChar w:fldCharType="separate"/>
        </w:r>
        <w:r w:rsidR="00331725">
          <w:rPr>
            <w:noProof/>
            <w:webHidden/>
          </w:rPr>
          <w:t>66</w:t>
        </w:r>
        <w:r>
          <w:rPr>
            <w:noProof/>
            <w:webHidden/>
          </w:rPr>
          <w:fldChar w:fldCharType="end"/>
        </w:r>
      </w:hyperlink>
    </w:p>
    <w:p w14:paraId="1F0C2F5A" w14:textId="77777777" w:rsidR="00A54DA2" w:rsidRPr="00A54DA2" w:rsidRDefault="00A54DA2" w:rsidP="00A54DA2">
      <w:pPr>
        <w:rPr>
          <w:noProof/>
        </w:rPr>
      </w:pPr>
    </w:p>
    <w:p w14:paraId="4CEC7E58" w14:textId="384531A3" w:rsidR="00C97A31" w:rsidRDefault="00C97A31">
      <w:pPr>
        <w:pStyle w:val="TableofFigures"/>
        <w:tabs>
          <w:tab w:val="right" w:leader="dot" w:pos="9350"/>
        </w:tabs>
        <w:rPr>
          <w:rFonts w:asciiTheme="minorHAnsi" w:hAnsiTheme="minorHAnsi"/>
          <w:noProof/>
        </w:rPr>
      </w:pPr>
      <w:hyperlink w:anchor="_Toc527361791" w:history="1">
        <w:r w:rsidRPr="00685ED0">
          <w:rPr>
            <w:rStyle w:val="Hyperlink"/>
            <w:noProof/>
          </w:rPr>
          <w:t>Figure 8</w:t>
        </w:r>
        <w:r w:rsidRPr="00685ED0">
          <w:rPr>
            <w:rStyle w:val="Hyperlink"/>
            <w:rFonts w:cs="Arial"/>
            <w:noProof/>
          </w:rPr>
          <w:t>. Bar graphs depicting the mean ± SEM center of pressure (COP) path data for percent determinism (%DET; top) and approximate entropy (ApEn; bottom). Significance is indicated by the lines and tick marks. STEO = single-task eyes open, STEC = single-task eyes closed, DTEO = dual-task eyes open, DTEC = dual-task eyes closed, OFF = off-medication state, ON = on-medication state.</w:t>
        </w:r>
        <w:r>
          <w:rPr>
            <w:noProof/>
            <w:webHidden/>
          </w:rPr>
          <w:tab/>
        </w:r>
        <w:r>
          <w:rPr>
            <w:noProof/>
            <w:webHidden/>
          </w:rPr>
          <w:fldChar w:fldCharType="begin"/>
        </w:r>
        <w:r>
          <w:rPr>
            <w:noProof/>
            <w:webHidden/>
          </w:rPr>
          <w:instrText xml:space="preserve"> PAGEREF _Toc527361791 \h </w:instrText>
        </w:r>
        <w:r>
          <w:rPr>
            <w:noProof/>
            <w:webHidden/>
          </w:rPr>
        </w:r>
        <w:r>
          <w:rPr>
            <w:noProof/>
            <w:webHidden/>
          </w:rPr>
          <w:fldChar w:fldCharType="separate"/>
        </w:r>
        <w:r w:rsidR="00331725">
          <w:rPr>
            <w:noProof/>
            <w:webHidden/>
          </w:rPr>
          <w:t>67</w:t>
        </w:r>
        <w:r>
          <w:rPr>
            <w:noProof/>
            <w:webHidden/>
          </w:rPr>
          <w:fldChar w:fldCharType="end"/>
        </w:r>
      </w:hyperlink>
    </w:p>
    <w:p w14:paraId="54F93A98" w14:textId="34C64144" w:rsidR="005C63BB" w:rsidRDefault="00213ED4" w:rsidP="008009D0">
      <w:pPr>
        <w:jc w:val="both"/>
        <w:rPr>
          <w:rFonts w:cs="Arial"/>
        </w:rPr>
        <w:sectPr w:rsidR="005C63BB" w:rsidSect="00C55D12">
          <w:footerReference w:type="default" r:id="rId19"/>
          <w:footerReference w:type="first" r:id="rId20"/>
          <w:pgSz w:w="12240" w:h="15840"/>
          <w:pgMar w:top="1800" w:right="1440" w:bottom="1440" w:left="1440" w:header="720" w:footer="720" w:gutter="0"/>
          <w:pgNumType w:fmt="lowerRoman" w:start="4"/>
          <w:cols w:space="720"/>
          <w:docGrid w:linePitch="326"/>
        </w:sectPr>
      </w:pPr>
      <w:r>
        <w:rPr>
          <w:rFonts w:cs="Arial"/>
        </w:rPr>
        <w:fldChar w:fldCharType="end"/>
      </w:r>
    </w:p>
    <w:p w14:paraId="795F22FB" w14:textId="56306BE7" w:rsidR="003A1928" w:rsidRPr="00E705FF" w:rsidRDefault="007A488D" w:rsidP="008009D0">
      <w:pPr>
        <w:pStyle w:val="Heading1"/>
        <w:jc w:val="both"/>
      </w:pPr>
      <w:bookmarkStart w:id="4" w:name="_Toc527361718"/>
      <w:r w:rsidRPr="007705E5">
        <w:lastRenderedPageBreak/>
        <w:t>Introduction</w:t>
      </w:r>
      <w:bookmarkEnd w:id="4"/>
    </w:p>
    <w:p w14:paraId="7B2B46A4" w14:textId="5BD9A413" w:rsidR="00F00CFA" w:rsidRDefault="007D64FE" w:rsidP="008009D0">
      <w:pPr>
        <w:jc w:val="both"/>
      </w:pPr>
      <w:r>
        <w:tab/>
      </w:r>
      <w:r w:rsidR="001F76B6" w:rsidRPr="00E705FF">
        <w:t xml:space="preserve">Parkinson’s disease (PD) is a neurological movement disorder that progressively disables those </w:t>
      </w:r>
      <w:r w:rsidR="00BF393B">
        <w:t>living</w:t>
      </w:r>
      <w:r w:rsidR="001F76B6" w:rsidRPr="00E705FF">
        <w:t xml:space="preserve"> with the disease. PD is the second most prevalent neurodegenerative disorder</w:t>
      </w:r>
      <w:r w:rsidR="00E35A1B">
        <w:t>,</w:t>
      </w:r>
      <w:r w:rsidR="001F76B6" w:rsidRPr="00E705FF">
        <w:t xml:space="preserve"> </w:t>
      </w:r>
      <w:r w:rsidR="0080173C">
        <w:t>affecting</w:t>
      </w:r>
      <w:r w:rsidR="00122052">
        <w:t xml:space="preserve"> approximately 1</w:t>
      </w:r>
      <w:r w:rsidR="001F76B6" w:rsidRPr="00E705FF">
        <w:t xml:space="preserve"> million people in the US. Those most commonly afflicted are the elderly, </w:t>
      </w:r>
      <w:r w:rsidR="00E35A1B">
        <w:t xml:space="preserve">among whom the prevalence of PD is higher than young adults, </w:t>
      </w:r>
      <w:r w:rsidR="00047603">
        <w:t>with an</w:t>
      </w:r>
      <w:r w:rsidR="00E35A1B">
        <w:t xml:space="preserve"> in</w:t>
      </w:r>
      <w:r w:rsidR="00047603">
        <w:t xml:space="preserve">crease in </w:t>
      </w:r>
      <w:r w:rsidR="00BA5FDF">
        <w:t>incidence</w:t>
      </w:r>
      <w:r w:rsidR="00E35A1B">
        <w:t xml:space="preserve"> with age</w:t>
      </w:r>
      <w:r w:rsidR="001F76B6" w:rsidRPr="00E705FF">
        <w:t>.</w:t>
      </w:r>
      <w:r w:rsidR="000919DB">
        <w:t xml:space="preserve"> T</w:t>
      </w:r>
      <w:r w:rsidR="000919DB" w:rsidRPr="00E705FF">
        <w:t xml:space="preserve">he mechanism for the symptoms associated with PD, </w:t>
      </w:r>
      <w:r w:rsidR="0030141A">
        <w:t>i.e.,</w:t>
      </w:r>
      <w:r w:rsidR="000919DB" w:rsidRPr="00E705FF">
        <w:t xml:space="preserve"> the systematic cell death of the dopamine (DA) producing substantia nigra and the subsequent dysfunction of the other basal ganglia and the neuromuscular system, are well established and have been recognized for centuries. </w:t>
      </w:r>
      <w:r w:rsidR="00E35A1B">
        <w:t>T</w:t>
      </w:r>
      <w:r w:rsidR="00A5178B" w:rsidRPr="00E705FF">
        <w:t xml:space="preserve">he </w:t>
      </w:r>
      <w:r w:rsidR="00A5178B">
        <w:t xml:space="preserve">motor </w:t>
      </w:r>
      <w:r w:rsidR="00354FD6">
        <w:t xml:space="preserve">and non-motor </w:t>
      </w:r>
      <w:r w:rsidR="00A5178B" w:rsidRPr="00E705FF">
        <w:t xml:space="preserve">symptoms </w:t>
      </w:r>
      <w:r w:rsidR="00A5178B">
        <w:t>associated with</w:t>
      </w:r>
      <w:r w:rsidR="00A5178B" w:rsidRPr="00E705FF">
        <w:t xml:space="preserve"> PD</w:t>
      </w:r>
      <w:r w:rsidR="003D1F83">
        <w:t xml:space="preserve"> </w:t>
      </w:r>
      <w:r w:rsidR="00B32CDD">
        <w:t>are also well established</w:t>
      </w:r>
      <w:r w:rsidR="003D1F83">
        <w:t>.</w:t>
      </w:r>
      <w:r w:rsidR="00A5178B" w:rsidRPr="00E705FF">
        <w:t xml:space="preserve"> </w:t>
      </w:r>
      <w:r w:rsidR="003D1F83">
        <w:t>Th</w:t>
      </w:r>
      <w:r w:rsidR="00E35A1B">
        <w:t>ese</w:t>
      </w:r>
      <w:r w:rsidR="003D1F83">
        <w:t xml:space="preserve"> include t</w:t>
      </w:r>
      <w:r w:rsidR="00A5178B" w:rsidRPr="00E705FF">
        <w:t xml:space="preserve">he cardinal motor symptoms </w:t>
      </w:r>
      <w:r w:rsidR="003D1F83">
        <w:t>of</w:t>
      </w:r>
      <w:r w:rsidR="00A5178B" w:rsidRPr="00E705FF">
        <w:t xml:space="preserve"> resting tremor, rigidity, bradykinesia, postural instability, and gait impairment</w:t>
      </w:r>
      <w:r w:rsidR="00565D61" w:rsidRPr="00E705FF">
        <w:t>, which are common to most patients with PD</w:t>
      </w:r>
      <w:r w:rsidR="00A5178B" w:rsidRPr="00E705FF">
        <w:t>.</w:t>
      </w:r>
      <w:r w:rsidR="002267F3">
        <w:t xml:space="preserve"> </w:t>
      </w:r>
      <w:r w:rsidR="00E35A1B">
        <w:t>DA-ergic medications</w:t>
      </w:r>
      <w:r w:rsidR="0074091A">
        <w:t>,</w:t>
      </w:r>
      <w:r w:rsidR="00E35A1B">
        <w:t xml:space="preserve"> </w:t>
      </w:r>
      <w:r w:rsidR="0088412B">
        <w:t xml:space="preserve">like </w:t>
      </w:r>
      <w:r w:rsidR="00430601">
        <w:t>levodopa,</w:t>
      </w:r>
      <w:r w:rsidR="004B55F7" w:rsidRPr="00E705FF">
        <w:t xml:space="preserve"> </w:t>
      </w:r>
      <w:r w:rsidR="00E35A1B">
        <w:t>ameliorate</w:t>
      </w:r>
      <w:r w:rsidR="004B55F7" w:rsidRPr="00E705FF">
        <w:t xml:space="preserve"> some of the more disabling motor complications. </w:t>
      </w:r>
      <w:r w:rsidR="004A4E2B">
        <w:t xml:space="preserve">Nevertheless, </w:t>
      </w:r>
      <w:r w:rsidR="00BD3DA4">
        <w:t>despite the aid of medication, the</w:t>
      </w:r>
      <w:r w:rsidR="008F2656">
        <w:t xml:space="preserve"> cardinal impairments, and their combinations, have direct and sometimes complex impacts on daily life and independence of PD patients.</w:t>
      </w:r>
    </w:p>
    <w:p w14:paraId="23928C69" w14:textId="6875142E" w:rsidR="00202B2A" w:rsidRPr="00AC77E2" w:rsidRDefault="00202B2A" w:rsidP="008009D0">
      <w:pPr>
        <w:pStyle w:val="Heading2"/>
        <w:jc w:val="both"/>
      </w:pPr>
      <w:bookmarkStart w:id="5" w:name="_Toc527361719"/>
      <w:r w:rsidRPr="00AC77E2">
        <w:t>Statement of the Problem</w:t>
      </w:r>
      <w:bookmarkEnd w:id="5"/>
      <w:r w:rsidRPr="00AC77E2">
        <w:tab/>
      </w:r>
    </w:p>
    <w:p w14:paraId="6A03CD2A" w14:textId="33D1915B" w:rsidR="00F00CFA" w:rsidRPr="00100E98" w:rsidRDefault="007D64FE" w:rsidP="008009D0">
      <w:pPr>
        <w:jc w:val="both"/>
      </w:pPr>
      <w:r>
        <w:tab/>
      </w:r>
      <w:r w:rsidR="008F2656">
        <w:t>A</w:t>
      </w:r>
      <w:r w:rsidR="00565D61">
        <w:t>n important aspect of</w:t>
      </w:r>
      <w:r w:rsidR="00A167EE">
        <w:t xml:space="preserve"> </w:t>
      </w:r>
      <w:r w:rsidR="00D43A3C">
        <w:t>PD</w:t>
      </w:r>
      <w:r w:rsidR="00E35A1B">
        <w:t>, with respect to</w:t>
      </w:r>
      <w:r w:rsidR="00D43A3C">
        <w:t xml:space="preserve"> daily living</w:t>
      </w:r>
      <w:r w:rsidR="00E35A1B">
        <w:t>,</w:t>
      </w:r>
      <w:r w:rsidR="00D43A3C">
        <w:t xml:space="preserve"> is </w:t>
      </w:r>
      <w:r w:rsidR="00BA52DF">
        <w:t>a</w:t>
      </w:r>
      <w:r w:rsidR="00D43A3C">
        <w:t xml:space="preserve"> reduced </w:t>
      </w:r>
      <w:r w:rsidR="00565D61">
        <w:t xml:space="preserve">ability to automatically perform a </w:t>
      </w:r>
      <w:r w:rsidR="001939E3">
        <w:t>task</w:t>
      </w:r>
      <w:r w:rsidR="00565D61">
        <w:t xml:space="preserve"> – that is</w:t>
      </w:r>
      <w:r w:rsidR="00514A36">
        <w:t>,</w:t>
      </w:r>
      <w:r w:rsidR="00565D61">
        <w:t xml:space="preserve"> </w:t>
      </w:r>
      <w:r w:rsidR="00FF3F29">
        <w:t xml:space="preserve">to </w:t>
      </w:r>
      <w:r w:rsidR="00565D61">
        <w:t xml:space="preserve">perform </w:t>
      </w:r>
      <w:r w:rsidR="00514A36">
        <w:t>a</w:t>
      </w:r>
      <w:r w:rsidR="00565D61">
        <w:t xml:space="preserve"> </w:t>
      </w:r>
      <w:r w:rsidR="001939E3">
        <w:t>task</w:t>
      </w:r>
      <w:r w:rsidR="00565D61">
        <w:t xml:space="preserve"> outside of attentional control. </w:t>
      </w:r>
      <w:r w:rsidR="006C2A3F">
        <w:t xml:space="preserve">This reduced automaticity, and </w:t>
      </w:r>
      <w:r w:rsidR="009229A0">
        <w:t xml:space="preserve">the </w:t>
      </w:r>
      <w:r w:rsidR="006C2A3F">
        <w:t xml:space="preserve">very real impact </w:t>
      </w:r>
      <w:r w:rsidR="009229A0">
        <w:t xml:space="preserve">it has </w:t>
      </w:r>
      <w:r w:rsidR="006C2A3F">
        <w:t xml:space="preserve">on </w:t>
      </w:r>
      <w:r w:rsidR="006536E8">
        <w:t>PD patients,</w:t>
      </w:r>
      <w:r w:rsidR="006C2A3F">
        <w:t xml:space="preserve"> </w:t>
      </w:r>
      <w:r w:rsidR="001A43C2">
        <w:t>has</w:t>
      </w:r>
      <w:r w:rsidR="006C2A3F">
        <w:t xml:space="preserve"> been well </w:t>
      </w:r>
      <w:r w:rsidR="006536E8">
        <w:t>established in PD research. However, little is know</w:t>
      </w:r>
      <w:r w:rsidR="00E35A1B">
        <w:t>n</w:t>
      </w:r>
      <w:r w:rsidR="006536E8">
        <w:t xml:space="preserve"> about how DA-ergic medications</w:t>
      </w:r>
      <w:r w:rsidR="001A43C2">
        <w:t xml:space="preserve">, </w:t>
      </w:r>
      <w:r w:rsidR="00623BD0">
        <w:t xml:space="preserve">like levodopa, </w:t>
      </w:r>
      <w:r w:rsidR="006536E8">
        <w:t xml:space="preserve">affect automaticity in </w:t>
      </w:r>
      <w:r w:rsidR="00623BD0">
        <w:t>PD</w:t>
      </w:r>
      <w:r w:rsidR="006536E8">
        <w:t>.</w:t>
      </w:r>
      <w:r w:rsidR="003271F3">
        <w:t xml:space="preserve"> </w:t>
      </w:r>
      <w:r w:rsidR="00896721">
        <w:t xml:space="preserve">This effect is important to understand, because </w:t>
      </w:r>
      <w:r w:rsidR="00C40D64">
        <w:lastRenderedPageBreak/>
        <w:t>p</w:t>
      </w:r>
      <w:r w:rsidR="00C40D64" w:rsidRPr="00E705FF">
        <w:t xml:space="preserve">erforming tasks automatically is vital in an environment where </w:t>
      </w:r>
      <w:r w:rsidR="00477EE7">
        <w:t>patients</w:t>
      </w:r>
      <w:r w:rsidR="00C40D64" w:rsidRPr="00E705FF">
        <w:t xml:space="preserve"> </w:t>
      </w:r>
      <w:r w:rsidR="00477EE7">
        <w:t>are</w:t>
      </w:r>
      <w:r w:rsidR="00C40D64" w:rsidRPr="00E705FF">
        <w:t xml:space="preserve"> often required to direct attention to various secondary tasks</w:t>
      </w:r>
      <w:r w:rsidR="002C5AD7">
        <w:t xml:space="preserve">, </w:t>
      </w:r>
      <w:r w:rsidR="00E35A1B">
        <w:t xml:space="preserve">such as </w:t>
      </w:r>
      <w:r w:rsidR="002C5AD7">
        <w:t>carrying on a conversation,</w:t>
      </w:r>
      <w:r w:rsidR="00C40D64" w:rsidRPr="00E705FF">
        <w:t xml:space="preserve"> while performing an automatic primary task</w:t>
      </w:r>
      <w:r w:rsidR="002C5AD7">
        <w:t xml:space="preserve">, like </w:t>
      </w:r>
      <w:r w:rsidR="004635E6">
        <w:t>walking</w:t>
      </w:r>
      <w:r w:rsidR="00C40D64" w:rsidRPr="00E705FF">
        <w:t>.</w:t>
      </w:r>
      <w:r w:rsidR="003B3472">
        <w:t xml:space="preserve"> </w:t>
      </w:r>
      <w:r w:rsidR="006F5DC0">
        <w:t>Additionally, what</w:t>
      </w:r>
      <w:r w:rsidR="003B3472">
        <w:t xml:space="preserve"> little research</w:t>
      </w:r>
      <w:r w:rsidR="006F5DC0">
        <w:t xml:space="preserve"> that has been performed to address </w:t>
      </w:r>
      <w:r w:rsidR="003B3472">
        <w:t>this topic</w:t>
      </w:r>
      <w:r w:rsidR="006F5DC0">
        <w:t xml:space="preserve"> has</w:t>
      </w:r>
      <w:r w:rsidR="00E26594">
        <w:t xml:space="preserve"> only</w:t>
      </w:r>
      <w:r w:rsidR="006F5DC0">
        <w:t xml:space="preserve"> consisted of simple </w:t>
      </w:r>
      <w:r w:rsidR="004F28B7">
        <w:t>temporo-spatial</w:t>
      </w:r>
      <w:r w:rsidR="006F5DC0">
        <w:t xml:space="preserve"> measures o</w:t>
      </w:r>
      <w:r w:rsidR="009F2EB9">
        <w:t>f gait</w:t>
      </w:r>
      <w:r w:rsidR="009B153E">
        <w:t xml:space="preserve"> (e.g., mean velocity and cadence)</w:t>
      </w:r>
      <w:r w:rsidR="009F2EB9">
        <w:t xml:space="preserve"> </w:t>
      </w:r>
      <w:r w:rsidR="009B153E">
        <w:t>and balance (e.g., center of pressure</w:t>
      </w:r>
      <w:r w:rsidR="003B61A3">
        <w:t xml:space="preserve"> [COP]</w:t>
      </w:r>
      <w:r w:rsidR="009B153E">
        <w:t xml:space="preserve"> </w:t>
      </w:r>
      <w:r w:rsidR="003B61A3">
        <w:t>sway</w:t>
      </w:r>
      <w:r w:rsidR="003947EB">
        <w:t xml:space="preserve"> area</w:t>
      </w:r>
      <w:r w:rsidR="009B153E">
        <w:t>)</w:t>
      </w:r>
      <w:r w:rsidR="006F5DC0">
        <w:t>, whi</w:t>
      </w:r>
      <w:r w:rsidR="001D22E9">
        <w:t>ch may not be sufficiently intricate to understand the complex effects of DA on</w:t>
      </w:r>
      <w:r w:rsidR="00C02EE8">
        <w:t xml:space="preserve"> </w:t>
      </w:r>
      <w:r w:rsidR="001D22E9">
        <w:t>automaticity.</w:t>
      </w:r>
    </w:p>
    <w:p w14:paraId="4383C039" w14:textId="3338BF79" w:rsidR="00202B2A" w:rsidRPr="00AC77E2" w:rsidRDefault="00202B2A" w:rsidP="008009D0">
      <w:pPr>
        <w:pStyle w:val="Heading2"/>
        <w:jc w:val="both"/>
      </w:pPr>
      <w:bookmarkStart w:id="6" w:name="_Toc527361720"/>
      <w:r w:rsidRPr="00AC77E2">
        <w:t>Purpose of the Study</w:t>
      </w:r>
      <w:bookmarkEnd w:id="6"/>
      <w:r w:rsidRPr="00AC77E2">
        <w:tab/>
      </w:r>
    </w:p>
    <w:p w14:paraId="51B301D9" w14:textId="7697E7B3" w:rsidR="00F00CFA" w:rsidRDefault="007D64FE" w:rsidP="008009D0">
      <w:pPr>
        <w:jc w:val="both"/>
      </w:pPr>
      <w:r>
        <w:tab/>
      </w:r>
      <w:r w:rsidR="00346BED">
        <w:t xml:space="preserve">The purpose of this study </w:t>
      </w:r>
      <w:r w:rsidR="00407B1B">
        <w:t>was</w:t>
      </w:r>
      <w:r w:rsidR="00346BED">
        <w:t xml:space="preserve"> to </w:t>
      </w:r>
      <w:r w:rsidR="00C3465A">
        <w:t>investigate</w:t>
      </w:r>
      <w:r w:rsidR="00E35A1B">
        <w:t xml:space="preserve"> </w:t>
      </w:r>
      <w:r w:rsidR="002B68A6">
        <w:t xml:space="preserve">the effects </w:t>
      </w:r>
      <w:r w:rsidR="00A51611">
        <w:t>DA-ergic medications</w:t>
      </w:r>
      <w:r w:rsidR="002B68A6">
        <w:t xml:space="preserve"> on the automaticity of gait</w:t>
      </w:r>
      <w:r w:rsidR="00103898">
        <w:t xml:space="preserve"> and standing balance</w:t>
      </w:r>
      <w:r w:rsidR="002B68A6">
        <w:t xml:space="preserve"> in PD. </w:t>
      </w:r>
      <w:r w:rsidR="00946518">
        <w:t xml:space="preserve">An additional purpose </w:t>
      </w:r>
      <w:r w:rsidR="00EE256E">
        <w:t>was</w:t>
      </w:r>
      <w:r w:rsidR="00946518">
        <w:t xml:space="preserve"> to </w:t>
      </w:r>
      <w:r w:rsidR="0098789F">
        <w:t>extend the scope of gait</w:t>
      </w:r>
      <w:r w:rsidR="005D0675">
        <w:t xml:space="preserve"> and balance</w:t>
      </w:r>
      <w:r w:rsidR="0098789F">
        <w:t xml:space="preserve"> </w:t>
      </w:r>
      <w:r w:rsidR="005D0675">
        <w:t>assessment</w:t>
      </w:r>
      <w:r w:rsidR="001A044C">
        <w:t xml:space="preserve"> in automaticity research</w:t>
      </w:r>
      <w:r w:rsidR="0098789F">
        <w:t xml:space="preserve"> beyond </w:t>
      </w:r>
      <w:r w:rsidR="00010CB4">
        <w:t>simple linear analyses</w:t>
      </w:r>
      <w:r w:rsidR="00D26196">
        <w:t xml:space="preserve">, like velocity and </w:t>
      </w:r>
      <w:r w:rsidR="003947EB">
        <w:t>COP sway area</w:t>
      </w:r>
      <w:r w:rsidR="000F61D2">
        <w:t xml:space="preserve"> which analyze the signal in piecemeal</w:t>
      </w:r>
      <w:r w:rsidR="000F6C56">
        <w:t xml:space="preserve"> or as an average</w:t>
      </w:r>
      <w:r w:rsidR="007B4EB7">
        <w:t xml:space="preserve"> of </w:t>
      </w:r>
      <w:r w:rsidR="004222DD">
        <w:t>occurrences</w:t>
      </w:r>
      <w:r w:rsidR="00D26196">
        <w:t xml:space="preserve">, to </w:t>
      </w:r>
      <w:r w:rsidR="001A044C">
        <w:t>nonlinear analyses</w:t>
      </w:r>
      <w:r w:rsidR="000F61D2">
        <w:t xml:space="preserve"> </w:t>
      </w:r>
      <w:r w:rsidR="005D0675">
        <w:t>that determine the variability (i.e., predictability) of entire signals, such as</w:t>
      </w:r>
      <w:r w:rsidR="00866FD7">
        <w:t xml:space="preserve"> </w:t>
      </w:r>
      <w:r w:rsidR="000958F0">
        <w:t>A</w:t>
      </w:r>
      <w:r w:rsidR="00866FD7">
        <w:t xml:space="preserve">pproximate </w:t>
      </w:r>
      <w:r w:rsidR="000958F0">
        <w:t>E</w:t>
      </w:r>
      <w:r w:rsidR="00866FD7">
        <w:t>ntropy (ApEn)</w:t>
      </w:r>
      <w:r w:rsidR="000958F0">
        <w:t xml:space="preserve"> </w:t>
      </w:r>
      <w:r w:rsidR="000958F0" w:rsidRPr="00C579C5">
        <w:t>and Recurrence Quantification Analysis (RQA)</w:t>
      </w:r>
      <w:r w:rsidR="00866FD7">
        <w:t xml:space="preserve">. </w:t>
      </w:r>
    </w:p>
    <w:p w14:paraId="256CA67B" w14:textId="28240651" w:rsidR="00202B2A" w:rsidRPr="00AC77E2" w:rsidRDefault="00202B2A" w:rsidP="008009D0">
      <w:pPr>
        <w:pStyle w:val="Heading2"/>
        <w:jc w:val="both"/>
      </w:pPr>
      <w:bookmarkStart w:id="7" w:name="_Toc527361721"/>
      <w:r w:rsidRPr="00AC77E2">
        <w:t xml:space="preserve">Research </w:t>
      </w:r>
      <w:r w:rsidR="00C21153" w:rsidRPr="00AC77E2">
        <w:t>Aims and Hypotheses</w:t>
      </w:r>
      <w:bookmarkEnd w:id="7"/>
    </w:p>
    <w:p w14:paraId="35104C24" w14:textId="093EC929" w:rsidR="00300D8B" w:rsidRDefault="007D64FE" w:rsidP="008009D0">
      <w:pPr>
        <w:jc w:val="both"/>
      </w:pPr>
      <w:r>
        <w:tab/>
      </w:r>
      <w:r w:rsidR="00C21153">
        <w:t xml:space="preserve">The following </w:t>
      </w:r>
      <w:r w:rsidR="00300D8B">
        <w:t xml:space="preserve">aims and </w:t>
      </w:r>
      <w:r w:rsidR="008E4842">
        <w:t xml:space="preserve">hypotheses are intended to address the gaps of knowledge </w:t>
      </w:r>
      <w:r w:rsidR="00EC5E4A">
        <w:t xml:space="preserve">discussed in the statement of the problem: </w:t>
      </w:r>
    </w:p>
    <w:p w14:paraId="0C0FC09A" w14:textId="2C78A9F1" w:rsidR="00BA0C6E" w:rsidRDefault="00EC5E4A" w:rsidP="008009D0">
      <w:pPr>
        <w:ind w:left="360"/>
        <w:jc w:val="both"/>
      </w:pPr>
      <w:r w:rsidRPr="00794955">
        <w:rPr>
          <w:b/>
        </w:rPr>
        <w:t xml:space="preserve">Aim 1: </w:t>
      </w:r>
      <w:r w:rsidR="00D85987" w:rsidRPr="00794955">
        <w:rPr>
          <w:b/>
        </w:rPr>
        <w:t xml:space="preserve">To investigate the </w:t>
      </w:r>
      <w:r w:rsidR="0003450F" w:rsidRPr="00794955">
        <w:rPr>
          <w:b/>
        </w:rPr>
        <w:t xml:space="preserve">effect </w:t>
      </w:r>
      <w:r w:rsidR="00D85987" w:rsidRPr="00794955">
        <w:rPr>
          <w:b/>
        </w:rPr>
        <w:t>of levodopa</w:t>
      </w:r>
      <w:r w:rsidR="001E6230" w:rsidRPr="00794955">
        <w:rPr>
          <w:b/>
        </w:rPr>
        <w:t xml:space="preserve"> on the automa</w:t>
      </w:r>
      <w:r w:rsidR="00CD32A8" w:rsidRPr="00794955">
        <w:rPr>
          <w:b/>
        </w:rPr>
        <w:t>t</w:t>
      </w:r>
      <w:r w:rsidR="00564804" w:rsidRPr="00794955">
        <w:rPr>
          <w:b/>
        </w:rPr>
        <w:t>icity of overground gait in PD.</w:t>
      </w:r>
      <w:r w:rsidR="0080173C" w:rsidRPr="0080173C">
        <w:t xml:space="preserve"> </w:t>
      </w:r>
      <w:r w:rsidR="00430601">
        <w:t>To</w:t>
      </w:r>
      <w:r w:rsidR="0080173C">
        <w:t xml:space="preserve"> measure gait automaticity, a dual-task (DT) paradigm, in which subjects perform a primary task (</w:t>
      </w:r>
      <w:r w:rsidR="0030141A">
        <w:t>i.e.,</w:t>
      </w:r>
      <w:r w:rsidR="0080173C">
        <w:t xml:space="preserve"> walking) at the same time as a secondary cognitive task, </w:t>
      </w:r>
      <w:r w:rsidR="008638E1">
        <w:t>was</w:t>
      </w:r>
      <w:r w:rsidR="0080173C">
        <w:t xml:space="preserve"> employed. DT paradigms are </w:t>
      </w:r>
      <w:r w:rsidR="00F80C1D">
        <w:t>employed</w:t>
      </w:r>
      <w:r w:rsidR="0080173C">
        <w:t xml:space="preserve"> in automaticity research because</w:t>
      </w:r>
      <w:r w:rsidR="008C701C">
        <w:t xml:space="preserve"> </w:t>
      </w:r>
      <w:r w:rsidR="0080173C">
        <w:t xml:space="preserve">the </w:t>
      </w:r>
      <w:r w:rsidR="0080173C">
        <w:lastRenderedPageBreak/>
        <w:t xml:space="preserve">more automatic a task, the less dual-task interference (DTi) is evident. For example, if gait is a perfectly automatic task, it will not be affected by the performance of a secondary cognitive task. In other words, the gait pattern of someone walking without talking </w:t>
      </w:r>
      <w:r w:rsidR="006A7E67">
        <w:t>would</w:t>
      </w:r>
      <w:r w:rsidR="0080173C">
        <w:t xml:space="preserve"> look the same as when that person walks while talking.</w:t>
      </w:r>
      <w:r w:rsidR="00570CF5">
        <w:t xml:space="preserve"> Because changes to any of the individual characteristics of gait, </w:t>
      </w:r>
      <w:r w:rsidR="0030141A">
        <w:t>i.e.,</w:t>
      </w:r>
      <w:r w:rsidR="00570CF5">
        <w:t xml:space="preserve"> step length and stride length, affect the velocity of movement, gait velocity </w:t>
      </w:r>
      <w:r w:rsidR="0021063D">
        <w:t>served</w:t>
      </w:r>
      <w:r w:rsidR="002B4644">
        <w:t xml:space="preserve"> as the primary surrogate of </w:t>
      </w:r>
      <w:r w:rsidR="000F370D">
        <w:t>gait automaticity.</w:t>
      </w:r>
    </w:p>
    <w:p w14:paraId="6A8D70E5" w14:textId="735C27E0" w:rsidR="0002422F" w:rsidRDefault="00BA0C6E" w:rsidP="008009D0">
      <w:pPr>
        <w:ind w:left="360"/>
        <w:jc w:val="both"/>
      </w:pPr>
      <w:r w:rsidRPr="00564804">
        <w:rPr>
          <w:b/>
        </w:rPr>
        <w:t>H1:</w:t>
      </w:r>
      <w:r>
        <w:t xml:space="preserve"> </w:t>
      </w:r>
      <w:r w:rsidR="0053528D">
        <w:t>Dual-task g</w:t>
      </w:r>
      <w:r w:rsidR="00D17EEC">
        <w:t xml:space="preserve">ait </w:t>
      </w:r>
      <w:r w:rsidR="00570CF5">
        <w:t>velocity</w:t>
      </w:r>
      <w:r w:rsidR="00D17EEC">
        <w:t xml:space="preserve"> in the </w:t>
      </w:r>
      <w:r w:rsidR="00430601">
        <w:t>on-medication</w:t>
      </w:r>
      <w:r w:rsidR="00D17EEC">
        <w:t xml:space="preserve"> state</w:t>
      </w:r>
      <w:r w:rsidR="00A4146A">
        <w:t xml:space="preserve"> (ON)</w:t>
      </w:r>
      <w:r w:rsidR="00D17EEC">
        <w:t xml:space="preserve"> </w:t>
      </w:r>
      <w:r w:rsidR="00A27ADB">
        <w:t xml:space="preserve">will </w:t>
      </w:r>
      <w:r w:rsidR="00F110AB">
        <w:t>significantly improve</w:t>
      </w:r>
      <w:r w:rsidR="00D17EEC">
        <w:t xml:space="preserve"> from the</w:t>
      </w:r>
      <w:r w:rsidR="0053528D">
        <w:t xml:space="preserve"> single-task</w:t>
      </w:r>
      <w:r w:rsidR="00AE2681">
        <w:t xml:space="preserve"> gait velocity in the</w:t>
      </w:r>
      <w:r w:rsidR="00D17EEC">
        <w:t xml:space="preserve"> </w:t>
      </w:r>
      <w:r w:rsidR="00430601">
        <w:t>off-medication</w:t>
      </w:r>
      <w:r w:rsidR="00D17EEC">
        <w:t xml:space="preserve"> state</w:t>
      </w:r>
      <w:r w:rsidR="00A4146A">
        <w:t xml:space="preserve"> (OFF)</w:t>
      </w:r>
      <w:r w:rsidR="00024221">
        <w:t>.</w:t>
      </w:r>
    </w:p>
    <w:p w14:paraId="4887899C" w14:textId="77CCF1CE" w:rsidR="000D34ED" w:rsidRDefault="000D34ED" w:rsidP="008009D0">
      <w:pPr>
        <w:ind w:left="360"/>
        <w:jc w:val="both"/>
      </w:pPr>
      <w:r w:rsidRPr="00794955">
        <w:rPr>
          <w:b/>
        </w:rPr>
        <w:t xml:space="preserve">Aim </w:t>
      </w:r>
      <w:r w:rsidR="00441A54">
        <w:rPr>
          <w:b/>
        </w:rPr>
        <w:t>2</w:t>
      </w:r>
      <w:r w:rsidRPr="00794955">
        <w:rPr>
          <w:b/>
        </w:rPr>
        <w:t xml:space="preserve">: To investigate the effect of levodopa on the automaticity of </w:t>
      </w:r>
      <w:r w:rsidR="00441A54">
        <w:rPr>
          <w:b/>
        </w:rPr>
        <w:t>standing balance</w:t>
      </w:r>
      <w:r w:rsidRPr="00794955">
        <w:rPr>
          <w:b/>
        </w:rPr>
        <w:t xml:space="preserve"> in PD.</w:t>
      </w:r>
      <w:r w:rsidRPr="0080173C">
        <w:t xml:space="preserve"> </w:t>
      </w:r>
      <w:r>
        <w:t xml:space="preserve">To measure </w:t>
      </w:r>
      <w:r w:rsidR="00C641C7">
        <w:t>standing balance, a DT</w:t>
      </w:r>
      <w:r>
        <w:t xml:space="preserve"> paradigm</w:t>
      </w:r>
      <w:r w:rsidR="00C641C7">
        <w:t xml:space="preserve"> </w:t>
      </w:r>
      <w:r w:rsidR="004222DD">
        <w:t>like that used in</w:t>
      </w:r>
      <w:r w:rsidR="00C641C7">
        <w:t xml:space="preserve"> Aim 1 </w:t>
      </w:r>
      <w:r w:rsidR="008146CB">
        <w:t>was</w:t>
      </w:r>
      <w:r w:rsidR="00C641C7">
        <w:t xml:space="preserve"> </w:t>
      </w:r>
      <w:r w:rsidR="004222DD">
        <w:t>employed</w:t>
      </w:r>
      <w:r w:rsidR="00C641C7">
        <w:t>.</w:t>
      </w:r>
      <w:r>
        <w:t xml:space="preserve"> </w:t>
      </w:r>
      <w:r w:rsidR="00C641C7">
        <w:t xml:space="preserve">Standing balance is also considered an </w:t>
      </w:r>
      <w:r>
        <w:t xml:space="preserve">automatic task, </w:t>
      </w:r>
      <w:r w:rsidR="00C641C7">
        <w:t xml:space="preserve">and the same standard of automaticity suggested in Aim 1 </w:t>
      </w:r>
      <w:r w:rsidR="00624510">
        <w:t>also applies to balance.</w:t>
      </w:r>
      <w:r>
        <w:t xml:space="preserve"> </w:t>
      </w:r>
      <w:r w:rsidR="00624510">
        <w:t>The primary variables of interest involve</w:t>
      </w:r>
      <w:r w:rsidR="00FC4196">
        <w:t>d</w:t>
      </w:r>
      <w:r w:rsidR="00624510">
        <w:t xml:space="preserve"> the behavior of the COP during eyes open</w:t>
      </w:r>
      <w:r w:rsidR="00EB0F02">
        <w:t xml:space="preserve"> (EO)</w:t>
      </w:r>
      <w:r w:rsidR="00624510">
        <w:t xml:space="preserve"> and eyes closed </w:t>
      </w:r>
      <w:r w:rsidR="00EB0F02">
        <w:t xml:space="preserve">(EC) </w:t>
      </w:r>
      <w:r w:rsidR="00624510">
        <w:t>standing conditions</w:t>
      </w:r>
      <w:r>
        <w:t>.</w:t>
      </w:r>
      <w:r w:rsidR="00F04111">
        <w:t xml:space="preserve"> Common COP characteristics of interest include</w:t>
      </w:r>
      <w:r w:rsidR="00583A30">
        <w:t xml:space="preserve"> COP 95% ellipse area (COP</w:t>
      </w:r>
      <w:r w:rsidR="00583A30" w:rsidRPr="00844EE1">
        <w:rPr>
          <w:vertAlign w:val="subscript"/>
        </w:rPr>
        <w:t>area</w:t>
      </w:r>
      <w:r w:rsidR="00583A30">
        <w:t>; the area of an ellipse that contains 95% of the COP path),</w:t>
      </w:r>
      <w:r w:rsidR="00F04111">
        <w:t xml:space="preserve"> </w:t>
      </w:r>
      <w:r w:rsidR="000F13A6">
        <w:t xml:space="preserve">anterior-posterior (AP) </w:t>
      </w:r>
      <w:r w:rsidR="00F04111">
        <w:t xml:space="preserve">and </w:t>
      </w:r>
      <w:r w:rsidR="00FD0D77">
        <w:t>medial</w:t>
      </w:r>
      <w:r w:rsidR="000F13A6">
        <w:t xml:space="preserve">-lateral (ML) </w:t>
      </w:r>
      <w:r w:rsidR="00844EE1">
        <w:t xml:space="preserve">COP </w:t>
      </w:r>
      <w:r w:rsidR="00F04111">
        <w:t>sway</w:t>
      </w:r>
      <w:r w:rsidR="00157DCA">
        <w:t xml:space="preserve"> velocity</w:t>
      </w:r>
      <w:r w:rsidR="00844EE1">
        <w:t xml:space="preserve"> (</w:t>
      </w:r>
      <w:r w:rsidR="00BD28B4">
        <w:t>v</w:t>
      </w:r>
      <w:r w:rsidR="00844EE1">
        <w:t>COP</w:t>
      </w:r>
      <w:r w:rsidR="00844EE1" w:rsidRPr="00844EE1">
        <w:rPr>
          <w:vertAlign w:val="subscript"/>
        </w:rPr>
        <w:t>AP</w:t>
      </w:r>
      <w:r w:rsidR="00844EE1">
        <w:t xml:space="preserve"> and </w:t>
      </w:r>
      <w:r w:rsidR="00BD28B4">
        <w:t>v</w:t>
      </w:r>
      <w:r w:rsidR="00844EE1">
        <w:t>COP</w:t>
      </w:r>
      <w:r w:rsidR="00844EE1" w:rsidRPr="00844EE1">
        <w:rPr>
          <w:vertAlign w:val="subscript"/>
        </w:rPr>
        <w:t>ML</w:t>
      </w:r>
      <w:r w:rsidR="00844EE1">
        <w:t>, respectively)</w:t>
      </w:r>
      <w:r w:rsidR="00583A30">
        <w:t>,</w:t>
      </w:r>
      <w:r w:rsidR="002A0EB4">
        <w:t xml:space="preserve"> and</w:t>
      </w:r>
      <w:r w:rsidR="003C70ED">
        <w:t xml:space="preserve"> time to boundary</w:t>
      </w:r>
      <w:r w:rsidR="00217D61">
        <w:t xml:space="preserve"> estimates</w:t>
      </w:r>
      <w:r w:rsidR="003C70ED">
        <w:t xml:space="preserve"> (TTB; </w:t>
      </w:r>
      <w:r w:rsidR="002A0EB4">
        <w:t xml:space="preserve">the time it would take for the center of pressure to exceed the base of support boundary at a given </w:t>
      </w:r>
      <w:r w:rsidR="00A769A2">
        <w:t>speed and direction</w:t>
      </w:r>
      <w:r w:rsidR="002A0EB4">
        <w:t xml:space="preserve">). </w:t>
      </w:r>
      <w:r w:rsidR="00D700B1">
        <w:t>Because COP</w:t>
      </w:r>
      <w:r w:rsidR="00D700B1" w:rsidRPr="00D700B1">
        <w:rPr>
          <w:vertAlign w:val="subscript"/>
        </w:rPr>
        <w:t>area</w:t>
      </w:r>
      <w:r w:rsidR="00D700B1">
        <w:t xml:space="preserve"> represents the behavior of the COP in both AP and ML directions, COP</w:t>
      </w:r>
      <w:r w:rsidR="00D700B1" w:rsidRPr="00D700B1">
        <w:rPr>
          <w:vertAlign w:val="subscript"/>
        </w:rPr>
        <w:t>area</w:t>
      </w:r>
      <w:r w:rsidR="00D700B1">
        <w:t xml:space="preserve"> </w:t>
      </w:r>
      <w:r w:rsidR="000D6E5F">
        <w:t>was</w:t>
      </w:r>
      <w:r w:rsidR="00D700B1">
        <w:t xml:space="preserve"> used as the primary variable of interest in the </w:t>
      </w:r>
      <w:r w:rsidR="005576E3">
        <w:t xml:space="preserve">assessment of </w:t>
      </w:r>
      <w:r w:rsidR="00D700B1">
        <w:t>balance</w:t>
      </w:r>
      <w:r w:rsidR="005576E3">
        <w:t xml:space="preserve"> automaticity</w:t>
      </w:r>
      <w:r w:rsidR="00D700B1">
        <w:t>.</w:t>
      </w:r>
    </w:p>
    <w:p w14:paraId="472195F8" w14:textId="2C1C3DE5" w:rsidR="000D34ED" w:rsidRDefault="000D34ED" w:rsidP="008009D0">
      <w:pPr>
        <w:ind w:left="360"/>
        <w:jc w:val="both"/>
      </w:pPr>
      <w:r w:rsidRPr="00564804">
        <w:rPr>
          <w:b/>
        </w:rPr>
        <w:lastRenderedPageBreak/>
        <w:t>H</w:t>
      </w:r>
      <w:r w:rsidR="003C70ED">
        <w:rPr>
          <w:b/>
        </w:rPr>
        <w:t>2</w:t>
      </w:r>
      <w:r w:rsidRPr="00564804">
        <w:rPr>
          <w:b/>
        </w:rPr>
        <w:t>:</w:t>
      </w:r>
      <w:r>
        <w:t xml:space="preserve"> </w:t>
      </w:r>
      <w:r w:rsidR="00E62EDE">
        <w:t>COP</w:t>
      </w:r>
      <w:r w:rsidR="00D700B1" w:rsidRPr="00D700B1">
        <w:rPr>
          <w:vertAlign w:val="subscript"/>
        </w:rPr>
        <w:t>area</w:t>
      </w:r>
      <w:r w:rsidR="00D700B1">
        <w:t xml:space="preserve"> </w:t>
      </w:r>
      <w:r>
        <w:t>in the</w:t>
      </w:r>
      <w:r w:rsidR="00C310BF">
        <w:t xml:space="preserve"> dual-task</w:t>
      </w:r>
      <w:r>
        <w:t xml:space="preserve"> on-medication state (ON) </w:t>
      </w:r>
      <w:r w:rsidR="00BD0CBA">
        <w:t xml:space="preserve">will </w:t>
      </w:r>
      <w:r>
        <w:t>significantly improve from the</w:t>
      </w:r>
      <w:r w:rsidR="00C310BF">
        <w:t xml:space="preserve"> single-task</w:t>
      </w:r>
      <w:r w:rsidR="00F80C1D">
        <w:t xml:space="preserve"> </w:t>
      </w:r>
      <w:r>
        <w:t xml:space="preserve">off-medication state (OFF) </w:t>
      </w:r>
      <w:r w:rsidR="00BA08F9">
        <w:t>for both EO and EC conditions</w:t>
      </w:r>
      <w:r>
        <w:t>.</w:t>
      </w:r>
    </w:p>
    <w:p w14:paraId="1FAEA9F3" w14:textId="527F4EA3" w:rsidR="005830FE" w:rsidRPr="005830FE" w:rsidRDefault="00A851F2" w:rsidP="008009D0">
      <w:pPr>
        <w:ind w:left="360"/>
        <w:jc w:val="both"/>
      </w:pPr>
      <w:r w:rsidRPr="008C696D">
        <w:rPr>
          <w:b/>
        </w:rPr>
        <w:t xml:space="preserve">Aim </w:t>
      </w:r>
      <w:r w:rsidR="003C70ED">
        <w:rPr>
          <w:b/>
        </w:rPr>
        <w:t>3</w:t>
      </w:r>
      <w:r w:rsidRPr="008C696D">
        <w:rPr>
          <w:b/>
        </w:rPr>
        <w:t>:</w:t>
      </w:r>
      <w:r>
        <w:t xml:space="preserve"> </w:t>
      </w:r>
      <w:r w:rsidRPr="002E34B8">
        <w:rPr>
          <w:b/>
        </w:rPr>
        <w:t xml:space="preserve">To </w:t>
      </w:r>
      <w:r w:rsidR="001A3EAF" w:rsidRPr="002E34B8">
        <w:rPr>
          <w:b/>
        </w:rPr>
        <w:t>determine the influence of levodopa on the</w:t>
      </w:r>
      <w:r w:rsidR="00E03160">
        <w:rPr>
          <w:b/>
        </w:rPr>
        <w:t xml:space="preserve"> regularity of</w:t>
      </w:r>
      <w:r w:rsidR="00363625">
        <w:rPr>
          <w:b/>
        </w:rPr>
        <w:t xml:space="preserve"> non</w:t>
      </w:r>
      <w:r w:rsidR="001A3EAF" w:rsidRPr="002E34B8">
        <w:rPr>
          <w:b/>
        </w:rPr>
        <w:t>linear</w:t>
      </w:r>
      <w:r w:rsidR="00C562C3">
        <w:rPr>
          <w:b/>
        </w:rPr>
        <w:t>, whole-</w:t>
      </w:r>
      <w:r w:rsidR="00866C35" w:rsidRPr="002E34B8">
        <w:rPr>
          <w:b/>
        </w:rPr>
        <w:t>signal</w:t>
      </w:r>
      <w:r w:rsidR="001A3EAF" w:rsidRPr="002E34B8">
        <w:rPr>
          <w:b/>
        </w:rPr>
        <w:t xml:space="preserve"> </w:t>
      </w:r>
      <w:r w:rsidR="00191076" w:rsidRPr="002E34B8">
        <w:rPr>
          <w:b/>
        </w:rPr>
        <w:t xml:space="preserve">predictability </w:t>
      </w:r>
      <w:r w:rsidR="00430601" w:rsidRPr="002E34B8">
        <w:rPr>
          <w:b/>
        </w:rPr>
        <w:t>characteristics</w:t>
      </w:r>
      <w:r w:rsidR="00C30216" w:rsidRPr="002E34B8">
        <w:rPr>
          <w:b/>
        </w:rPr>
        <w:t xml:space="preserve"> </w:t>
      </w:r>
      <w:r w:rsidR="001A3EAF" w:rsidRPr="002E34B8">
        <w:rPr>
          <w:b/>
        </w:rPr>
        <w:t xml:space="preserve">of </w:t>
      </w:r>
      <w:r w:rsidR="00866C35" w:rsidRPr="002E34B8">
        <w:rPr>
          <w:b/>
        </w:rPr>
        <w:t>joint angles</w:t>
      </w:r>
      <w:r w:rsidR="00200393">
        <w:rPr>
          <w:b/>
        </w:rPr>
        <w:t xml:space="preserve"> and COP path</w:t>
      </w:r>
      <w:r w:rsidR="00866C35" w:rsidRPr="002E34B8">
        <w:rPr>
          <w:b/>
        </w:rPr>
        <w:t xml:space="preserve"> during</w:t>
      </w:r>
      <w:r w:rsidR="00C22953" w:rsidRPr="002E34B8">
        <w:rPr>
          <w:b/>
        </w:rPr>
        <w:t xml:space="preserve"> DT</w:t>
      </w:r>
      <w:r w:rsidR="00866C35" w:rsidRPr="002E34B8">
        <w:rPr>
          <w:b/>
        </w:rPr>
        <w:t xml:space="preserve"> gait</w:t>
      </w:r>
      <w:r w:rsidR="00200393">
        <w:rPr>
          <w:b/>
        </w:rPr>
        <w:t xml:space="preserve"> and balance</w:t>
      </w:r>
      <w:r w:rsidR="00866C35">
        <w:t>.</w:t>
      </w:r>
      <w:r w:rsidR="00C30216">
        <w:t xml:space="preserve"> Specifically, this study investigate</w:t>
      </w:r>
      <w:r w:rsidR="002D1884">
        <w:t>s</w:t>
      </w:r>
      <w:r w:rsidR="00C30216">
        <w:t xml:space="preserve"> </w:t>
      </w:r>
      <w:r w:rsidR="00B868F2">
        <w:t xml:space="preserve">the </w:t>
      </w:r>
      <w:r w:rsidR="0087063F">
        <w:t xml:space="preserve">predictability of these signals by </w:t>
      </w:r>
      <w:r w:rsidR="00111498">
        <w:t>quantifying the</w:t>
      </w:r>
      <w:r w:rsidR="0087063F">
        <w:t xml:space="preserve"> ApE</w:t>
      </w:r>
      <w:r w:rsidR="00D44CB8">
        <w:t>n</w:t>
      </w:r>
      <w:r w:rsidR="006E7270">
        <w:t xml:space="preserve"> </w:t>
      </w:r>
      <w:r w:rsidR="006E7270" w:rsidRPr="00DB00F9">
        <w:t>and percentage of determinism (%DET)</w:t>
      </w:r>
      <w:r w:rsidR="008F4F7B" w:rsidRPr="00DB00F9">
        <w:t xml:space="preserve">, as determined </w:t>
      </w:r>
      <w:r w:rsidR="00DB00F9">
        <w:t>via</w:t>
      </w:r>
      <w:r w:rsidR="008F4F7B" w:rsidRPr="00DB00F9">
        <w:t xml:space="preserve"> RQA,</w:t>
      </w:r>
      <w:r w:rsidR="00D44CB8" w:rsidRPr="00DB00F9">
        <w:t xml:space="preserve"> </w:t>
      </w:r>
      <w:r w:rsidR="00111498">
        <w:t>of</w:t>
      </w:r>
      <w:r w:rsidR="00D44CB8">
        <w:t xml:space="preserve"> joint angles</w:t>
      </w:r>
      <w:r w:rsidR="00DA278E">
        <w:t xml:space="preserve"> (gait)</w:t>
      </w:r>
      <w:r w:rsidR="00B60E63">
        <w:t xml:space="preserve"> and the COP path</w:t>
      </w:r>
      <w:r w:rsidR="00DA278E">
        <w:t xml:space="preserve"> (balance)</w:t>
      </w:r>
      <w:r w:rsidR="0087063F">
        <w:t xml:space="preserve">. </w:t>
      </w:r>
      <w:r w:rsidR="0002422F">
        <w:t xml:space="preserve">The predictability of the joint angles during walking provides an indication of the overall stability of walking. It is already well accepted that PD gait is not only unstable, but also more variable. That is, as PD patients walk, their step-to-step or stride-to-stride variability is significantly larger than would be expected for their age and increased step/stride variability is a marker of gait instability. This phenomenon is </w:t>
      </w:r>
      <w:r w:rsidR="00DE5ACE">
        <w:t xml:space="preserve">sufficiently </w:t>
      </w:r>
      <w:r w:rsidR="0002422F">
        <w:t xml:space="preserve">common in PD that gait instability is one of the cardinal symptoms; and </w:t>
      </w:r>
      <w:r w:rsidR="00430601">
        <w:t>v</w:t>
      </w:r>
      <w:r w:rsidR="00430601" w:rsidRPr="001B11E3">
        <w:t>ariability</w:t>
      </w:r>
      <w:r w:rsidR="0002422F" w:rsidRPr="001B11E3">
        <w:t xml:space="preserve"> in steps</w:t>
      </w:r>
      <w:r w:rsidR="0002422F">
        <w:t>/strides</w:t>
      </w:r>
      <w:r w:rsidR="0002422F" w:rsidRPr="001B11E3">
        <w:t xml:space="preserve"> necessarily stems from variability in</w:t>
      </w:r>
      <w:r w:rsidR="00F80C1D">
        <w:t xml:space="preserve"> </w:t>
      </w:r>
      <w:r w:rsidR="0002422F" w:rsidRPr="001B11E3">
        <w:t>joint angles.</w:t>
      </w:r>
      <w:r w:rsidR="006E1274">
        <w:t xml:space="preserve"> </w:t>
      </w:r>
      <w:r w:rsidR="005830FE" w:rsidRPr="005830FE">
        <w:t>Addit</w:t>
      </w:r>
      <w:r w:rsidR="005830FE">
        <w:t>ionally, the predictability of the COP path</w:t>
      </w:r>
      <w:r w:rsidR="00730CCB">
        <w:t xml:space="preserve"> informs the </w:t>
      </w:r>
      <w:r w:rsidR="006E7F29" w:rsidRPr="006E7F29">
        <w:t>aggregate</w:t>
      </w:r>
      <w:r w:rsidR="00730CCB">
        <w:t xml:space="preserve"> stability of standing balance, which is known to be impaired in PD. Posturography in PD patients indicates inst</w:t>
      </w:r>
      <w:r w:rsidR="007019A7">
        <w:t xml:space="preserve">ability via </w:t>
      </w:r>
      <w:r w:rsidR="002F1BA1">
        <w:t>larger</w:t>
      </w:r>
      <w:r w:rsidR="000D65F5">
        <w:t xml:space="preserve"> than expected COP</w:t>
      </w:r>
      <w:r w:rsidR="000D65F5" w:rsidRPr="00844EE1">
        <w:rPr>
          <w:vertAlign w:val="subscript"/>
        </w:rPr>
        <w:t>area</w:t>
      </w:r>
      <w:r w:rsidR="000D65F5" w:rsidRPr="000D65F5">
        <w:t>,</w:t>
      </w:r>
      <w:r w:rsidR="00A13868">
        <w:t xml:space="preserve"> vCOP</w:t>
      </w:r>
      <w:r w:rsidR="00A13868" w:rsidRPr="00844EE1">
        <w:rPr>
          <w:vertAlign w:val="subscript"/>
        </w:rPr>
        <w:t>AP</w:t>
      </w:r>
      <w:r w:rsidR="006C3EAA" w:rsidRPr="006C3EAA">
        <w:t>,</w:t>
      </w:r>
      <w:r w:rsidR="006C3EAA">
        <w:t xml:space="preserve"> and </w:t>
      </w:r>
      <w:r w:rsidR="00A13868">
        <w:t>vCOP</w:t>
      </w:r>
      <w:r w:rsidR="00A13868">
        <w:rPr>
          <w:vertAlign w:val="subscript"/>
        </w:rPr>
        <w:t>ML</w:t>
      </w:r>
      <w:r w:rsidR="006E7F29">
        <w:t>.</w:t>
      </w:r>
    </w:p>
    <w:p w14:paraId="48AEEADE" w14:textId="7301A706" w:rsidR="006E1274" w:rsidRDefault="006E1274" w:rsidP="008009D0">
      <w:pPr>
        <w:ind w:left="360"/>
        <w:jc w:val="both"/>
      </w:pPr>
      <w:r w:rsidRPr="006E1274">
        <w:t>However, because the impact of medication state on DT-ing in PD is still novel, it is unclear if step and stride variability</w:t>
      </w:r>
      <w:r w:rsidR="006E7F29">
        <w:t xml:space="preserve"> or COP path variability</w:t>
      </w:r>
      <w:r w:rsidRPr="006E1274">
        <w:t xml:space="preserve"> are improved while performing a DT when ON. Additionally, because the coordination of the</w:t>
      </w:r>
      <w:r w:rsidR="00F80C1D">
        <w:t xml:space="preserve"> </w:t>
      </w:r>
      <w:r w:rsidRPr="006E1274">
        <w:t>joints may vary substantially without a significant impact on str</w:t>
      </w:r>
      <w:r w:rsidR="00286173">
        <w:t>ide length or step length means and the size of the COP path (i.e. COP</w:t>
      </w:r>
      <w:r w:rsidR="00286173" w:rsidRPr="00286173">
        <w:rPr>
          <w:vertAlign w:val="subscript"/>
        </w:rPr>
        <w:t>area</w:t>
      </w:r>
      <w:r w:rsidR="00286173">
        <w:t xml:space="preserve">) </w:t>
      </w:r>
      <w:r w:rsidR="006E340B">
        <w:t xml:space="preserve">does not provide an indication of </w:t>
      </w:r>
      <w:r w:rsidR="006E340B">
        <w:lastRenderedPageBreak/>
        <w:t>predictability,</w:t>
      </w:r>
      <w:r w:rsidR="00F80C1D">
        <w:t xml:space="preserve"> </w:t>
      </w:r>
      <w:r w:rsidR="007D7CF0">
        <w:t>measures</w:t>
      </w:r>
      <w:r w:rsidRPr="006E1274">
        <w:t xml:space="preserve"> that </w:t>
      </w:r>
      <w:r w:rsidR="007D7CF0">
        <w:t>are</w:t>
      </w:r>
      <w:r w:rsidRPr="006E1274">
        <w:t xml:space="preserve"> sensitive to changes in variability/predictability, like </w:t>
      </w:r>
      <w:r w:rsidRPr="007D7CF0">
        <w:t>ApEn</w:t>
      </w:r>
      <w:r w:rsidR="00846699" w:rsidRPr="007D7CF0">
        <w:t xml:space="preserve"> and %DET</w:t>
      </w:r>
      <w:r w:rsidRPr="006E1274">
        <w:t xml:space="preserve">, </w:t>
      </w:r>
      <w:r w:rsidR="00C96CB5">
        <w:t>are</w:t>
      </w:r>
      <w:r w:rsidRPr="006E1274">
        <w:t xml:space="preserve"> important to understanding the gait</w:t>
      </w:r>
      <w:r w:rsidR="00286173">
        <w:t xml:space="preserve"> and balance</w:t>
      </w:r>
      <w:r w:rsidRPr="006E1274">
        <w:t xml:space="preserve"> instabil</w:t>
      </w:r>
      <w:r w:rsidR="00286173">
        <w:t>ity that is typically seen in DT-ing conditions</w:t>
      </w:r>
      <w:r w:rsidR="00306D69">
        <w:t xml:space="preserve"> in PD</w:t>
      </w:r>
      <w:r w:rsidRPr="006E1274">
        <w:t>.</w:t>
      </w:r>
      <w:r w:rsidR="008C720D">
        <w:t xml:space="preserve"> </w:t>
      </w:r>
    </w:p>
    <w:p w14:paraId="50A79E4F" w14:textId="351B3395" w:rsidR="00F00CFA" w:rsidRPr="00100E98" w:rsidRDefault="00866C35" w:rsidP="008009D0">
      <w:pPr>
        <w:ind w:left="360"/>
        <w:jc w:val="both"/>
      </w:pPr>
      <w:r w:rsidRPr="007C331E">
        <w:rPr>
          <w:b/>
        </w:rPr>
        <w:t>H</w:t>
      </w:r>
      <w:r w:rsidR="003C70ED">
        <w:rPr>
          <w:b/>
        </w:rPr>
        <w:t>3</w:t>
      </w:r>
      <w:r w:rsidRPr="007C331E">
        <w:rPr>
          <w:b/>
        </w:rPr>
        <w:t>:</w:t>
      </w:r>
      <w:r>
        <w:t xml:space="preserve"> The ApEn will significantly </w:t>
      </w:r>
      <w:r w:rsidR="002D1884">
        <w:t xml:space="preserve">decrease </w:t>
      </w:r>
      <w:r>
        <w:t>(</w:t>
      </w:r>
      <w:r w:rsidR="0030141A">
        <w:t>i.e.,</w:t>
      </w:r>
      <w:r>
        <w:t xml:space="preserve"> more predictable)</w:t>
      </w:r>
      <w:r w:rsidR="00846699">
        <w:t xml:space="preserve"> </w:t>
      </w:r>
      <w:r w:rsidR="00846699" w:rsidRPr="00C96CB5">
        <w:t xml:space="preserve">and %DET will be significantly </w:t>
      </w:r>
      <w:r w:rsidR="002D1884">
        <w:t xml:space="preserve">increase </w:t>
      </w:r>
      <w:r w:rsidR="00C96CB5">
        <w:t>(</w:t>
      </w:r>
      <w:r w:rsidR="0030141A">
        <w:t>i.e.,</w:t>
      </w:r>
      <w:r w:rsidR="00C96CB5">
        <w:t xml:space="preserve"> more regular/deterministic)</w:t>
      </w:r>
      <w:r w:rsidRPr="00C96CB5">
        <w:t xml:space="preserve"> </w:t>
      </w:r>
      <w:r>
        <w:t xml:space="preserve">in </w:t>
      </w:r>
      <w:r w:rsidR="00F95EA1">
        <w:t>DT-</w:t>
      </w:r>
      <w:r w:rsidR="00A4146A">
        <w:t xml:space="preserve">ON </w:t>
      </w:r>
      <w:r>
        <w:t xml:space="preserve">compared with </w:t>
      </w:r>
      <w:r w:rsidR="00CC3EF2">
        <w:t>ST</w:t>
      </w:r>
      <w:r w:rsidR="00F95EA1">
        <w:t>-</w:t>
      </w:r>
      <w:r w:rsidR="00A4146A">
        <w:t>OFF</w:t>
      </w:r>
      <w:r>
        <w:t>.</w:t>
      </w:r>
      <w:r w:rsidR="00917476">
        <w:t xml:space="preserve"> </w:t>
      </w:r>
    </w:p>
    <w:p w14:paraId="6AA694EA" w14:textId="78349833" w:rsidR="00202B2A" w:rsidRPr="00AC77E2" w:rsidRDefault="00202B2A" w:rsidP="008009D0">
      <w:pPr>
        <w:pStyle w:val="Heading2"/>
        <w:jc w:val="both"/>
      </w:pPr>
      <w:bookmarkStart w:id="8" w:name="_Toc527361722"/>
      <w:r w:rsidRPr="00AC77E2">
        <w:t>Significance of the Problem</w:t>
      </w:r>
      <w:bookmarkEnd w:id="8"/>
    </w:p>
    <w:p w14:paraId="2EA51BB0" w14:textId="47784970" w:rsidR="00236E86" w:rsidRPr="00202B2A" w:rsidRDefault="002C1350" w:rsidP="008009D0">
      <w:pPr>
        <w:pStyle w:val="text"/>
        <w:spacing w:line="480" w:lineRule="auto"/>
        <w:ind w:firstLine="0"/>
        <w:rPr>
          <w:rFonts w:ascii="Arial" w:hAnsi="Arial" w:cs="Arial"/>
        </w:rPr>
      </w:pPr>
      <w:r>
        <w:rPr>
          <w:rFonts w:ascii="Arial" w:hAnsi="Arial" w:cs="Arial"/>
        </w:rPr>
        <w:tab/>
      </w:r>
      <w:r w:rsidR="0003450F">
        <w:rPr>
          <w:rFonts w:ascii="Arial" w:hAnsi="Arial" w:cs="Arial"/>
        </w:rPr>
        <w:t>It is</w:t>
      </w:r>
      <w:r w:rsidR="00FE7495">
        <w:rPr>
          <w:rFonts w:ascii="Arial" w:hAnsi="Arial" w:cs="Arial"/>
        </w:rPr>
        <w:t xml:space="preserve"> important to understand </w:t>
      </w:r>
      <w:r w:rsidR="0003450F">
        <w:rPr>
          <w:rFonts w:ascii="Arial" w:hAnsi="Arial" w:cs="Arial"/>
        </w:rPr>
        <w:t xml:space="preserve">how DA-ergic medication mitigates the loss of automaticity in PD, </w:t>
      </w:r>
      <w:r w:rsidR="00FE7495">
        <w:rPr>
          <w:rFonts w:ascii="Arial" w:hAnsi="Arial" w:cs="Arial"/>
        </w:rPr>
        <w:t xml:space="preserve">because </w:t>
      </w:r>
      <w:r w:rsidR="0003450F">
        <w:rPr>
          <w:rFonts w:ascii="Arial" w:hAnsi="Arial" w:cs="Arial"/>
        </w:rPr>
        <w:t>it is the most popular approach to treating</w:t>
      </w:r>
      <w:r w:rsidR="001F0E8C">
        <w:rPr>
          <w:rFonts w:ascii="Arial" w:hAnsi="Arial" w:cs="Arial"/>
        </w:rPr>
        <w:t xml:space="preserve"> the cardinal </w:t>
      </w:r>
      <w:r w:rsidR="0003450F">
        <w:rPr>
          <w:rFonts w:ascii="Arial" w:hAnsi="Arial" w:cs="Arial"/>
        </w:rPr>
        <w:t>symptoms</w:t>
      </w:r>
      <w:r w:rsidR="001F0E8C">
        <w:rPr>
          <w:rFonts w:ascii="Arial" w:hAnsi="Arial" w:cs="Arial"/>
        </w:rPr>
        <w:t xml:space="preserve"> of PD. It</w:t>
      </w:r>
      <w:r w:rsidR="00AE4092">
        <w:rPr>
          <w:rFonts w:ascii="Arial" w:hAnsi="Arial" w:cs="Arial"/>
        </w:rPr>
        <w:t xml:space="preserve"> is</w:t>
      </w:r>
      <w:r w:rsidR="001F0E8C">
        <w:rPr>
          <w:rFonts w:ascii="Arial" w:hAnsi="Arial" w:cs="Arial"/>
        </w:rPr>
        <w:t xml:space="preserve"> well accepted that DA-ergic medications improve PD gait</w:t>
      </w:r>
      <w:r w:rsidR="00AE4092">
        <w:rPr>
          <w:rFonts w:ascii="Arial" w:hAnsi="Arial" w:cs="Arial"/>
        </w:rPr>
        <w:t xml:space="preserve"> in </w:t>
      </w:r>
      <w:r w:rsidR="0012582F">
        <w:rPr>
          <w:rFonts w:ascii="Arial" w:hAnsi="Arial" w:cs="Arial"/>
        </w:rPr>
        <w:t>single task (</w:t>
      </w:r>
      <w:r w:rsidR="00140C45">
        <w:rPr>
          <w:rFonts w:ascii="Arial" w:hAnsi="Arial" w:cs="Arial"/>
        </w:rPr>
        <w:t>ST</w:t>
      </w:r>
      <w:r w:rsidR="0012582F">
        <w:rPr>
          <w:rFonts w:ascii="Arial" w:hAnsi="Arial" w:cs="Arial"/>
        </w:rPr>
        <w:t>)</w:t>
      </w:r>
      <w:r w:rsidR="003C2689">
        <w:rPr>
          <w:rFonts w:ascii="Arial" w:hAnsi="Arial" w:cs="Arial"/>
        </w:rPr>
        <w:t xml:space="preserve"> conditions</w:t>
      </w:r>
      <w:r w:rsidR="001F0E8C">
        <w:rPr>
          <w:rFonts w:ascii="Arial" w:hAnsi="Arial" w:cs="Arial"/>
        </w:rPr>
        <w:t>, but the impact of such medications on</w:t>
      </w:r>
      <w:r w:rsidR="00F87A37">
        <w:rPr>
          <w:rFonts w:ascii="Arial" w:hAnsi="Arial" w:cs="Arial"/>
        </w:rPr>
        <w:t xml:space="preserve"> PD</w:t>
      </w:r>
      <w:r w:rsidR="001F0E8C">
        <w:rPr>
          <w:rFonts w:ascii="Arial" w:hAnsi="Arial" w:cs="Arial"/>
        </w:rPr>
        <w:t xml:space="preserve"> patients’ ability to DT is still unclear. </w:t>
      </w:r>
      <w:r w:rsidR="0003450F">
        <w:rPr>
          <w:rFonts w:ascii="Arial" w:hAnsi="Arial" w:cs="Arial"/>
        </w:rPr>
        <w:t xml:space="preserve">As </w:t>
      </w:r>
      <w:r w:rsidR="00AE4092">
        <w:rPr>
          <w:rFonts w:ascii="Arial" w:hAnsi="Arial" w:cs="Arial"/>
        </w:rPr>
        <w:t xml:space="preserve">previously stated, the linear measures of mean and SD may not be sufficiently sensitive to </w:t>
      </w:r>
      <w:r w:rsidR="005D2599">
        <w:rPr>
          <w:rFonts w:ascii="Arial" w:hAnsi="Arial" w:cs="Arial"/>
        </w:rPr>
        <w:t>address the complexities of PD walking</w:t>
      </w:r>
      <w:r w:rsidR="007A6539">
        <w:rPr>
          <w:rFonts w:ascii="Arial" w:hAnsi="Arial" w:cs="Arial"/>
        </w:rPr>
        <w:t xml:space="preserve"> and balance</w:t>
      </w:r>
      <w:r w:rsidR="005D2599">
        <w:rPr>
          <w:rFonts w:ascii="Arial" w:hAnsi="Arial" w:cs="Arial"/>
        </w:rPr>
        <w:t xml:space="preserve"> during a DT. </w:t>
      </w:r>
      <w:r w:rsidR="00B40088">
        <w:rPr>
          <w:rFonts w:ascii="Arial" w:hAnsi="Arial" w:cs="Arial"/>
        </w:rPr>
        <w:t xml:space="preserve">Furthermore, </w:t>
      </w:r>
      <w:r w:rsidR="007E719F">
        <w:rPr>
          <w:rFonts w:ascii="Arial" w:hAnsi="Arial" w:cs="Arial"/>
        </w:rPr>
        <w:t xml:space="preserve">DT-ing is an integral part of daily living. In fact, </w:t>
      </w:r>
      <w:r w:rsidR="00B40088">
        <w:rPr>
          <w:rFonts w:ascii="Arial" w:hAnsi="Arial" w:cs="Arial"/>
        </w:rPr>
        <w:t>an</w:t>
      </w:r>
      <w:r w:rsidR="007E719F">
        <w:rPr>
          <w:rFonts w:ascii="Arial" w:hAnsi="Arial" w:cs="Arial"/>
        </w:rPr>
        <w:t xml:space="preserve"> argument could be made that appropriate execution of many activities of daily living necessarily requires </w:t>
      </w:r>
      <w:r w:rsidR="00E8549A">
        <w:rPr>
          <w:rFonts w:ascii="Arial" w:hAnsi="Arial" w:cs="Arial"/>
        </w:rPr>
        <w:t xml:space="preserve">efficient </w:t>
      </w:r>
      <w:r w:rsidR="007E719F">
        <w:rPr>
          <w:rFonts w:ascii="Arial" w:hAnsi="Arial" w:cs="Arial"/>
        </w:rPr>
        <w:t>DT</w:t>
      </w:r>
      <w:r w:rsidR="00E8549A">
        <w:rPr>
          <w:rFonts w:ascii="Arial" w:hAnsi="Arial" w:cs="Arial"/>
        </w:rPr>
        <w:t xml:space="preserve">-ing </w:t>
      </w:r>
      <w:r w:rsidR="00B40088">
        <w:rPr>
          <w:rFonts w:ascii="Arial" w:hAnsi="Arial" w:cs="Arial"/>
        </w:rPr>
        <w:t xml:space="preserve">capabilities. And with many </w:t>
      </w:r>
      <w:r w:rsidR="00B40088" w:rsidRPr="00B40088">
        <w:rPr>
          <w:rFonts w:ascii="Arial" w:hAnsi="Arial" w:cs="Arial"/>
          <w:i/>
        </w:rPr>
        <w:t>de novo</w:t>
      </w:r>
      <w:r w:rsidR="00B40088">
        <w:rPr>
          <w:rFonts w:ascii="Arial" w:hAnsi="Arial" w:cs="Arial"/>
        </w:rPr>
        <w:t xml:space="preserve"> patients </w:t>
      </w:r>
      <w:r w:rsidR="00612A91">
        <w:rPr>
          <w:rFonts w:ascii="Arial" w:hAnsi="Arial" w:cs="Arial"/>
        </w:rPr>
        <w:t>opting out of DA-ergic medications until symptoms become sufficiently disabling, it is possible that their ability to DT is also impaired and negatively impacting their ADLs.</w:t>
      </w:r>
      <w:r w:rsidR="00354D1B">
        <w:rPr>
          <w:rFonts w:ascii="Arial" w:hAnsi="Arial" w:cs="Arial"/>
        </w:rPr>
        <w:t xml:space="preserve"> Thus</w:t>
      </w:r>
      <w:r w:rsidR="002B515A">
        <w:rPr>
          <w:rFonts w:ascii="Arial" w:hAnsi="Arial" w:cs="Arial"/>
        </w:rPr>
        <w:t>,</w:t>
      </w:r>
      <w:r w:rsidR="00354D1B">
        <w:rPr>
          <w:rFonts w:ascii="Arial" w:hAnsi="Arial" w:cs="Arial"/>
        </w:rPr>
        <w:t xml:space="preserve"> not understanding the effect of DA on </w:t>
      </w:r>
      <w:r w:rsidR="0095331A">
        <w:rPr>
          <w:rFonts w:ascii="Arial" w:hAnsi="Arial" w:cs="Arial"/>
        </w:rPr>
        <w:t>DT gait</w:t>
      </w:r>
      <w:r w:rsidR="00994795">
        <w:rPr>
          <w:rFonts w:ascii="Arial" w:hAnsi="Arial" w:cs="Arial"/>
        </w:rPr>
        <w:t xml:space="preserve"> and balance</w:t>
      </w:r>
      <w:r w:rsidR="0095331A">
        <w:rPr>
          <w:rFonts w:ascii="Arial" w:hAnsi="Arial" w:cs="Arial"/>
        </w:rPr>
        <w:t xml:space="preserve"> in PD, and to some extent DT ability in general, may lead to some patients attempting</w:t>
      </w:r>
      <w:r w:rsidR="003C5DD3">
        <w:rPr>
          <w:rFonts w:ascii="Arial" w:hAnsi="Arial" w:cs="Arial"/>
        </w:rPr>
        <w:t xml:space="preserve"> </w:t>
      </w:r>
      <w:r w:rsidR="00B6381B">
        <w:rPr>
          <w:rFonts w:ascii="Arial" w:hAnsi="Arial" w:cs="Arial"/>
        </w:rPr>
        <w:t>unsafe</w:t>
      </w:r>
      <w:r w:rsidR="0095331A">
        <w:rPr>
          <w:rFonts w:ascii="Arial" w:hAnsi="Arial" w:cs="Arial"/>
        </w:rPr>
        <w:t xml:space="preserve"> DT </w:t>
      </w:r>
      <w:r w:rsidR="00D129DB">
        <w:rPr>
          <w:rFonts w:ascii="Arial" w:hAnsi="Arial" w:cs="Arial"/>
        </w:rPr>
        <w:t>activities</w:t>
      </w:r>
      <w:r w:rsidR="0095331A">
        <w:rPr>
          <w:rFonts w:ascii="Arial" w:hAnsi="Arial" w:cs="Arial"/>
        </w:rPr>
        <w:t xml:space="preserve"> in an impaired state (</w:t>
      </w:r>
      <w:r w:rsidR="0030141A">
        <w:rPr>
          <w:rFonts w:ascii="Arial" w:hAnsi="Arial" w:cs="Arial"/>
        </w:rPr>
        <w:t>i.e.,</w:t>
      </w:r>
      <w:r w:rsidR="0095331A">
        <w:rPr>
          <w:rFonts w:ascii="Arial" w:hAnsi="Arial" w:cs="Arial"/>
        </w:rPr>
        <w:t xml:space="preserve"> when OFF).</w:t>
      </w:r>
      <w:r w:rsidR="00CA1A9D">
        <w:rPr>
          <w:rFonts w:ascii="Arial" w:hAnsi="Arial" w:cs="Arial"/>
        </w:rPr>
        <w:t xml:space="preserve"> </w:t>
      </w:r>
      <w:r w:rsidR="00E87B86">
        <w:rPr>
          <w:rFonts w:ascii="Arial" w:hAnsi="Arial" w:cs="Arial"/>
        </w:rPr>
        <w:t xml:space="preserve">Additionally, </w:t>
      </w:r>
      <w:r w:rsidR="00B31FEB">
        <w:rPr>
          <w:rFonts w:ascii="Arial" w:hAnsi="Arial" w:cs="Arial"/>
        </w:rPr>
        <w:t xml:space="preserve">better understanding the linear and nonlinear characteristics of DT gait and balance, both ON and OFF, may help </w:t>
      </w:r>
      <w:r w:rsidR="00045072">
        <w:rPr>
          <w:rFonts w:ascii="Arial" w:hAnsi="Arial" w:cs="Arial"/>
        </w:rPr>
        <w:t>researchers</w:t>
      </w:r>
      <w:r w:rsidR="00B31FEB">
        <w:rPr>
          <w:rFonts w:ascii="Arial" w:hAnsi="Arial" w:cs="Arial"/>
        </w:rPr>
        <w:t xml:space="preserve"> better understand the</w:t>
      </w:r>
      <w:r w:rsidR="001B5D09">
        <w:rPr>
          <w:rFonts w:ascii="Arial" w:hAnsi="Arial" w:cs="Arial"/>
        </w:rPr>
        <w:t xml:space="preserve"> </w:t>
      </w:r>
      <w:r w:rsidR="00045072">
        <w:rPr>
          <w:rFonts w:ascii="Arial" w:hAnsi="Arial" w:cs="Arial"/>
        </w:rPr>
        <w:t>occurrences</w:t>
      </w:r>
      <w:r w:rsidR="001B5D09">
        <w:rPr>
          <w:rFonts w:ascii="Arial" w:hAnsi="Arial" w:cs="Arial"/>
        </w:rPr>
        <w:t xml:space="preserve"> of</w:t>
      </w:r>
      <w:r w:rsidR="00B31FEB">
        <w:rPr>
          <w:rFonts w:ascii="Arial" w:hAnsi="Arial" w:cs="Arial"/>
        </w:rPr>
        <w:t xml:space="preserve"> </w:t>
      </w:r>
      <w:r w:rsidR="00B31FEB">
        <w:rPr>
          <w:rFonts w:ascii="Arial" w:hAnsi="Arial" w:cs="Arial"/>
        </w:rPr>
        <w:lastRenderedPageBreak/>
        <w:t>higher risk</w:t>
      </w:r>
      <w:r w:rsidR="001B5D09">
        <w:rPr>
          <w:rFonts w:ascii="Arial" w:hAnsi="Arial" w:cs="Arial"/>
        </w:rPr>
        <w:t>s of falling PD patients experience</w:t>
      </w:r>
      <w:r w:rsidR="00B31FEB">
        <w:rPr>
          <w:rFonts w:ascii="Arial" w:hAnsi="Arial" w:cs="Arial"/>
        </w:rPr>
        <w:t xml:space="preserve">. </w:t>
      </w:r>
      <w:r w:rsidR="00994795">
        <w:rPr>
          <w:rFonts w:ascii="Arial" w:hAnsi="Arial" w:cs="Arial"/>
        </w:rPr>
        <w:t xml:space="preserve">Understanding </w:t>
      </w:r>
      <w:r w:rsidR="00787519">
        <w:rPr>
          <w:rFonts w:ascii="Arial" w:hAnsi="Arial" w:cs="Arial"/>
        </w:rPr>
        <w:t>these characteristics may also</w:t>
      </w:r>
      <w:r w:rsidR="00BA3571">
        <w:rPr>
          <w:rFonts w:ascii="Arial" w:hAnsi="Arial" w:cs="Arial"/>
        </w:rPr>
        <w:t xml:space="preserve"> eventually</w:t>
      </w:r>
      <w:r w:rsidR="00787519">
        <w:rPr>
          <w:rFonts w:ascii="Arial" w:hAnsi="Arial" w:cs="Arial"/>
        </w:rPr>
        <w:t xml:space="preserve"> help therapists </w:t>
      </w:r>
      <w:r w:rsidR="00BA3571">
        <w:rPr>
          <w:rFonts w:ascii="Arial" w:hAnsi="Arial" w:cs="Arial"/>
        </w:rPr>
        <w:t>create or integrate DT aspects into current PD therapies to retrain lost DT ability.</w:t>
      </w:r>
      <w:r w:rsidR="00FB3F2F">
        <w:rPr>
          <w:rFonts w:ascii="Arial" w:hAnsi="Arial" w:cs="Arial"/>
        </w:rPr>
        <w:br w:type="page"/>
      </w:r>
    </w:p>
    <w:p w14:paraId="5C7F98EA" w14:textId="41841607" w:rsidR="001607ED" w:rsidRPr="00EF164C" w:rsidRDefault="009E3FCB" w:rsidP="008009D0">
      <w:pPr>
        <w:pStyle w:val="Heading1"/>
        <w:jc w:val="both"/>
      </w:pPr>
      <w:bookmarkStart w:id="9" w:name="_Toc527361723"/>
      <w:r>
        <w:lastRenderedPageBreak/>
        <w:t>Manuscripts</w:t>
      </w:r>
      <w:r w:rsidR="00E34B9C">
        <w:t xml:space="preserve"> Introduction</w:t>
      </w:r>
      <w:bookmarkEnd w:id="9"/>
    </w:p>
    <w:p w14:paraId="63BED7A7" w14:textId="7EB1E732" w:rsidR="0085307B" w:rsidRPr="00D54472" w:rsidRDefault="00DF0A44" w:rsidP="008009D0">
      <w:pPr>
        <w:pStyle w:val="ListParagraph"/>
        <w:ind w:left="0"/>
        <w:jc w:val="both"/>
        <w:rPr>
          <w:rFonts w:cs="Arial"/>
        </w:rPr>
      </w:pPr>
      <w:r>
        <w:rPr>
          <w:rFonts w:cs="Arial"/>
        </w:rPr>
        <w:tab/>
      </w:r>
      <w:r w:rsidR="003E2475">
        <w:rPr>
          <w:rFonts w:cs="Arial"/>
        </w:rPr>
        <w:t>Below are three manuscripts</w:t>
      </w:r>
      <w:r w:rsidR="00F64D6D">
        <w:rPr>
          <w:rFonts w:cs="Arial"/>
        </w:rPr>
        <w:t>, each addressing on</w:t>
      </w:r>
      <w:r w:rsidR="002D1884">
        <w:rPr>
          <w:rFonts w:cs="Arial"/>
        </w:rPr>
        <w:t>e</w:t>
      </w:r>
      <w:r w:rsidR="00F64D6D">
        <w:rPr>
          <w:rFonts w:cs="Arial"/>
        </w:rPr>
        <w:t xml:space="preserve"> of the </w:t>
      </w:r>
      <w:r w:rsidR="00101E17">
        <w:rPr>
          <w:rFonts w:cs="Arial"/>
        </w:rPr>
        <w:t>aim</w:t>
      </w:r>
      <w:r w:rsidR="00F64D6D">
        <w:rPr>
          <w:rFonts w:cs="Arial"/>
        </w:rPr>
        <w:t>s</w:t>
      </w:r>
      <w:r w:rsidR="00101E17">
        <w:rPr>
          <w:rFonts w:cs="Arial"/>
        </w:rPr>
        <w:t xml:space="preserve"> discussed above,</w:t>
      </w:r>
      <w:r w:rsidR="003E2475">
        <w:rPr>
          <w:rFonts w:cs="Arial"/>
        </w:rPr>
        <w:t xml:space="preserve"> which have been prepared and formatted for submission to</w:t>
      </w:r>
      <w:r w:rsidR="00F05EC0">
        <w:rPr>
          <w:rFonts w:cs="Arial"/>
        </w:rPr>
        <w:t xml:space="preserve"> different</w:t>
      </w:r>
      <w:r w:rsidR="003E2475">
        <w:rPr>
          <w:rFonts w:cs="Arial"/>
        </w:rPr>
        <w:t xml:space="preserve"> refereed journals</w:t>
      </w:r>
      <w:r w:rsidR="00E706EC">
        <w:rPr>
          <w:rFonts w:cs="Arial"/>
        </w:rPr>
        <w:t xml:space="preserve">. </w:t>
      </w:r>
      <w:r w:rsidR="0062008C">
        <w:rPr>
          <w:rFonts w:cs="Arial"/>
        </w:rPr>
        <w:t>As such, minor differences in abstracts and headings</w:t>
      </w:r>
      <w:r w:rsidR="00F05EC0">
        <w:rPr>
          <w:rFonts w:cs="Arial"/>
        </w:rPr>
        <w:t>/subheadings</w:t>
      </w:r>
      <w:r w:rsidR="0062008C">
        <w:rPr>
          <w:rFonts w:cs="Arial"/>
        </w:rPr>
        <w:t xml:space="preserve"> </w:t>
      </w:r>
      <w:r w:rsidR="00F05EC0">
        <w:rPr>
          <w:rFonts w:cs="Arial"/>
        </w:rPr>
        <w:t>may</w:t>
      </w:r>
      <w:r w:rsidR="0062008C">
        <w:rPr>
          <w:rFonts w:cs="Arial"/>
        </w:rPr>
        <w:t xml:space="preserve"> be found. However, in order to comply with college guidelines, and to provide continuity to the entire document, </w:t>
      </w:r>
      <w:r w:rsidR="008474D2">
        <w:rPr>
          <w:rFonts w:cs="Arial"/>
        </w:rPr>
        <w:t xml:space="preserve">tables, figures, and </w:t>
      </w:r>
      <w:r w:rsidR="00F64D6D">
        <w:rPr>
          <w:rFonts w:cs="Arial"/>
        </w:rPr>
        <w:t>heading</w:t>
      </w:r>
      <w:r w:rsidR="00A7438F">
        <w:rPr>
          <w:rFonts w:cs="Arial"/>
        </w:rPr>
        <w:t>s</w:t>
      </w:r>
      <w:r w:rsidR="00F64D6D">
        <w:rPr>
          <w:rFonts w:cs="Arial"/>
        </w:rPr>
        <w:t>/subheading</w:t>
      </w:r>
      <w:r w:rsidR="00A7438F">
        <w:rPr>
          <w:rFonts w:cs="Arial"/>
        </w:rPr>
        <w:t>s</w:t>
      </w:r>
      <w:r w:rsidR="00F64D6D">
        <w:rPr>
          <w:rFonts w:cs="Arial"/>
        </w:rPr>
        <w:t xml:space="preserve"> will </w:t>
      </w:r>
      <w:r w:rsidR="00A00F5B">
        <w:rPr>
          <w:rFonts w:cs="Arial"/>
        </w:rPr>
        <w:t>be</w:t>
      </w:r>
      <w:r w:rsidR="00F64D6D">
        <w:rPr>
          <w:rFonts w:cs="Arial"/>
        </w:rPr>
        <w:t xml:space="preserve"> </w:t>
      </w:r>
      <w:r w:rsidR="00A00F5B">
        <w:rPr>
          <w:rFonts w:cs="Arial"/>
        </w:rPr>
        <w:t>consecutively</w:t>
      </w:r>
      <w:r w:rsidR="00F64D6D">
        <w:rPr>
          <w:rFonts w:cs="Arial"/>
        </w:rPr>
        <w:t xml:space="preserve"> </w:t>
      </w:r>
      <w:r w:rsidR="00A00F5B">
        <w:rPr>
          <w:rFonts w:cs="Arial"/>
        </w:rPr>
        <w:t xml:space="preserve">numbered </w:t>
      </w:r>
      <w:r w:rsidR="00F64D6D">
        <w:rPr>
          <w:rFonts w:cs="Arial"/>
        </w:rPr>
        <w:t xml:space="preserve">and </w:t>
      </w:r>
      <w:r w:rsidR="0062008C">
        <w:rPr>
          <w:rFonts w:cs="Arial"/>
        </w:rPr>
        <w:t>referencing will be combined in both style and numbering so that only one reference list at the end of the entire</w:t>
      </w:r>
      <w:r w:rsidR="00486E55">
        <w:rPr>
          <w:rFonts w:cs="Arial"/>
        </w:rPr>
        <w:t xml:space="preserve"> dissertation</w:t>
      </w:r>
      <w:r w:rsidR="0062008C">
        <w:rPr>
          <w:rFonts w:cs="Arial"/>
        </w:rPr>
        <w:t xml:space="preserve"> document will be shown. </w:t>
      </w:r>
      <w:r w:rsidR="00687D5F">
        <w:rPr>
          <w:rFonts w:cs="Arial"/>
        </w:rPr>
        <w:t>Additionally, figure captions will accompany the figures at the end of each manuscript.</w:t>
      </w:r>
    </w:p>
    <w:p w14:paraId="5485DD36" w14:textId="246CAD87" w:rsidR="00C4703F" w:rsidRPr="002A146B" w:rsidRDefault="00D009DF" w:rsidP="008009D0">
      <w:pPr>
        <w:pStyle w:val="ListParagraph"/>
        <w:ind w:left="0"/>
        <w:jc w:val="both"/>
        <w:rPr>
          <w:rFonts w:cs="Arial"/>
          <w:color w:val="FF0000"/>
        </w:rPr>
      </w:pPr>
      <w:r>
        <w:rPr>
          <w:rFonts w:cs="Arial"/>
          <w:color w:val="FF0000"/>
        </w:rPr>
        <w:br w:type="page"/>
      </w:r>
    </w:p>
    <w:p w14:paraId="12B27ACB" w14:textId="32F8132C" w:rsidR="009E7625" w:rsidRPr="00AC77E2" w:rsidRDefault="00DA159B" w:rsidP="008009D0">
      <w:pPr>
        <w:pStyle w:val="Heading1"/>
        <w:jc w:val="both"/>
      </w:pPr>
      <w:bookmarkStart w:id="10" w:name="_Toc527361724"/>
      <w:r w:rsidRPr="00AC77E2">
        <w:lastRenderedPageBreak/>
        <w:t>Manuscript 1</w:t>
      </w:r>
      <w:r w:rsidR="0041190C" w:rsidRPr="00AC77E2">
        <w:t>, Gait Automaticity</w:t>
      </w:r>
      <w:bookmarkEnd w:id="10"/>
    </w:p>
    <w:p w14:paraId="2CA01754" w14:textId="31A571C8" w:rsidR="00D009DF" w:rsidRPr="00D009DF" w:rsidRDefault="00D009DF" w:rsidP="008009D0">
      <w:pPr>
        <w:pStyle w:val="Heading2"/>
        <w:jc w:val="both"/>
      </w:pPr>
      <w:bookmarkStart w:id="11" w:name="_Toc527361725"/>
      <w:r w:rsidRPr="00D009DF">
        <w:t>Title Page</w:t>
      </w:r>
      <w:bookmarkEnd w:id="11"/>
    </w:p>
    <w:p w14:paraId="14ABBD33" w14:textId="77777777" w:rsidR="00D009DF" w:rsidRPr="00864B56" w:rsidRDefault="00D009DF" w:rsidP="008009D0">
      <w:pPr>
        <w:jc w:val="both"/>
      </w:pPr>
      <w:r w:rsidRPr="00864B56">
        <w:t xml:space="preserve">Title: The Influence of Dopaminergic Medication on </w:t>
      </w:r>
      <w:r>
        <w:t>Gait Automaticity</w:t>
      </w:r>
      <w:r w:rsidRPr="00864B56">
        <w:t xml:space="preserve"> in Parkinson’s Disease.</w:t>
      </w:r>
    </w:p>
    <w:p w14:paraId="1B86032E" w14:textId="1FF844B6" w:rsidR="00D009DF" w:rsidRPr="005C36F0" w:rsidRDefault="00D009DF" w:rsidP="008009D0">
      <w:pPr>
        <w:jc w:val="both"/>
      </w:pPr>
      <w:r w:rsidRPr="00864B56">
        <w:t>Workman, Craig D.</w:t>
      </w:r>
      <w:r w:rsidRPr="00864B56">
        <w:rPr>
          <w:vertAlign w:val="superscript"/>
        </w:rPr>
        <w:t>a,b,</w:t>
      </w:r>
      <w:r w:rsidRPr="00864B56">
        <w:t>*, Thrasher, T. Adam</w:t>
      </w:r>
      <w:r w:rsidRPr="00864B56">
        <w:rPr>
          <w:vertAlign w:val="superscript"/>
        </w:rPr>
        <w:t>a,b</w:t>
      </w:r>
    </w:p>
    <w:p w14:paraId="7F34B148" w14:textId="77777777" w:rsidR="00D009DF" w:rsidRPr="00864B56" w:rsidRDefault="00D009DF" w:rsidP="008009D0">
      <w:pPr>
        <w:jc w:val="both"/>
      </w:pPr>
      <w:r w:rsidRPr="00864B56">
        <w:rPr>
          <w:vertAlign w:val="superscript"/>
        </w:rPr>
        <w:t>a</w:t>
      </w:r>
      <w:r w:rsidRPr="00864B56">
        <w:t>Department of Health and Human Performance, University of Houston, 3855 Holman Street, 104 Garrison Gym, Houston, TX,</w:t>
      </w:r>
      <w:r>
        <w:t xml:space="preserve"> 77204</w:t>
      </w:r>
      <w:r w:rsidRPr="00864B56">
        <w:t xml:space="preserve"> USA.</w:t>
      </w:r>
    </w:p>
    <w:p w14:paraId="2382127E" w14:textId="77777777" w:rsidR="00D009DF" w:rsidRPr="00864B56" w:rsidRDefault="00D009DF" w:rsidP="008009D0">
      <w:pPr>
        <w:jc w:val="both"/>
      </w:pPr>
      <w:r w:rsidRPr="00864B56">
        <w:rPr>
          <w:vertAlign w:val="superscript"/>
        </w:rPr>
        <w:t>b</w:t>
      </w:r>
      <w:r w:rsidRPr="00864B56">
        <w:t xml:space="preserve">Center for Neuromotor and Biomechanics Research, </w:t>
      </w:r>
      <w:r>
        <w:t>4733 Wheeler Ave,</w:t>
      </w:r>
      <w:r w:rsidRPr="00864B56">
        <w:t xml:space="preserve"> Houston, TX </w:t>
      </w:r>
      <w:r>
        <w:t xml:space="preserve">77204 </w:t>
      </w:r>
      <w:r w:rsidRPr="00864B56">
        <w:t>USA.</w:t>
      </w:r>
    </w:p>
    <w:p w14:paraId="500C1EA6" w14:textId="77777777" w:rsidR="00D009DF" w:rsidRPr="00864B56" w:rsidRDefault="00D009DF" w:rsidP="008009D0">
      <w:pPr>
        <w:pStyle w:val="NormalWeb"/>
        <w:spacing w:before="0" w:beforeAutospacing="0" w:after="0" w:afterAutospacing="0" w:line="480" w:lineRule="auto"/>
        <w:jc w:val="both"/>
        <w:rPr>
          <w:rFonts w:cs="Arial"/>
        </w:rPr>
      </w:pPr>
    </w:p>
    <w:p w14:paraId="7C00ACF4" w14:textId="77777777" w:rsidR="00D009DF" w:rsidRPr="00864B56" w:rsidRDefault="00D009DF" w:rsidP="008009D0">
      <w:pPr>
        <w:pStyle w:val="NormalWeb"/>
        <w:spacing w:before="0" w:beforeAutospacing="0" w:after="0" w:afterAutospacing="0" w:line="480" w:lineRule="auto"/>
        <w:jc w:val="both"/>
        <w:rPr>
          <w:rFonts w:cs="Arial"/>
        </w:rPr>
      </w:pPr>
      <w:r w:rsidRPr="00864B56">
        <w:rPr>
          <w:rFonts w:cs="Arial"/>
        </w:rPr>
        <w:t>*Corresponding author: Tel.:</w:t>
      </w:r>
      <w:r w:rsidRPr="00864B56">
        <w:rPr>
          <w:rFonts w:cs="Arial"/>
          <w:shd w:val="clear" w:color="auto" w:fill="FFFFFF"/>
        </w:rPr>
        <w:t xml:space="preserve"> </w:t>
      </w:r>
      <w:r w:rsidRPr="00864B56">
        <w:rPr>
          <w:rFonts w:cs="Arial"/>
        </w:rPr>
        <w:t>713-743-5276; fax: 713-743-9860</w:t>
      </w:r>
    </w:p>
    <w:p w14:paraId="40F80700" w14:textId="77777777" w:rsidR="00D009DF" w:rsidRPr="00864B56" w:rsidRDefault="00D009DF" w:rsidP="008009D0">
      <w:pPr>
        <w:pStyle w:val="NormalWeb"/>
        <w:spacing w:before="0" w:beforeAutospacing="0" w:after="0" w:afterAutospacing="0" w:line="480" w:lineRule="auto"/>
        <w:jc w:val="both"/>
        <w:rPr>
          <w:rFonts w:cs="Arial"/>
        </w:rPr>
      </w:pPr>
      <w:r w:rsidRPr="00864B56">
        <w:rPr>
          <w:rFonts w:cs="Arial"/>
          <w:i/>
        </w:rPr>
        <w:t>E-mail addresses</w:t>
      </w:r>
      <w:r w:rsidRPr="00864B56">
        <w:rPr>
          <w:rFonts w:cs="Arial"/>
        </w:rPr>
        <w:t>: cdworkman@uh.edu (C.D. Workman), athrashe@central.uh.edu (T.A. Thrasher)</w:t>
      </w:r>
    </w:p>
    <w:p w14:paraId="0631564F" w14:textId="77777777" w:rsidR="00D009DF" w:rsidRPr="00864B56" w:rsidRDefault="00D009DF" w:rsidP="008009D0">
      <w:pPr>
        <w:pStyle w:val="NormalWeb"/>
        <w:spacing w:before="0" w:beforeAutospacing="0" w:after="0" w:afterAutospacing="0" w:line="480" w:lineRule="auto"/>
        <w:jc w:val="both"/>
        <w:rPr>
          <w:rFonts w:cs="Arial"/>
          <w:shd w:val="clear" w:color="auto" w:fill="FFFFFF"/>
        </w:rPr>
      </w:pPr>
    </w:p>
    <w:p w14:paraId="2DC8B6DE" w14:textId="77777777" w:rsidR="00D009DF" w:rsidRPr="00864B56" w:rsidRDefault="00D009DF" w:rsidP="008009D0">
      <w:pPr>
        <w:pStyle w:val="NormalWeb"/>
        <w:spacing w:before="0" w:beforeAutospacing="0" w:after="0" w:afterAutospacing="0" w:line="480" w:lineRule="auto"/>
        <w:jc w:val="both"/>
        <w:rPr>
          <w:rFonts w:cs="Arial"/>
          <w:shd w:val="clear" w:color="auto" w:fill="FFFFFF"/>
        </w:rPr>
      </w:pPr>
    </w:p>
    <w:p w14:paraId="480AE977" w14:textId="7D606393" w:rsidR="00D009DF" w:rsidRPr="00864B56" w:rsidRDefault="00325D1A" w:rsidP="008009D0">
      <w:pPr>
        <w:pStyle w:val="NormalWeb"/>
        <w:spacing w:before="0" w:beforeAutospacing="0" w:after="0" w:afterAutospacing="0" w:line="480" w:lineRule="auto"/>
        <w:jc w:val="both"/>
        <w:rPr>
          <w:rFonts w:cs="Arial"/>
          <w:shd w:val="clear" w:color="auto" w:fill="FFFFFF"/>
        </w:rPr>
      </w:pPr>
      <w:r w:rsidRPr="0096728D">
        <w:rPr>
          <w:rFonts w:cs="Arial"/>
          <w:shd w:val="clear" w:color="auto" w:fill="FFFFFF"/>
        </w:rPr>
        <w:t>Acknowledgements: This research did not receive any specific grant from funding agencies in the public, commercial, or not-for-profit sectors. The authors would like to thank Ram Kinker Mishra, Raul Amador, and Hyder Jassim for their assistance during data collection. Also, Christopher J. Arellano, Beom-Chan Lee and Mon Bryant for proofreading the manuscript. Lastly, the Kingwood, North Houston, and The Woodlands locations of Rock Steady Boxing chapters for their assistance with subject recruitment.</w:t>
      </w:r>
      <w:r w:rsidR="003D4E08">
        <w:rPr>
          <w:rFonts w:cs="Arial"/>
          <w:shd w:val="clear" w:color="auto" w:fill="FFFFFF"/>
        </w:rPr>
        <w:br w:type="page"/>
      </w:r>
    </w:p>
    <w:p w14:paraId="12BAC0F7" w14:textId="77777777" w:rsidR="00D009DF" w:rsidRPr="00FC2950" w:rsidRDefault="00D009DF" w:rsidP="008009D0">
      <w:pPr>
        <w:pStyle w:val="Heading2"/>
        <w:jc w:val="both"/>
      </w:pPr>
      <w:bookmarkStart w:id="12" w:name="_Toc527361726"/>
      <w:r w:rsidRPr="00FC2950">
        <w:lastRenderedPageBreak/>
        <w:t>Abstract</w:t>
      </w:r>
      <w:bookmarkEnd w:id="12"/>
    </w:p>
    <w:p w14:paraId="3108456E" w14:textId="4B74CD6D" w:rsidR="00D009DF" w:rsidRPr="00864B56" w:rsidRDefault="00B547C0" w:rsidP="008009D0">
      <w:pPr>
        <w:pStyle w:val="NormalWeb"/>
        <w:spacing w:before="0" w:beforeAutospacing="0" w:after="0" w:afterAutospacing="0" w:line="480" w:lineRule="auto"/>
        <w:jc w:val="both"/>
        <w:rPr>
          <w:rFonts w:cs="Arial"/>
          <w:shd w:val="clear" w:color="auto" w:fill="FFFFFF"/>
        </w:rPr>
      </w:pPr>
      <w:r w:rsidRPr="00A05A09">
        <w:rPr>
          <w:rFonts w:cs="Arial"/>
          <w:b/>
          <w:shd w:val="clear" w:color="auto" w:fill="FFFFFF"/>
        </w:rPr>
        <w:t xml:space="preserve">Background: </w:t>
      </w:r>
      <w:r w:rsidRPr="00A05A09">
        <w:rPr>
          <w:rFonts w:cs="Arial"/>
          <w:shd w:val="clear" w:color="auto" w:fill="FFFFFF"/>
        </w:rPr>
        <w:t>Dual-tasking studies have shown that gait automaticity in Parkinson’s disease (PD) is significantly diminished. Additionally, it’s well accepted that dopaminergic medication improves single-task gait. But, how dopaminergic medication influences gait automaticity in PD has not been sufficiently understood.</w:t>
      </w:r>
      <w:r w:rsidRPr="00A05A09">
        <w:rPr>
          <w:rFonts w:cs="Arial"/>
          <w:b/>
          <w:shd w:val="clear" w:color="auto" w:fill="FFFFFF"/>
        </w:rPr>
        <w:t xml:space="preserve"> Research Question: </w:t>
      </w:r>
      <w:r w:rsidRPr="00A05A09">
        <w:rPr>
          <w:rFonts w:cs="Arial"/>
          <w:shd w:val="clear" w:color="auto" w:fill="FFFFFF"/>
        </w:rPr>
        <w:t>Does dopaminergic medication improve gait automaticity and dual-tasking in PD?</w:t>
      </w:r>
      <w:r w:rsidRPr="00A05A09">
        <w:rPr>
          <w:rFonts w:cs="Arial"/>
          <w:b/>
          <w:shd w:val="clear" w:color="auto" w:fill="FFFFFF"/>
        </w:rPr>
        <w:t xml:space="preserve"> Methods: </w:t>
      </w:r>
      <w:r w:rsidRPr="00A05A09">
        <w:rPr>
          <w:rFonts w:cs="Arial"/>
          <w:shd w:val="clear" w:color="auto" w:fill="FFFFFF"/>
        </w:rPr>
        <w:t xml:space="preserve">This study </w:t>
      </w:r>
      <w:r w:rsidR="00AB3878">
        <w:rPr>
          <w:rFonts w:cs="Arial"/>
          <w:shd w:val="clear" w:color="auto" w:fill="FFFFFF"/>
        </w:rPr>
        <w:t>was</w:t>
      </w:r>
      <w:r w:rsidR="00AB3878" w:rsidRPr="00A05A09">
        <w:rPr>
          <w:rFonts w:cs="Arial"/>
          <w:shd w:val="clear" w:color="auto" w:fill="FFFFFF"/>
        </w:rPr>
        <w:t xml:space="preserve"> </w:t>
      </w:r>
      <w:r w:rsidRPr="00A05A09">
        <w:rPr>
          <w:rFonts w:cs="Arial"/>
          <w:shd w:val="clear" w:color="auto" w:fill="FFFFFF"/>
        </w:rPr>
        <w:t>a cross-sectional design, where sixteen subjects with PD completed single- and dual-task walking for 3 minutes off and on medication. Gait velocity, cadence, and stride length were measured. Kinematic variables included mean, maximum, and SD angles of bilateral hip, knee, and shoulder joints. Data were analyzed with a repeated measures ANOVA</w:t>
      </w:r>
      <w:r>
        <w:rPr>
          <w:rFonts w:cs="Arial"/>
          <w:shd w:val="clear" w:color="auto" w:fill="FFFFFF"/>
        </w:rPr>
        <w:t xml:space="preserve"> and a linear mixed effects repeated measures model</w:t>
      </w:r>
      <w:r w:rsidRPr="00A05A09">
        <w:rPr>
          <w:rFonts w:cs="Arial"/>
          <w:shd w:val="clear" w:color="auto" w:fill="FFFFFF"/>
        </w:rPr>
        <w:t>.</w:t>
      </w:r>
      <w:r w:rsidRPr="00A05A09">
        <w:rPr>
          <w:rFonts w:cs="Arial"/>
          <w:b/>
          <w:shd w:val="clear" w:color="auto" w:fill="FFFFFF"/>
        </w:rPr>
        <w:t xml:space="preserve"> Results:</w:t>
      </w:r>
      <w:r w:rsidRPr="00D26184">
        <w:rPr>
          <w:rFonts w:cs="Arial"/>
          <w:shd w:val="clear" w:color="auto" w:fill="FFFFFF"/>
        </w:rPr>
        <w:t xml:space="preserve"> </w:t>
      </w:r>
      <w:r w:rsidRPr="00A05A09">
        <w:rPr>
          <w:rFonts w:cs="Arial"/>
          <w:shd w:val="clear" w:color="auto" w:fill="FFFFFF"/>
        </w:rPr>
        <w:t>Dopaminergic medication significantly increased gait velocity (p = 0.007), stride length (p = 0.046)</w:t>
      </w:r>
      <w:r>
        <w:rPr>
          <w:rFonts w:cs="Arial"/>
          <w:shd w:val="clear" w:color="auto" w:fill="FFFFFF"/>
        </w:rPr>
        <w:t>. After controlling for gait velocity, s</w:t>
      </w:r>
      <w:r w:rsidRPr="00A05A09">
        <w:rPr>
          <w:rFonts w:cs="Arial"/>
          <w:shd w:val="clear" w:color="auto" w:fill="FFFFFF"/>
        </w:rPr>
        <w:t>everal kinematic variables</w:t>
      </w:r>
      <w:r>
        <w:rPr>
          <w:rFonts w:cs="Arial"/>
          <w:shd w:val="clear" w:color="auto" w:fill="FFFFFF"/>
        </w:rPr>
        <w:t xml:space="preserve"> were also improved with medication</w:t>
      </w:r>
      <w:r w:rsidRPr="00A05A09">
        <w:rPr>
          <w:rFonts w:cs="Arial"/>
          <w:shd w:val="clear" w:color="auto" w:fill="FFFFFF"/>
        </w:rPr>
        <w:t>. Despite medication state, dual-tasking significantly interfered with cadence (p = 0.042), stride length (p &lt; 0.001), and some kinematic measures, Dopaminergic medication mostly increased the hip and knee joint angles, while dual-tasking primarily decreased the hip joint angles</w:t>
      </w:r>
      <w:r>
        <w:rPr>
          <w:rFonts w:cs="Arial"/>
          <w:shd w:val="clear" w:color="auto" w:fill="FFFFFF"/>
        </w:rPr>
        <w:t xml:space="preserve"> on the less PD-affected side</w:t>
      </w:r>
      <w:r w:rsidRPr="00A05A09">
        <w:rPr>
          <w:rFonts w:cs="Arial"/>
          <w:shd w:val="clear" w:color="auto" w:fill="FFFFFF"/>
        </w:rPr>
        <w:t xml:space="preserve">. There </w:t>
      </w:r>
      <w:r w:rsidR="000E7171">
        <w:rPr>
          <w:rFonts w:cs="Arial"/>
          <w:shd w:val="clear" w:color="auto" w:fill="FFFFFF"/>
        </w:rPr>
        <w:t>was</w:t>
      </w:r>
      <w:r w:rsidR="000E7171" w:rsidRPr="00A05A09">
        <w:rPr>
          <w:rFonts w:cs="Arial"/>
          <w:shd w:val="clear" w:color="auto" w:fill="FFFFFF"/>
        </w:rPr>
        <w:t xml:space="preserve"> </w:t>
      </w:r>
      <w:r w:rsidRPr="00A05A09">
        <w:rPr>
          <w:rFonts w:cs="Arial"/>
          <w:shd w:val="clear" w:color="auto" w:fill="FFFFFF"/>
        </w:rPr>
        <w:t>no significant</w:t>
      </w:r>
      <w:r w:rsidR="000E7171">
        <w:rPr>
          <w:rFonts w:cs="Arial"/>
          <w:shd w:val="clear" w:color="auto" w:fill="FFFFFF"/>
        </w:rPr>
        <w:t xml:space="preserve"> interaction between</w:t>
      </w:r>
      <w:r w:rsidRPr="00A05A09">
        <w:rPr>
          <w:rFonts w:cs="Arial"/>
          <w:shd w:val="clear" w:color="auto" w:fill="FFFFFF"/>
        </w:rPr>
        <w:t xml:space="preserve"> medication</w:t>
      </w:r>
      <w:r w:rsidR="000E7171">
        <w:rPr>
          <w:rFonts w:cs="Arial"/>
          <w:shd w:val="clear" w:color="auto" w:fill="FFFFFF"/>
        </w:rPr>
        <w:t xml:space="preserve"> status and</w:t>
      </w:r>
      <w:r w:rsidRPr="00A05A09">
        <w:rPr>
          <w:rFonts w:cs="Arial"/>
          <w:shd w:val="clear" w:color="auto" w:fill="FFFFFF"/>
        </w:rPr>
        <w:t xml:space="preserve"> task </w:t>
      </w:r>
      <w:r w:rsidR="000E7171">
        <w:rPr>
          <w:rFonts w:cs="Arial"/>
          <w:shd w:val="clear" w:color="auto" w:fill="FFFFFF"/>
        </w:rPr>
        <w:t>condition</w:t>
      </w:r>
      <w:r w:rsidRPr="00A05A09">
        <w:rPr>
          <w:rFonts w:cs="Arial"/>
          <w:shd w:val="clear" w:color="auto" w:fill="FFFFFF"/>
        </w:rPr>
        <w:t xml:space="preserve">. </w:t>
      </w:r>
      <w:r w:rsidRPr="00A05A09">
        <w:rPr>
          <w:rFonts w:cs="Arial"/>
          <w:b/>
          <w:shd w:val="clear" w:color="auto" w:fill="FFFFFF"/>
        </w:rPr>
        <w:t xml:space="preserve">Significance: </w:t>
      </w:r>
      <w:r w:rsidRPr="00A05A09">
        <w:rPr>
          <w:rFonts w:cs="Arial"/>
          <w:shd w:val="clear" w:color="auto" w:fill="FFFFFF"/>
        </w:rPr>
        <w:t>The significant differences in dual-tasking between off- and on-medication states indicates that motor improvements from taking medications improved dual-tasking. However, the lack of significant interactions and secondary task effects does not support a medication-induced improvement in automaticity.</w:t>
      </w:r>
    </w:p>
    <w:p w14:paraId="790DDA39" w14:textId="241ECC8D" w:rsidR="00D009DF" w:rsidRPr="00864B56" w:rsidRDefault="00D009DF" w:rsidP="008009D0">
      <w:pPr>
        <w:pStyle w:val="NormalWeb"/>
        <w:spacing w:before="0" w:beforeAutospacing="0" w:after="0" w:afterAutospacing="0" w:line="480" w:lineRule="auto"/>
        <w:jc w:val="both"/>
        <w:rPr>
          <w:rFonts w:cs="Arial"/>
          <w:shd w:val="clear" w:color="auto" w:fill="FFFFFF"/>
        </w:rPr>
      </w:pPr>
      <w:r w:rsidRPr="00864B56">
        <w:rPr>
          <w:rFonts w:cs="Arial"/>
          <w:shd w:val="clear" w:color="auto" w:fill="FFFFFF"/>
        </w:rPr>
        <w:t>Keywords: Parkinson’s disease, gait, dual-task, medication, kinematics</w:t>
      </w:r>
      <w:r w:rsidR="00A5569F">
        <w:rPr>
          <w:rFonts w:cs="Arial"/>
          <w:shd w:val="clear" w:color="auto" w:fill="FFFFFF"/>
        </w:rPr>
        <w:br w:type="page"/>
      </w:r>
    </w:p>
    <w:p w14:paraId="49342891" w14:textId="12E6ECAE" w:rsidR="00D009DF" w:rsidRPr="00FC2950" w:rsidRDefault="00D009DF" w:rsidP="008009D0">
      <w:pPr>
        <w:pStyle w:val="Heading2"/>
        <w:jc w:val="both"/>
      </w:pPr>
      <w:bookmarkStart w:id="13" w:name="_Toc527361727"/>
      <w:r w:rsidRPr="00FC2950">
        <w:lastRenderedPageBreak/>
        <w:t>Introduction</w:t>
      </w:r>
      <w:bookmarkEnd w:id="13"/>
      <w:r w:rsidRPr="00FC2950">
        <w:t xml:space="preserve"> </w:t>
      </w:r>
    </w:p>
    <w:p w14:paraId="06D46284" w14:textId="77777777" w:rsidR="000346B2" w:rsidRPr="00BB66C5" w:rsidRDefault="00D009DF" w:rsidP="008009D0">
      <w:pPr>
        <w:jc w:val="both"/>
      </w:pPr>
      <w:r>
        <w:tab/>
      </w:r>
      <w:r w:rsidR="000346B2" w:rsidRPr="00BB66C5">
        <w:t>Parkinson’s disease (PD) is a degenerative neurological movement disorder. It is the second most prevalent neurodegenerative disorder, affecting approximately 1 million people in the US</w:t>
      </w:r>
      <w:r w:rsidR="000346B2">
        <w:t xml:space="preserve"> </w:t>
      </w:r>
      <w:r w:rsidR="000346B2" w:rsidRPr="00BB66C5">
        <w:fldChar w:fldCharType="begin" w:fldLock="1"/>
      </w:r>
      <w:r w:rsidR="000346B2">
        <w:instrText>ADDIN CSL_CITATION {"citationItems":[{"id":"ITEM-1","itemData":{"DOI":"10.1016/S1474-4422(06)70471-9","ISBN":"9780444519009","ISSN":"14744422","PMID":"16713924","abstract":"The causes of Parkinson's disease (PD), the second most common neurodegenerative disorder, are still largely unknown. Current thinking is that major gene mutations cause only a small proportion of all cases and that in most cases, non-genetic factors play a part, probably in interaction with susceptibility genes. Numerous epidemiological studies have been done to identify such non-genetic risk factors, but most were small and methodologically limited. Larger, well-designed prospective cohort studies have only recently reached a stage at which they have enough incident patients and person-years of follow-up to investigate possible risk factors and their interactions. In this article, we review what is known about the prevalence, incidence, risk factors, and prognosis of PD from epidemiological studies.","author":[{"dropping-particle":"","family":"Lau","given":"Lonneke ML","non-dropping-particle":"de","parse-names":false,"suffix":""},{"dropping-particle":"","family":"Breteler","given":"Monique MB","non-dropping-particle":"","parse-names":false,"suffix":""}],"container-title":"The Lancet Neurology","id":"ITEM-1","issue":"6","issued":{"date-parts":[["2006","6"]]},"page":"525-535","title":"Epidemiology of Parkinson's disease","type":"article-journal","volume":"5"},"uris":["http://www.mendeley.com/documents/?uuid=f3b57e68-747d-421c-9dff-dc3ac4dd09ad"]}],"mendeley":{"formattedCitation":"[1]","plainTextFormattedCitation":"[1]","previouslyFormattedCitation":"[1]"},"properties":{"noteIndex":0},"schema":"https://github.com/citation-style-language/schema/raw/master/csl-citation.json"}</w:instrText>
      </w:r>
      <w:r w:rsidR="000346B2" w:rsidRPr="00BB66C5">
        <w:fldChar w:fldCharType="separate"/>
      </w:r>
      <w:r w:rsidR="000346B2" w:rsidRPr="0011317B">
        <w:rPr>
          <w:noProof/>
        </w:rPr>
        <w:t>[1]</w:t>
      </w:r>
      <w:r w:rsidR="000346B2" w:rsidRPr="00BB66C5">
        <w:fldChar w:fldCharType="end"/>
      </w:r>
      <w:r w:rsidR="000346B2" w:rsidRPr="00BB66C5">
        <w:t>. The causes of PD are not well understood; most cases are classified as idiopathic</w:t>
      </w:r>
      <w:r w:rsidR="000346B2">
        <w:t xml:space="preserve"> </w:t>
      </w:r>
      <w:r w:rsidR="000346B2" w:rsidRPr="00BB66C5">
        <w:fldChar w:fldCharType="begin" w:fldLock="1"/>
      </w:r>
      <w:r w:rsidR="000346B2">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id":"ITEM-2","itemData":{"DOI":"10.1136/jnnp.2007.131045","ISSN":"0022-3050","author":[{"dropping-particle":"","family":"Jankovic","given":"J","non-dropping-particle":"","parse-names":false,"suffix":""}],"container-title":"Journal of Neurology, Neurosurgery &amp; Psychiatry","id":"ITEM-2","issue":"4","issued":{"date-parts":[["2008","4","1"]]},"page":"368-376","title":"Parkinson's disease: clinical features and diagnosis","type":"article-journal","volume":"79"},"uris":["http://www.mendeley.com/documents/?uuid=3e459de4-5162-482b-be13-cae6e8fdadbe"]}],"mendeley":{"formattedCitation":"[2,3]","plainTextFormattedCitation":"[2,3]","previouslyFormattedCitation":"[2,3]"},"properties":{"noteIndex":0},"schema":"https://github.com/citation-style-language/schema/raw/master/csl-citation.json"}</w:instrText>
      </w:r>
      <w:r w:rsidR="000346B2" w:rsidRPr="00BB66C5">
        <w:fldChar w:fldCharType="separate"/>
      </w:r>
      <w:r w:rsidR="000346B2" w:rsidRPr="0011317B">
        <w:rPr>
          <w:noProof/>
        </w:rPr>
        <w:t>[2,3]</w:t>
      </w:r>
      <w:r w:rsidR="000346B2" w:rsidRPr="00BB66C5">
        <w:fldChar w:fldCharType="end"/>
      </w:r>
      <w:r w:rsidR="000346B2" w:rsidRPr="00BB66C5">
        <w:t>. The cardinal PD motor symptoms include rest tremor, rigidity, bradykinesia, postural instability, and gait impairment</w:t>
      </w:r>
      <w:r w:rsidR="000346B2">
        <w:t xml:space="preserve"> </w:t>
      </w:r>
      <w:r w:rsidR="000346B2" w:rsidRPr="00BB66C5">
        <w:fldChar w:fldCharType="begin" w:fldLock="1"/>
      </w:r>
      <w:r w:rsidR="000346B2">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mendeley":{"formattedCitation":"[2–4]","plainTextFormattedCitation":"[2–4]","previouslyFormattedCitation":"[2–4]"},"properties":{"noteIndex":0},"schema":"https://github.com/citation-style-language/schema/raw/master/csl-citation.json"}</w:instrText>
      </w:r>
      <w:r w:rsidR="000346B2" w:rsidRPr="00BB66C5">
        <w:fldChar w:fldCharType="separate"/>
      </w:r>
      <w:r w:rsidR="000346B2" w:rsidRPr="0011317B">
        <w:rPr>
          <w:noProof/>
        </w:rPr>
        <w:t>[2–4]</w:t>
      </w:r>
      <w:r w:rsidR="000346B2" w:rsidRPr="00BB66C5">
        <w:fldChar w:fldCharType="end"/>
      </w:r>
      <w:r w:rsidR="000346B2" w:rsidRPr="00BB66C5">
        <w:t>. The most common treatments are dopaminergic medications like dopamine replacement, dopamine agonists, and inhibitors, which help alleviate motor complications</w:t>
      </w:r>
      <w:r w:rsidR="000346B2">
        <w:t xml:space="preserve"> </w:t>
      </w:r>
      <w:r w:rsidR="000346B2" w:rsidRPr="00BB66C5">
        <w:fldChar w:fldCharType="begin" w:fldLock="1"/>
      </w:r>
      <w:r w:rsidR="000346B2">
        <w:instrText>ADDIN CSL_CITATION {"citationItems":[{"id":"ITEM-1","itemData":{"DOI":"10.1016/S1474-4422(09)70293-5","ISBN":"1474-4422","ISSN":"14744422","PMID":"19909911","abstract":"A dopaminergic deficiency in patients with Parkinson's disease (PD) causes abnormalities of movement, behaviour, learning, and emotions. The main motor features (ie, tremor, rigidity, and akinesia) are associated with a deficiency of dopamine in the posterior putamen and the motor circuit. Hypokinesia and bradykinesia might have a dual anatomo-functional basis: hypokinesia mediated by brainstem mechanisms and bradykinesia by cortical mechanisms. The classic pathophysiological model for PD (ie, hyperactivity in the globus pallidus pars interna and substantia nigra pars reticulata) does not explain rigidity and tremor, which might be caused by changes in primary motor cortex activity. Executive functions (ie, planning and problem solving) are also impaired in early PD, but are usually not clinically noticed. These impairments are associated with dopamine deficiency in the caudate nucleus and with dysfunction of the associative and other non-motor circuits. Apathy, anxiety, and depression are the main psychiatric manifestations in untreated PD, which might be caused by ventral striatum dopaminergic deficit and depletion of serotonin and norepinephrine. In this Review we discuss the motor, cognitive, and psychiatric manifestations associated with the dopaminergic deficiency in the early phase of the parkinsonian state and the different circuits implicated, and we propose distinct mechanisms to explain the wide clinical range of PD symptoms at the time of diagnosis. © 2009 Elsevier Ltd. All rights reserved.","author":[{"dropping-particle":"","family":"Rodriguez-Oroz","given":"Maria C.","non-dropping-particle":"","parse-names":false,"suffix":""},{"dropping-particle":"","family":"Jahanshahi","given":"Marjan","non-dropping-particle":"","parse-names":false,"suffix":""},{"dropping-particle":"","family":"Krack","given":"Paul","non-dropping-particle":"","parse-names":false,"suffix":""},{"dropping-particle":"","family":"Litvan","given":"Irene","non-dropping-particle":"","parse-names":false,"suffix":""},{"dropping-particle":"","family":"Macias","given":"Raúl","non-dropping-particle":"","parse-names":false,"suffix":""},{"dropping-particle":"","family":"Bezard","given":"Erwan","non-dropping-particle":"","parse-names":false,"suffix":""},{"dropping-particle":"","family":"Obeso","given":"José a.","non-dropping-particle":"","parse-names":false,"suffix":""}],"container-title":"The Lancet Neurology","id":"ITEM-1","issue":"12","issued":{"date-parts":[["2009","12"]]},"page":"1128-1139","title":"Initial clinical manifestations of Parkinson's disease: features and pathophysiological mechanisms","type":"article-journal","volume":"8"},"uris":["http://www.mendeley.com/documents/?uuid=f283f2c3-68a7-4e8d-9b57-8e74dacc1f4a"]},{"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diagnosis","type":"article-journal","volume":"79"},"uris":["http://www.mendeley.com/documents/?uuid=3e459de4-5162-482b-be13-cae6e8fdadbe"]},{"id":"ITEM-4","itemData":{"DOI":"10.1016/0022-510X(73)90175-5","ISBN":"0022-510X (Print) 0022-510X (Linking)","ISSN":"0022510X","PMID":"4272516","abstract":"A clinical, morphological and neurochemical correlative study in patients with Parkinson's syndrome and Huntington's chorea is reported. In the former group of patients, 69 brains were examined morphologically and 28 biochemically; in the latter group, 4 brains were examined morphologically and 14 biochemically. The results were as follows: (1) The main morphological alteration common to all forms of Parkinsonism was damage to the substantia nigra with a loss of the melanin-containing nerve cells in the zona compacta; the degree and pattern of this cell loss varied in a manner characteristic of the different forms of Parkinsonism. (2) Neurochemically, Parkinson's syndrome was characterized by a decrease in the concentrations of dopamine (DA) and its metabolite homovanillic acid (HVA) in the striatum (caudate nucleus and putamen) and pallidum. (3) A satisfactory positive correlation could be established between the degree of cell loss in the zona compacta of the substantia nigra and the disturbance of DA metabolism in the nuclei of the basal ganglia. (4) The nosological classification of Parkinson's syndrome (based on clinical and morphological criteria) into 3 main groups, viz. postencephalitic, idiopathic and “arteriosclerotic”-senile, was supported by distinct, though not in all cases statistically significant, differences in the degree of disturbance of striatal DA metabolism. (5) In general, mild Parkinsonism, just manifest clinically, was associated with a disproportionately high degree of striatal DA deficiency. From this it was concluded that: (a) clinically manifest Parkinsonism represents the late, “decompensated”, stage of a disease characterized by a progressive striatal DA deficiency; and (b) the striatum can compensate functionally for lower degrees of DA deficiency. (6) Positive correlations could be established, within a certain range, between the severity of individual Parkinsonian symptoms (especially akinesia and tremor) and (a) the degree, and also the site, of the disturbance of DA metabolism within the nuclei of the basal ganglia; and (b) the sensitivity of the patients to levodopa's acute anti-akinesia effect. The latter observation was interpreted as suggesting that in Parkinsonism there exists a supersensitivity (probably of the “denervation type”) of striatal receptors to DA. (7) Based on the correlations, levodopa therapy can be regarded as a specific, though probably predominantly symptomatic, treatment of the main extrapyrami…","author":[{"dropping-particle":"","family":"Bernheimer","given":"H","non-dropping-particle":"","parse-names":false,"suffix":""},{"dropping-particle":"","family":"Birkmayer","given":"W","non-dropping-particle":"","parse-names":false,"suffix":""},{"dropping-particle":"","family":"Hornykiewicz","given":"O","non-dropping-particle":"","parse-names":false,"suffix":""},{"dropping-particle":"","family":"Jellinger","given":"K","non-dropping-particle":"","parse-names":false,"suffix":""},{"dropping-particle":"","family":"Seitelberger","given":"F","non-dropping-particle":"","parse-names":false,"suffix":""}],"container-title":"Journal of the Neurological Sciences","id":"ITEM-4","issue":"4","issued":{"date-parts":[["1973","12"]]},"page":"415-455","title":"Brain dopamine and the syndromes of Parkinson and Huntington Clinical, morphological and neurochemical correlations","type":"article-journal","volume":"20"},"uris":["http://www.mendeley.com/documents/?uuid=2b108045-04a4-453b-a687-4c15377e673b"]},{"id":"ITEM-5","itemData":{"abstract":"Parkinsonism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Sciences","id":"ITEM-5","issued":{"date-parts":[["2003"]]},"page":"1-14","title":"Description of Parkinson’ s Disease as a Clinical Syndrome","type":"article-journal","volume":"991"},"uris":["http://www.mendeley.com/documents/?uuid=63b3f15d-72bd-4a15-a52d-94491c167cb5"]}],"mendeley":{"formattedCitation":"[2–6]","plainTextFormattedCitation":"[2–6]","previouslyFormattedCitation":"[2–6]"},"properties":{"noteIndex":0},"schema":"https://github.com/citation-style-language/schema/raw/master/csl-citation.json"}</w:instrText>
      </w:r>
      <w:r w:rsidR="000346B2" w:rsidRPr="00BB66C5">
        <w:fldChar w:fldCharType="separate"/>
      </w:r>
      <w:r w:rsidR="000346B2" w:rsidRPr="0011317B">
        <w:rPr>
          <w:noProof/>
        </w:rPr>
        <w:t>[2–6]</w:t>
      </w:r>
      <w:r w:rsidR="000346B2" w:rsidRPr="00BB66C5">
        <w:fldChar w:fldCharType="end"/>
      </w:r>
      <w:r w:rsidR="000346B2" w:rsidRPr="00BB66C5">
        <w:t>.</w:t>
      </w:r>
    </w:p>
    <w:p w14:paraId="1CD417D4" w14:textId="25AC2DFF" w:rsidR="000346B2" w:rsidRPr="00BB66C5" w:rsidRDefault="000346B2" w:rsidP="008009D0">
      <w:pPr>
        <w:jc w:val="both"/>
      </w:pPr>
      <w:r w:rsidRPr="00BB66C5">
        <w:tab/>
      </w:r>
      <w:r>
        <w:t>H</w:t>
      </w:r>
      <w:r w:rsidRPr="00BB66C5">
        <w:t>ow dopaminergic medication impacts other known aspects of PD life, specifically the effect on diminished motor automaticity, is still unclear.</w:t>
      </w:r>
      <w:r>
        <w:t xml:space="preserve"> In fact, it has been suggested that some PD symptoms, like those related to bradykinesia, are indicative of a general loss of motor automaticity </w:t>
      </w:r>
      <w:r>
        <w:fldChar w:fldCharType="begin" w:fldLock="1"/>
      </w:r>
      <w:r>
        <w:instrText>ADDIN CSL_CITATION {"citationItems":[{"id":"ITEM-1","itemData":{"DOI":"10.1016/j.nbd.2015.06.014","ISSN":"09699961","author":[{"dropping-particle":"","family":"Wu","given":"Tao","non-dropping-particle":"","parse-names":false,"suffix":""},{"dropping-particle":"","family":"Hallett","given":"Mark","non-dropping-particle":"","parse-names":false,"suffix":""},{"dropping-particle":"","family":"Chan","given":"Piu","non-dropping-particle":"","parse-names":false,"suffix":""}],"container-title":"Neurobiology of Disease","id":"ITEM-1","issued":{"date-parts":[["2015","10"]]},"page":"226-234","publisher":"Elsevier Inc.","title":"Motor automaticity in Parkinson's disease","type":"article-journal","volume":"82"},"uris":["http://www.mendeley.com/documents/?uuid=859c3d7b-b44a-4b4b-9875-4131f0364423"]}],"mendeley":{"formattedCitation":"[7]","plainTextFormattedCitation":"[7]","previouslyFormattedCitation":"[7]"},"properties":{"noteIndex":0},"schema":"https://github.com/citation-style-language/schema/raw/master/csl-citation.json"}</w:instrText>
      </w:r>
      <w:r>
        <w:fldChar w:fldCharType="separate"/>
      </w:r>
      <w:r w:rsidRPr="009F1AE6">
        <w:rPr>
          <w:noProof/>
        </w:rPr>
        <w:t>[7]</w:t>
      </w:r>
      <w:r>
        <w:fldChar w:fldCharType="end"/>
      </w:r>
      <w:r>
        <w:t>.</w:t>
      </w:r>
      <w:r w:rsidRPr="00BB66C5">
        <w:t>Motor automaticity is achieved when a given motor task is performed without attentional contro</w:t>
      </w:r>
      <w:r>
        <w:t>l</w:t>
      </w:r>
      <w:r w:rsidRPr="00BB66C5">
        <w:t>, and with enough practice, even complex motor tasks can be performed with relatively little attentional demand</w:t>
      </w:r>
      <w:r>
        <w:t xml:space="preserve"> </w:t>
      </w:r>
      <w:r w:rsidRPr="00BB66C5">
        <w:fldChar w:fldCharType="begin" w:fldLock="1"/>
      </w:r>
      <w:r>
        <w:instrText>ADDIN CSL_CITATION {"citationItems":[{"id":"ITEM-1","itemData":{"DOI":"10.1136/jnnp.2007.126599","ISBN":"0022-3050","ISSN":"0022-3050","PMID":"18006652","abstract":"BACKGROUND: Patients with Parkinson's disease (PD) have great difficulty in performing two tasks simultaneously, but the neural contribution to this problem has not been identified. In the current study, we investigated the pathophysiology of dual task performance in PD. METHODS: We studied 15 patients with PD and 14 healthy controls. Functional MRIs were obtained before and after practicing dual tasks with different complexities. RESULTS: After practice, 12 normal subjects performed all dual tasks correctly. Twelve patients performed the simpler dual tasks correctly. However, only 3 patients could perform the more complex dual task correctly. Dual tasks activated similar brain regions in both groups. The bilateral precuneus was additionally activated during performance of dual tasks compared with the component tasks in both groups. Patients had greater activity in the cerebellum, premotor area, parietal cortex, precuneus and prefrontal cortex compared with normal subjects. CONCLUSIONS: Difficulty in performing two tasks simultaneously in patients with PD is probably due to limited attentional resources, defective central executive function and less automaticity in performing the tasks. Practice can diminish dual task interference and improve performance in patients with PD.","author":[{"dropping-particle":"","family":"Wu","given":"Tao","non-dropping-particle":"","parse-names":false,"suffix":""},{"dropping-particle":"","family":"Hallett","given":"Mark","non-dropping-particle":"","parse-names":false,"suffix":""}],"container-title":"Journal of Neurology, Neurosurgery &amp; Psychiatry","id":"ITEM-1","issue":"7","issued":{"date-parts":[["2008","7","1"]]},"note":"Before training, more errors were found in performing dual tasks than in performing single tasks, as well as in performing the more complex dual tasks (sequence-12/letter-counting and sequence-12/ tapping) than in performing the simpler dual tasks. Patients made more errors than normal subjects while performing dual tasks.\n\nAfter training (4.7 +- 1.0 h), 12 normal subjects performed all dual tasks correctly. In contrast, although they spent significantly more time (6.0 +- 0.8 h) performing the tasks, only 12 patients could perform the simpler dual tasks with high accuracy. Among them, only three patients performed the more complex dual tasks correctly.\n\nAlthough training significantly improved performance in both groups, patients still had more errors in performing the more complex dual tasks compared with normal subjects. There is a significant interaction between before/after training performance and normal/PD group.\n\n\nAt both the before- and after-training stages, patients had greater activation in the bilateral DLPFC, middle frontal gyrus, bilateral PMA, bilateral parietal cortex, bilateral precuneus, bilateral temporal lobe, occipital lobe, bilateral cerebellum, thalamus and cingulate gyrus compared with normal subjects while performing dual tasks.","page":"760-766","title":"Neural correlates of dual task performance in patients with Parkinson's disease","type":"article-journal","volume":"79"},"uris":["http://www.mendeley.com/documents/?uuid=ca8467b6-3c03-4e43-a079-8d80a4fa0569"]}],"mendeley":{"formattedCitation":"[8]","plainTextFormattedCitation":"[8]","previouslyFormattedCitation":"[8]"},"properties":{"noteIndex":0},"schema":"https://github.com/citation-style-language/schema/raw/master/csl-citation.json"}</w:instrText>
      </w:r>
      <w:r w:rsidRPr="00BB66C5">
        <w:fldChar w:fldCharType="separate"/>
      </w:r>
      <w:r w:rsidRPr="0011317B">
        <w:rPr>
          <w:noProof/>
        </w:rPr>
        <w:t>[8]</w:t>
      </w:r>
      <w:r w:rsidRPr="00BB66C5">
        <w:fldChar w:fldCharType="end"/>
      </w:r>
      <w:r w:rsidRPr="00BB66C5">
        <w:t>. As a skill evolves from novelty to automaticity, several changes in brain activation patterns or the strength of connectivity between involved areas have been observed</w:t>
      </w:r>
      <w:r>
        <w:t xml:space="preserve"> </w:t>
      </w:r>
      <w:r w:rsidRPr="00BB66C5">
        <w:fldChar w:fldCharType="begin" w:fldLock="1"/>
      </w:r>
      <w:r>
        <w:instrText>ADDIN CSL_CITATION {"citationItems":[{"id":"ITEM-1","itemData":{"DOI":"10.1136/jnnp.2007.126599","ISBN":"0022-3050","ISSN":"0022-3050","PMID":"18006652","abstract":"BACKGROUND: Patients with Parkinson's disease (PD) have great difficulty in performing two tasks simultaneously, but the neural contribution to this problem has not been identified. In the current study, we investigated the pathophysiology of dual task performance in PD. METHODS: We studied 15 patients with PD and 14 healthy controls. Functional MRIs were obtained before and after practicing dual tasks with different complexities. RESULTS: After practice, 12 normal subjects performed all dual tasks correctly. Twelve patients performed the simpler dual tasks correctly. However, only 3 patients could perform the more complex dual task correctly. Dual tasks activated similar brain regions in both groups. The bilateral precuneus was additionally activated during performance of dual tasks compared with the component tasks in both groups. Patients had greater activity in the cerebellum, premotor area, parietal cortex, precuneus and prefrontal cortex compared with normal subjects. CONCLUSIONS: Difficulty in performing two tasks simultaneously in patients with PD is probably due to limited attentional resources, defective central executive function and less automaticity in performing the tasks. Practice can diminish dual task interference and improve performance in patients with PD.","author":[{"dropping-particle":"","family":"Wu","given":"Tao","non-dropping-particle":"","parse-names":false,"suffix":""},{"dropping-particle":"","family":"Hallett","given":"Mark","non-dropping-particle":"","parse-names":false,"suffix":""}],"container-title":"Journal of Neurology, Neurosurgery &amp; Psychiatry","id":"ITEM-1","issue":"7","issued":{"date-parts":[["2008","7","1"]]},"note":"Before training, more errors were found in performing dual tasks than in performing single tasks, as well as in performing the more complex dual tasks (sequence-12/letter-counting and sequence-12/ tapping) than in performing the simpler dual tasks. Patients made more errors than normal subjects while performing dual tasks.\n\nAfter training (4.7 +- 1.0 h), 12 normal subjects performed all dual tasks correctly. In contrast, although they spent significantly more time (6.0 +- 0.8 h) performing the tasks, only 12 patients could perform the simpler dual tasks with high accuracy. Among them, only three patients performed the more complex dual tasks correctly.\n\nAlthough training significantly improved performance in both groups, patients still had more errors in performing the more complex dual tasks compared with normal subjects. There is a significant interaction between before/after training performance and normal/PD group.\n\n\nAt both the before- and after-training stages, patients had greater activation in the bilateral DLPFC, middle frontal gyrus, bilateral PMA, bilateral parietal cortex, bilateral precuneus, bilateral temporal lobe, occipital lobe, bilateral cerebellum, thalamus and cingulate gyrus compared with normal subjects while performing dual tasks.","page":"760-766","title":"Neural correlates of dual task performance in patients with Parkinson's disease","type":"article-journal","volume":"79"},"uris":["http://www.mendeley.com/documents/?uuid=ca8467b6-3c03-4e43-a079-8d80a4fa0569"]},{"id":"ITEM-2","itemData":{"DOI":"10.1073/pnas.0502762102","ISBN":"0027-8424 (Print)\\r0027-8424 (Linking)","ISSN":"0027-8424","PMID":"16107540","abstract":"In this study, we used functional MRI (fMRI) at high field (3T) to track the time course of activation in the entire basal ganglia circuitry, as well as other motor-related structures, during the explicit learning of a sequence of finger movements over a month of training. Fourteen right-handed healthy volunteers had to practice 15 min daily a sequence of eight moves using the left hand. MRI sessions were performed on days 1, 14 and 28. In both putamen, activation decreased with practice in rostrodorsal (associative) regions. In contrast, there was a significant signal increase in more caudoventral (sensorimotor) regions of the putamen. Subsequent correlation analyses between signal variations and behavioral variables showed that the error rate (movement accuracy) was positively correlated with signal changes in areas activated during early learning, whereas reaction time (movement speed) was negatively correlated with signal changes in areas activated during advanced learning stages, including the sensorimotor putamen and globus pallidus. These results suggest the possibility that motor representations shift from the associative to the sensorimotor territories of the striato-pallidal complex during the explicit learning of motor sequences, suggesting that motor skills are stored in the sensorimotor territory of the basal ganglia that supports a speedy performance.","author":[{"dropping-particle":"","family":"Lehericy","given":"S.","non-dropping-particle":"","parse-names":false,"suffix":""},{"dropping-particle":"","family":"Benali","given":"Habib","non-dropping-particle":"","parse-names":false,"suffix":""},{"dropping-particle":"","family":"Moortele","given":"P.-F.","non-dropping-particle":"Van de","parse-names":false,"suffix":""},{"dropping-particle":"","family":"Pelegrini-Issac","given":"M.","non-dropping-particle":"","parse-names":false,"suffix":""},{"dropping-particle":"","family":"Waechter","given":"Tobias","non-dropping-particle":"","parse-names":false,"suffix":""},{"dropping-particle":"","family":"Ugurbil","given":"Kamil","non-dropping-particle":"","parse-names":false,"suffix":""},{"dropping-particle":"","family":"Doyon","given":"Julien","non-dropping-particle":"","parse-names":false,"suffix":""}],"container-title":"Proceedings of the National Academy of Sciences","id":"ITEM-2","issue":"35","issued":{"date-parts":[["2005","8","30"]]},"note":"With the U-sequence (unlearned tapping sequence), subjects made 9.38 +- 6.66% errors and were 45% slower during the dual than during the single task (all P values &amp;lt; 0.05). With the T-sequence (trained tapping sequence), subjects made only 1.22 +- 1.21% errors (i.e., not significant compared with the single task) and were only 19% slower during the dual than during the single task (P = 0.02) (see Table 3).","page":"12566-12571","title":"Distinct basal ganglia territories are engaged in early and advanced motor sequence learning","type":"article-journal","volume":"102"},"uris":["http://www.mendeley.com/documents/?uuid=848cd546-5345-4832-9398-25d74aef0a50"]},{"id":"ITEM-3","itemData":{"DOI":"10.1093/cercor/bhu135","ISSN":"1047-3211","PMID":"24925772","abstract":"We investigated neural correlates when attending to a movement that could be made automatically in healthy subjects and Parkinson's disease (PD) patients. Subjects practiced a visuomotor association task until they could perform it automatically, and then directed their attention back to the automated task. Functional MRI was obtained during the early-learning, automatic stage, and when re-attending. In controls, attention to automatic movement induced more activation in the dorsolateral prefrontal cortex (DLPFC), anterior cingulate cortex, and rostral supplementary motor area. The motor cortex received more influence from the cortical motor association regions. In contrast, the pattern of the activity and connectivity of the striatum remained at the level of the automatic stage. In PD patients, attention enhanced activity in the DLPFC, premotor cortex, and cerebellum, but the connectivity from the putamen to the motor cortex decreased. Our findings demonstrate that, in controls, when a movement achieves the automatic stage, attention can influence the attentional networks and cortical motor association areas, but has no apparent effect on the striatum. In PD patients, attention induces a shift from the automatic mode back to the controlled pattern within the striatum. The shifting between controlled and automatic behaviors relies in part on striatal function.","author":[{"dropping-particle":"","family":"Wu","given":"Tao","non-dropping-particle":"","parse-names":false,"suffix":""},{"dropping-particle":"","family":"Liu","given":"Jun","non-dropping-particle":"","parse-names":false,"suffix":""},{"dropping-particle":"","family":"Zhang","given":"Hejia","non-dropping-particle":"","parse-names":false,"suffix":""},{"dropping-particle":"","family":"Hallett","given":"Mark","non-dropping-particle":"","parse-names":false,"suffix":""},{"dropping-particle":"","family":"Zheng","given":"Zheng","non-dropping-particle":"","parse-names":false,"suffix":""},{"dropping-particle":"","family":"Chan","given":"Piu","non-dropping-particle":"","parse-names":false,"suffix":""}],"container-title":"Cerebral Cortex","id":"ITEM-3","issue":"10","issued":{"date-parts":[["2015","10"]]},"note":"In controls, the activity in the anterior putamen decreased while the activation in the posterior putamen increased in the automatic stage compared with the early-learning stage (Fig. 3), which is in agreement with Lehéricy’s report (2005). The connection from the anterior putamen to the M1 was weakened, while the connectivity from the posterior putamen to the M1 was strengthened during automatic processing (Fig. 7 and Table 6). The anterior putamen is considered an association area, while the posterior putamen is a sensorimotor area\n\nIn PD patients, the activity and connectivity in the more affected (left side) posterior putamen were not increased as movements became automatic. Although the connectivity from the less affected (right side) posterior putamen to the M1 was increased during automatic processing, it was significantly weaker compared with that in controls.\n\nThus, there is a trend shifting from the automatic mode back to the controlled pattern within the striatum in PD patients. Our results suggest that not only the shifting of a new motor skill to automatic, but also the storage of the automatic program relies on the striatum being functionally intact, espe- cially the posterior (sensorimotor) striatum. Although PD pa- tients at a relatively early stage can use different strategies, such as compensation from the anterior putamen, to achieve automaticity, this modified automatic mode is not stable and can be disrupted by attention.","page":"3330-3342","title":"Attention to Automatic Movements in Parkinson's Disease: Modified Automatic Mode in the Striatum","type":"article-journal","volume":"25"},"uris":["http://www.mendeley.com/documents/?uuid=7dc2a6a8-cb62-4ca2-8ec0-f2970f81bffd"]}],"mendeley":{"formattedCitation":"[8–10]","plainTextFormattedCitation":"[8–10]","previouslyFormattedCitation":"[8–10]"},"properties":{"noteIndex":0},"schema":"https://github.com/citation-style-language/schema/raw/master/csl-citation.json"}</w:instrText>
      </w:r>
      <w:r w:rsidRPr="00BB66C5">
        <w:fldChar w:fldCharType="separate"/>
      </w:r>
      <w:r w:rsidRPr="0011317B">
        <w:rPr>
          <w:noProof/>
        </w:rPr>
        <w:t>[8–10]</w:t>
      </w:r>
      <w:r w:rsidRPr="00BB66C5">
        <w:fldChar w:fldCharType="end"/>
      </w:r>
      <w:r w:rsidRPr="00BB66C5">
        <w:t>.</w:t>
      </w:r>
    </w:p>
    <w:p w14:paraId="0FA2EA7F" w14:textId="77777777" w:rsidR="000346B2" w:rsidRPr="00BB66C5" w:rsidRDefault="000346B2" w:rsidP="008009D0">
      <w:pPr>
        <w:jc w:val="both"/>
      </w:pPr>
      <w:r w:rsidRPr="00BB66C5">
        <w:tab/>
        <w:t xml:space="preserve">Motor automaticity </w:t>
      </w:r>
      <w:r>
        <w:t>can be</w:t>
      </w:r>
      <w:r w:rsidRPr="00BB66C5">
        <w:t xml:space="preserve"> assessed using dual-task paradigms. Dual-tasking involves performing a primary motor task (e.g., walking) concurrent with a secondary</w:t>
      </w:r>
      <w:r>
        <w:t>,</w:t>
      </w:r>
      <w:r w:rsidRPr="00BB66C5">
        <w:t xml:space="preserve"> </w:t>
      </w:r>
      <w:r>
        <w:t xml:space="preserve">cognitive </w:t>
      </w:r>
      <w:r w:rsidRPr="00BB66C5">
        <w:t>task (e.g., conversing). Dual-tasking often results in performance detriments of one or both of the simultaneously performed tasks. These decreases in performance are called dual-task cost or dual-task interference</w:t>
      </w:r>
      <w:r>
        <w:t xml:space="preserve"> </w:t>
      </w:r>
      <w:r w:rsidRPr="00BB66C5">
        <w:fldChar w:fldCharType="begin" w:fldLock="1"/>
      </w:r>
      <w:r>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BB66C5">
        <w:fldChar w:fldCharType="separate"/>
      </w:r>
      <w:r w:rsidRPr="0011317B">
        <w:rPr>
          <w:noProof/>
        </w:rPr>
        <w:t>[11]</w:t>
      </w:r>
      <w:r w:rsidRPr="00BB66C5">
        <w:fldChar w:fldCharType="end"/>
      </w:r>
      <w:r w:rsidRPr="00BB66C5">
        <w:t xml:space="preserve">. Dual-task paradigms are employed in automaticity research because the more automatic a task, the less dual-task interference </w:t>
      </w:r>
      <w:r w:rsidRPr="00BB66C5">
        <w:lastRenderedPageBreak/>
        <w:t>is evident. Dual-task interference in PD gait has been well documented (see Wu et al.</w:t>
      </w:r>
      <w:r>
        <w:t xml:space="preserve"> </w:t>
      </w:r>
      <w:r w:rsidRPr="00BB66C5">
        <w:fldChar w:fldCharType="begin" w:fldLock="1"/>
      </w:r>
      <w:r>
        <w:instrText>ADDIN CSL_CITATION {"citationItems":[{"id":"ITEM-1","itemData":{"DOI":"10.1016/j.nbd.2015.06.014","ISSN":"09699961","author":[{"dropping-particle":"","family":"Wu","given":"Tao","non-dropping-particle":"","parse-names":false,"suffix":""},{"dropping-particle":"","family":"Hallett","given":"Mark","non-dropping-particle":"","parse-names":false,"suffix":""},{"dropping-particle":"","family":"Chan","given":"Piu","non-dropping-particle":"","parse-names":false,"suffix":""}],"container-title":"Neurobiology of Disease","id":"ITEM-1","issued":{"date-parts":[["2015","10"]]},"page":"226-234","publisher":"Elsevier Inc.","title":"Motor automaticity in Parkinson's disease","type":"article-journal","volume":"82"},"uris":["http://www.mendeley.com/documents/?uuid=859c3d7b-b44a-4b4b-9875-4131f0364423"]}],"mendeley":{"formattedCitation":"[7]","plainTextFormattedCitation":"[7]","previouslyFormattedCitation":"[7]"},"properties":{"noteIndex":0},"schema":"https://github.com/citation-style-language/schema/raw/master/csl-citation.json"}</w:instrText>
      </w:r>
      <w:r w:rsidRPr="00BB66C5">
        <w:fldChar w:fldCharType="separate"/>
      </w:r>
      <w:r w:rsidRPr="0011317B">
        <w:rPr>
          <w:noProof/>
        </w:rPr>
        <w:t>[7]</w:t>
      </w:r>
      <w:r w:rsidRPr="00BB66C5">
        <w:fldChar w:fldCharType="end"/>
      </w:r>
      <w:r w:rsidRPr="00BB66C5">
        <w:t xml:space="preserve"> for a review), but what remains unknown is how dopaminergic medication influences motor automaticity in PD, and the subsequent impact on dual-task interference. </w:t>
      </w:r>
    </w:p>
    <w:p w14:paraId="780AD2BD" w14:textId="77777777" w:rsidR="000346B2" w:rsidRPr="00BB66C5" w:rsidRDefault="000346B2" w:rsidP="008009D0">
      <w:pPr>
        <w:jc w:val="both"/>
      </w:pPr>
      <w:r w:rsidRPr="00BB66C5">
        <w:tab/>
      </w:r>
      <w:r>
        <w:t>Current reports</w:t>
      </w:r>
      <w:r w:rsidRPr="00BB66C5">
        <w:t xml:space="preserve"> in this area </w:t>
      </w:r>
      <w:r>
        <w:t>are</w:t>
      </w:r>
      <w:r w:rsidRPr="00BB66C5">
        <w:t xml:space="preserve"> scarce and still relatively novel. Those </w:t>
      </w:r>
      <w:r>
        <w:t>who</w:t>
      </w:r>
      <w:r w:rsidRPr="00BB66C5">
        <w:t xml:space="preserve"> have explored this question have reported mixed results. One study found limited effects on straight walking and turning</w:t>
      </w:r>
      <w:r>
        <w:t xml:space="preserve"> </w:t>
      </w:r>
      <w:r w:rsidRPr="00BB66C5">
        <w:fldChar w:fldCharType="begin" w:fldLock="1"/>
      </w:r>
      <w:r>
        <w:instrText>ADDIN CSL_CITATION {"citationItems":[{"id":"ITEM-1","itemData":{"DOI":"10.3389/fnagi.2016.00004","ISSN":"1663-4365","author":[{"dropping-particle":"","family":"Elshehabi","given":"Morad","non-dropping-particle":"","parse-names":false,"suffix":""},{"dropping-particle":"","family":"Maier","given":"Katrin S.","non-dropping-particle":"","parse-names":false,"suffix":""},{"dropping-particle":"","family":"Hasmann","given":"Sandra E.","non-dropping-particle":"","parse-names":false,"suffix":""},{"dropping-particle":"","family":"Nussbaum","given":"Susanne","non-dropping-particle":"","parse-names":false,"suffix":""},{"dropping-particle":"","family":"Herbst","given":"Heinz","non-dropping-particle":"","parse-names":false,"suffix":""},{"dropping-particle":"","family":"Heger","given":"Tanja","non-dropping-particle":"","parse-names":false,"suffix":""},{"dropping-particle":"","family":"Berg","given":"Daniela","non-dropping-particle":"","parse-names":false,"suffix":""},{"dropping-particle":"","family":"Hobert","given":"Markus A.","non-dropping-particle":"","parse-names":false,"suffix":""},{"dropping-particle":"","family":"Maetzler","given":"Walter","non-dropping-particle":"","parse-names":false,"suffix":""}],"container-title":"Frontiers in Aging Neuroscience","id":"ITEM-1","issue":"January","issued":{"date-parts":[["2016","1","27"]]},"note":"H&amp;amp;Y 2-3, MMSE &amp;gt; 24. If UPDRS III changed &amp;gt; 2 points (clinically meaningful, with refs), included in the study. n = 39 for analyses.\n\nWalk as fast as possible up and down a 20 m distance for 1 min in ST and in DT\n\nChecking boxes and serial 7's as DTs.\n\nNo ST vs DT analyses included.\n\nMany expected ST improvements in ON vs OFF (gait velocity up in straights, lower step duration and higher peak velocity in turning). No gait or turning changes with medication.\n\nVelocity of checking boxes increased in ST and in DT in ON. No change in serial 7 performance with medication.","page":"1-6","title":"Limited Effect of Dopaminergic Medication on Straight Walking and Turning in Early-to-Moderate Parkinson’s Disease during Single and Dual Tasking","type":"article-journal","volume":"8"},"uris":["http://www.mendeley.com/documents/?uuid=3cf62249-9244-4031-82b1-ac9ec26ca873"]}],"mendeley":{"formattedCitation":"[12]","plainTextFormattedCitation":"[12]","previouslyFormattedCitation":"[12]"},"properties":{"noteIndex":0},"schema":"https://github.com/citation-style-language/schema/raw/master/csl-citation.json"}</w:instrText>
      </w:r>
      <w:r w:rsidRPr="00BB66C5">
        <w:fldChar w:fldCharType="separate"/>
      </w:r>
      <w:r w:rsidRPr="0011317B">
        <w:rPr>
          <w:noProof/>
        </w:rPr>
        <w:t>[12]</w:t>
      </w:r>
      <w:r w:rsidRPr="00BB66C5">
        <w:fldChar w:fldCharType="end"/>
      </w:r>
      <w:r w:rsidRPr="00BB66C5">
        <w:t xml:space="preserve"> and another found significant effects on more complex gait tasks and clinical balance measures</w:t>
      </w:r>
      <w:r>
        <w:t xml:space="preserve"> </w:t>
      </w:r>
      <w:r w:rsidRPr="00BB66C5">
        <w:fldChar w:fldCharType="begin" w:fldLock="1"/>
      </w:r>
      <w:r>
        <w:instrText>ADDIN CSL_CITATION {"citationItems":[{"id":"ITEM-1","itemData":{"DOI":"10.1016/j.gaitpost.2012.02.009","ISBN":"1110301197","ISSN":"09666362","PMID":"19772347","abstract":"Gait and balance impairments in people with Parkinson disease (PD) may lead to falls and serious injuries. Therefore, it is critical to improve our understanding of the nature of these impairments, including how they respond to prescribed anti-Parkinson medication. This is particularly important for complex balance and gait tasks that may be associated with falls. We evaluated motor function, functional balance, and gait performance during various gait tasks in 22 people with PD off and on medication (PD OFF, PD ON) and 20 healthy older adults. Although MDS-UPDRS-III score, Berg Balance Scale, mini-Balance Evaluations Systems test, and Timed-Up-and-Go improved in PD with medication, impairments persisted in all measures on medication, compared to controls. Dual task Timed-Up-and-Go did not improve with medication, and PD ON required more time than controls. Gait velocity and stride length improved similarly with medication in PD across forward, fast, backward, dual task forward, and dual task backward gait tasks. Cadence did not change with medication, nor did it differ between PD ON and controls. Velocity and stride length were reduced in PD ON compared to controls. Velocity reductions in PD ON during fast gait were cadence-mediated, while velocity reductions in backward gait were stride length-mediated. Our results suggest functional balance improves with medication in PD and gait performance improves with medication, regardless of task complexity. Remaining impairments on medication highlight the need to examine additional therapeutic options for individuals with PD to reduce the risk of falls.","author":[{"dropping-particle":"","family":"McNeely","given":"Marie E.","non-dropping-particle":"","parse-names":false,"suffix":""},{"dropping-particle":"","family":"Duncan","given":"Ryan P.","non-dropping-particle":"","parse-names":false,"suffix":""},{"dropping-particle":"","family":"Earhart","given":"Gammon M.","non-dropping-particle":"","parse-names":false,"suffix":""}],"container-title":"Gait &amp; Posture","id":"ITEM-1","issue":"1","issued":{"date-parts":[["2012","5"]]},"note":"Timed-Up-and-Go (TUG) and dual task TUG (DT-TUG) times were extracted from the mini-BESTest to measure functional mobility with and without a dual task.The dual task was random number listing.\n\n\nParticipants performed three trials each of preferred pace forward (Fwd), fast as possible forward (Fast), preferred-pace backward (Bkd), and preferred-pace dual task forward (DT-Fwd) and backward (DT-Bkd) gait. During dual task trials, participants walked\nforward or backward at preferred pace while completing a phonemic listing task (list words starting with a certain letter; aka, verbal fluency). A different letter was given for each trial, and correct words and errors were quantified.\n\n\nDT-TUG time (Fig 1D) did not improve (t(21)= −1.17, p=0.52).\n\n\nSeated and DT-Fwd phonemic listing performance (correct word rate and error rates) did not differ between PD ON and OFF or between PD ON and controls (p&amp;gt;0.05). Correct word rate during DT-Bkd gait improved in PD with medication (p=0.003), but correct word rate did not differ between PD ON and controls, and error rates did not differ in either comparison (p&amp;gt;0.05).\n\n\nCadence was also higher in Fwd compared to DT-Fwd (p&amp;lt;0.001), and Bkd compared to DT-Bkd (p=0.01).","page":"144-148","title":"Medication improves balance and complex gait performance in Parkinson disease","type":"article-journal","volume":"36"},"uris":["http://www.mendeley.com/documents/?uuid=49acee09-4b27-4ec8-8949-e01b61da950c"]}],"mendeley":{"formattedCitation":"[13]","plainTextFormattedCitation":"[13]","previouslyFormattedCitation":"[13]"},"properties":{"noteIndex":0},"schema":"https://github.com/citation-style-language/schema/raw/master/csl-citation.json"}</w:instrText>
      </w:r>
      <w:r w:rsidRPr="00BB66C5">
        <w:fldChar w:fldCharType="separate"/>
      </w:r>
      <w:r w:rsidRPr="0011317B">
        <w:rPr>
          <w:noProof/>
        </w:rPr>
        <w:t>[13]</w:t>
      </w:r>
      <w:r w:rsidRPr="00BB66C5">
        <w:fldChar w:fldCharType="end"/>
      </w:r>
      <w:r w:rsidRPr="00BB66C5">
        <w:t xml:space="preserve">. </w:t>
      </w:r>
      <w:r>
        <w:t>These discrepancies are</w:t>
      </w:r>
      <w:r w:rsidRPr="00BB66C5">
        <w:t xml:space="preserve"> likely a consequence of the different primary and secondary tasks that were used in those studies. Specifically, the secondary tasks of these studies varied in difficulty, had </w:t>
      </w:r>
      <w:r>
        <w:t>different</w:t>
      </w:r>
      <w:r w:rsidRPr="00BB66C5">
        <w:t xml:space="preserve"> attentional demands, and were performed over short durations (i.e., ≤ 1 min). </w:t>
      </w:r>
    </w:p>
    <w:p w14:paraId="3699DEC8" w14:textId="29C57563" w:rsidR="00E60E95" w:rsidRPr="00864B56" w:rsidRDefault="000346B2" w:rsidP="008009D0">
      <w:pPr>
        <w:jc w:val="both"/>
      </w:pPr>
      <w:r w:rsidRPr="00BB66C5">
        <w:tab/>
      </w:r>
      <w:r>
        <w:t>T</w:t>
      </w:r>
      <w:r w:rsidRPr="00BB66C5">
        <w:t>he aim of this study was to</w:t>
      </w:r>
      <w:r>
        <w:t xml:space="preserve"> determine the effect of medication on gait automaticity in PD. Our approach is to</w:t>
      </w:r>
      <w:r w:rsidRPr="00BB66C5">
        <w:t xml:space="preserve"> assess the impact of dopaminergic medication on self-selected gait speed while dual-tasking during a long-duration (3 min) forward walk. Additionally, objective kinematic measures and a constant-attention secondary task were employed </w:t>
      </w:r>
      <w:r>
        <w:t xml:space="preserve">to ensure consistent measurements and </w:t>
      </w:r>
      <w:r w:rsidRPr="00BB66C5">
        <w:t>dual-task interference</w:t>
      </w:r>
      <w:r>
        <w:t>s</w:t>
      </w:r>
      <w:r w:rsidRPr="00BB66C5">
        <w:t xml:space="preserve">. It was hypothesized that medication would improve gait automaticity </w:t>
      </w:r>
      <w:r>
        <w:t>in terms of</w:t>
      </w:r>
      <w:r w:rsidRPr="00BB66C5">
        <w:t xml:space="preserve"> gait velocity, stride length,</w:t>
      </w:r>
      <w:r w:rsidR="00F80C1D">
        <w:t xml:space="preserve"> </w:t>
      </w:r>
      <w:r w:rsidRPr="00BB66C5">
        <w:t>joint angles, and secondary task performance.</w:t>
      </w:r>
    </w:p>
    <w:p w14:paraId="7552E82E" w14:textId="5EF89C9D" w:rsidR="00D009DF" w:rsidRPr="00FC2950" w:rsidRDefault="00D009DF" w:rsidP="008009D0">
      <w:pPr>
        <w:pStyle w:val="Heading2"/>
        <w:jc w:val="both"/>
      </w:pPr>
      <w:bookmarkStart w:id="14" w:name="_Toc527361728"/>
      <w:r w:rsidRPr="00FC2950">
        <w:t>Methods</w:t>
      </w:r>
      <w:bookmarkEnd w:id="14"/>
    </w:p>
    <w:p w14:paraId="08A213BE" w14:textId="3389FA13" w:rsidR="00D009DF" w:rsidRPr="00864B56" w:rsidRDefault="00D009DF" w:rsidP="008009D0">
      <w:pPr>
        <w:pStyle w:val="Heading3"/>
        <w:jc w:val="both"/>
      </w:pPr>
      <w:bookmarkStart w:id="15" w:name="_Toc527361729"/>
      <w:r w:rsidRPr="00864B56">
        <w:t>Subjects</w:t>
      </w:r>
      <w:bookmarkEnd w:id="15"/>
    </w:p>
    <w:p w14:paraId="64B3142F" w14:textId="5AF9A690" w:rsidR="0094190B" w:rsidRPr="00DA2FE7" w:rsidRDefault="00D009DF" w:rsidP="008009D0">
      <w:pPr>
        <w:jc w:val="both"/>
      </w:pPr>
      <w:r>
        <w:tab/>
      </w:r>
      <w:r w:rsidR="00746299">
        <w:t xml:space="preserve">Table 1 displays the subjects’ demographic information. Sixteen subjects (female = 4) with mild – moderate PD (i.e., Hoehn and Yahr </w:t>
      </w:r>
      <w:r w:rsidR="00746299">
        <w:fldChar w:fldCharType="begin" w:fldLock="1"/>
      </w:r>
      <w:r w:rsidR="00746299">
        <w:instrText>ADDIN CSL_CITATION {"citationItems":[{"id":"ITEM-1","itemData":{"ISSN":"0028-3878","PMID":"6067254","author":[{"dropping-particle":"","family":"Hoehn","given":"M M","non-dropping-particle":"","parse-names":false,"suffix":""},{"dropping-particle":"","family":"Yahr","given":"M D","non-dropping-particle":"","parse-names":false,"suffix":""}],"container-title":"Neurology","id":"ITEM-1","issue":"5","issued":{"date-parts":[["1967","5"]]},"page":"427-42","title":"Parkinsonism: onset, progression and mortality.","type":"article-journal","volume":"17"},"uris":["http://www.mendeley.com/documents/?uuid=b547a7c1-dbe3-4f5c-a280-4953cd79526a"]}],"mendeley":{"formattedCitation":"[14]","plainTextFormattedCitation":"[14]","previouslyFormattedCitation":"[14]"},"properties":{"noteIndex":0},"schema":"https://github.com/citation-style-language/schema/raw/master/csl-citation.json"}</w:instrText>
      </w:r>
      <w:r w:rsidR="00746299">
        <w:fldChar w:fldCharType="separate"/>
      </w:r>
      <w:r w:rsidR="00746299" w:rsidRPr="0011317B">
        <w:rPr>
          <w:noProof/>
        </w:rPr>
        <w:t>[14]</w:t>
      </w:r>
      <w:r w:rsidR="00746299">
        <w:fldChar w:fldCharType="end"/>
      </w:r>
      <w:r w:rsidR="00746299">
        <w:t xml:space="preserve"> I – III) were recruited from PD-</w:t>
      </w:r>
      <w:r w:rsidR="00746299">
        <w:lastRenderedPageBreak/>
        <w:t xml:space="preserve">specific activity groups in the greater Houston area. Inclusion criteria were: 1) a diagnosis of PD from a </w:t>
      </w:r>
      <w:r w:rsidR="00246B6F">
        <w:t>movement disorder specialist</w:t>
      </w:r>
      <w:r w:rsidR="00746299">
        <w:t xml:space="preserve">, 2) an unchanged regimen of dopaminergic medication for at least 3 months, and 3) the ability to walk unassisted for at least 3 min. Subjects were excluded if they: 1) </w:t>
      </w:r>
      <w:r w:rsidR="00F80C1D">
        <w:t>had injuries</w:t>
      </w:r>
      <w:r w:rsidR="00746299">
        <w:t xml:space="preserve"> or surgeries that caused unusual gait, 2) respectively scored &lt; 24 or &lt; 17 on the MoCA </w:t>
      </w:r>
      <w:r w:rsidR="00746299">
        <w:fldChar w:fldCharType="begin" w:fldLock="1"/>
      </w:r>
      <w:r w:rsidR="00746299">
        <w:instrText>ADDIN CSL_CITATION {"citationItems":[{"id":"ITEM-1","itemData":{"DOI":"10.1111/j.1532-5415.2005.53221.x","ISBN":"0002-8614\\r1532-5415","ISSN":"0002-8614","PMID":"15817019","abstract":"OBJECTIVES To develop a 10-minute cognitive screening tool (Montreal Cognitive Assessment, MoCA) to assist first-line physicians in detection of mild cognitive impairment (MCI), a clinical state that often progresses to dementia. DESIGN Validation study. SETTING A community clinic and an academic center. PARTICIPANTS Ninety-four patients meeting MCI clinical criteria supported by psychometric measures, 93 patients with mild Alzheimer's disease (AD) (Mini-Mental State Examination (MMSE) score &gt; or =17), and 90 healthy elderly controls (NC). MEASUREMENTS The MoCA and MMSE were administered to all participants, and sensitivity and specificity of both measures were assessed for detection of MCI and mild AD. RESULTS Using a cutoff score 26, the MMSE had a sensitivity of 18% to detect MCI, whereas the MoCA detected 90% of MCI subjects. In the mild AD group, the MMSE had a sensitivity of 78%, whereas the MoCA detected 100%. Specificity was excellent for both MMSE and MoCA (100% and 87%, respectively). CONCLUSION MCI as an entity is evolving and somewhat controversial. The MoCA is a brief cognitive screening tool with high sensitivity and specificity for detecting MCI as currently conceptualized in patients performing in the normal range on the MMSE.","author":[{"dropping-particle":"","family":"Nasreddine","given":"Zs","non-dropping-particle":"","parse-names":false,"suffix":""},{"dropping-particle":"","family":"Phillips","given":"Na","non-dropping-particle":"","parse-names":false,"suffix":""},{"dropping-particle":"","family":"Bédirian","given":"Va","non-dropping-particle":"","parse-names":false,"suffix":""},{"dropping-particle":"","family":"Charbonneau","given":"Si","non-dropping-particle":"","parse-names":false,"suffix":""},{"dropping-particle":"","family":"Whitehead","given":"Vi","non-dropping-particle":"","parse-names":false,"suffix":""},{"dropping-particle":"","family":"Colllin","given":"Is","non-dropping-particle":"","parse-names":false,"suffix":""},{"dropping-particle":"","family":"Cummings","given":"Je","non-dropping-particle":"","parse-names":false,"suffix":""},{"dropping-particle":"","family":"Chertkow","given":"Ho","non-dropping-particle":"","parse-names":false,"suffix":""}],"container-title":"Journal of the American Geriatrics Society","id":"ITEM-1","issue":"4","issued":{"date-parts":[["2005"]]},"page":"695-699","title":"The Montreal Cognitive Assessment, MoCA: a brief screening tool for mild cognitive impairment","type":"article-journal","volume":"53"},"uris":["http://www.mendeley.com/documents/?uuid=dbd09cfc-cf2a-45a0-a15d-309bf7b8b710"]}],"mendeley":{"formattedCitation":"[15]","plainTextFormattedCitation":"[15]","previouslyFormattedCitation":"[15]"},"properties":{"noteIndex":0},"schema":"https://github.com/citation-style-language/schema/raw/master/csl-citation.json"}</w:instrText>
      </w:r>
      <w:r w:rsidR="00746299">
        <w:fldChar w:fldCharType="separate"/>
      </w:r>
      <w:r w:rsidR="00746299" w:rsidRPr="0011317B">
        <w:rPr>
          <w:noProof/>
        </w:rPr>
        <w:t>[15]</w:t>
      </w:r>
      <w:r w:rsidR="00746299">
        <w:fldChar w:fldCharType="end"/>
      </w:r>
      <w:r w:rsidR="00746299">
        <w:t xml:space="preserve"> or telephone MoCA </w:t>
      </w:r>
      <w:r w:rsidR="00746299">
        <w:fldChar w:fldCharType="begin" w:fldLock="1"/>
      </w:r>
      <w:r w:rsidR="00746299">
        <w:instrText>ADDIN CSL_CITATION {"citationItems":[{"id":"ITEM-1","itemData":{"DOI":"10.1161/STROKEAHA.112.673384","ISBN":"1524-4628","ISSN":"00392499","PMID":"23138443","abstract":"BACKGROUND AND PURPOSE: Face-to-face cognitive testing is not always possible in large studies. Therefore, we assessed the telephone Montreal Cognitive Assessment (T-MoCA: MoCA items not requiring pencil and paper or visual stimulus) and the modified Telephone Interview of Cognitive Status (TICSm) against face-to-face cognitive tests in patients with transient ischemic attack (TIA) or stroke.\\n\\nMETHODS: In a population-based study, consecutive community-dwelling patients underwent the MoCA and neuropsychological battery &gt;1 year after TIA or stroke, followed by T-MoCA (22 points) and TICSm (39 points) at least 1 month later. Mild cognitive impairment (MCI) was diagnosed using modified Petersen criteria and the area under the receiver-operating characteristic curve (AUC) determined for T-MoCA and TICSm.\\n\\nRESULTS: Ninety-one nondemented subjects completed neuropsychological testing (mean±SD age, 72.9±11.6 years; 54 males; stroke 49%) and 73 had telephone follow-up. MoCA subtest scores for repetition, abstraction, and verbal fluency were significantly worse (P&lt;0.02) by telephone than during face-to-face testing. Reliability of diagnosis for MCI (AUC) were T-MoCA of 0.75 (95% confidence interval [CI], 0.63-0.87) and TICSm of 0.79 (95% CI, 0.68-0.90) vs face-to-face MoCA of 0.85 (95% CI, 0.76-0.94). Optimal cutoffs were 18 to 19 for T-MoCA and 24 to 25 for TICSm. Reliability of diagnosis for MCI (AUC) was greater when only multi-domain impairment was considered (T-MoCA=0.85; 95% CI, 0.75-0.96 and TICSm=0.83, 95% CI, 0.70-0.96) vs face-to-face MoCA=0.87; 95% CI, 0.76-0.97).\\n\\nCONCLUSIONS: Both T-MoCA and TICSm are feasible and valid telephone tests of cognition after TIA and stroke but perform better in detecting multi-domain vs single-domain impairment. However, T-MoCA is limited in its ability to assess visuoexecutive and complex language tasks compared with face-to-face MoCA.","author":[{"dropping-particle":"","family":"Pendlebury","given":"Sarah T.","non-dropping-particle":"","parse-names":false,"suffix":""},{"dropping-particle":"V","family":"Welch","given":"Sarah J","non-dropping-particle":"","parse-names":false,"suffix":""},{"dropping-particle":"","family":"Cuthbertson","given":"Fiona C.","non-dropping-particle":"","parse-names":false,"suffix":""},{"dropping-particle":"","family":"Mariz","given":"Jose","non-dropping-particle":"","parse-names":false,"suffix":""},{"dropping-particle":"","family":"Mehta","given":"Ziyah","non-dropping-particle":"","parse-names":false,"suffix":""},{"dropping-particle":"","family":"Rothwell","given":"Peter M.","non-dropping-particle":"","parse-names":false,"suffix":""}],"container-title":"Stroke","id":"ITEM-1","issue":"1","issued":{"date-parts":[["2013"]]},"page":"227-229","title":"Telephone assessment of cognition after transient ischemic attack and stroke: Modified telephone interview of cognitive status and telephone montreal cognitive assessment versus face-to-face montreal cognitive assessment and neuropsychological battery","type":"article-journal","volume":"44"},"uris":["http://www.mendeley.com/documents/?uuid=49d2b986-c4e0-426b-964c-b213f1081ab2"]}],"mendeley":{"formattedCitation":"[16]","plainTextFormattedCitation":"[16]","previouslyFormattedCitation":"[16]"},"properties":{"noteIndex":0},"schema":"https://github.com/citation-style-language/schema/raw/master/csl-citation.json"}</w:instrText>
      </w:r>
      <w:r w:rsidR="00746299">
        <w:fldChar w:fldCharType="separate"/>
      </w:r>
      <w:r w:rsidR="00746299" w:rsidRPr="0011317B">
        <w:rPr>
          <w:noProof/>
        </w:rPr>
        <w:t>[16]</w:t>
      </w:r>
      <w:r w:rsidR="00746299">
        <w:fldChar w:fldCharType="end"/>
      </w:r>
      <w:r w:rsidR="00746299">
        <w:t>, 3) experienced freezing of gait, 4) had deep brain stimulation, or 5) a diagnosis of dementia or other neurodegenerative diseases. This study was approved by the University of Houston’s Institutional Review Board and all subjects provided written informed consent.</w:t>
      </w:r>
    </w:p>
    <w:p w14:paraId="4B6A11EE" w14:textId="680CE52E" w:rsidR="00D009DF" w:rsidRPr="00864B56" w:rsidRDefault="00D009DF" w:rsidP="008009D0">
      <w:pPr>
        <w:pStyle w:val="Heading3"/>
        <w:jc w:val="both"/>
      </w:pPr>
      <w:bookmarkStart w:id="16" w:name="_Toc527361730"/>
      <w:r w:rsidRPr="00864B56">
        <w:t>Equipment</w:t>
      </w:r>
      <w:r>
        <w:t xml:space="preserve"> and Tasks</w:t>
      </w:r>
      <w:bookmarkEnd w:id="16"/>
    </w:p>
    <w:p w14:paraId="1BA29E28" w14:textId="77777777" w:rsidR="00C9057B" w:rsidRDefault="00D009DF" w:rsidP="008009D0">
      <w:pPr>
        <w:jc w:val="both"/>
      </w:pPr>
      <w:r>
        <w:tab/>
      </w:r>
      <w:r w:rsidR="00C9057B" w:rsidRPr="00E4585A">
        <w:t xml:space="preserve">Kinematic data </w:t>
      </w:r>
      <w:r w:rsidR="00C9057B">
        <w:t>were</w:t>
      </w:r>
      <w:r w:rsidR="00C9057B" w:rsidRPr="00E4585A">
        <w:t xml:space="preserve"> collected using the Xsens MVN Biomech Awinda wireless system (Xsens Technologies B.V., Enschede, The Netherlands). This system includes 17 inertial motion trackers (triaxial accelerometers, gyroscopes, and magnetometers) </w:t>
      </w:r>
      <w:r w:rsidR="00C9057B">
        <w:t>placed on the locations shown in Figure 1</w:t>
      </w:r>
      <w:r w:rsidR="00C9057B" w:rsidRPr="00E4585A">
        <w:t xml:space="preserve">. </w:t>
      </w:r>
      <w:r w:rsidR="00C9057B">
        <w:t>Movement information</w:t>
      </w:r>
      <w:r w:rsidR="00C9057B" w:rsidRPr="00E4585A">
        <w:t xml:space="preserve"> </w:t>
      </w:r>
      <w:r w:rsidR="00C9057B">
        <w:t xml:space="preserve">was </w:t>
      </w:r>
      <w:r w:rsidR="00C9057B" w:rsidRPr="00E4585A">
        <w:t xml:space="preserve">collected </w:t>
      </w:r>
      <w:r w:rsidR="00C9057B">
        <w:t>at</w:t>
      </w:r>
      <w:r w:rsidR="00C9057B" w:rsidRPr="00E4585A">
        <w:t xml:space="preserve"> 60 Hz </w:t>
      </w:r>
      <w:r w:rsidR="00C9057B">
        <w:t xml:space="preserve">by </w:t>
      </w:r>
      <w:r w:rsidR="00C9057B" w:rsidRPr="00E4585A">
        <w:t>each tracker</w:t>
      </w:r>
      <w:r w:rsidR="00C9057B">
        <w:t xml:space="preserve"> and</w:t>
      </w:r>
      <w:r w:rsidR="00C9057B" w:rsidRPr="00E4585A">
        <w:t xml:space="preserve"> </w:t>
      </w:r>
      <w:r w:rsidR="00C9057B">
        <w:t>was</w:t>
      </w:r>
      <w:r w:rsidR="00C9057B" w:rsidRPr="00E4585A">
        <w:t xml:space="preserve"> integrated into a full-body kinematic model</w:t>
      </w:r>
      <w:r w:rsidR="00C9057B">
        <w:t xml:space="preserve"> </w:t>
      </w:r>
      <w:r w:rsidR="00C9057B" w:rsidRPr="00E4585A">
        <w:t>by the accompanying software.</w:t>
      </w:r>
      <w:r w:rsidR="00C9057B">
        <w:t xml:space="preserve"> Variables of interest were bilateral hip, knee, and shoulder angles in the sagittal plane. Gait velocity, cadence, and stride length were calculated using a stopwatch and counting steps by direct observation over a known distance of 7.3 m in the middle of the 3-min gait trial. PD motor symptoms were assessed using the motor section of the Movement Disorder Society Unified Parkinson’s Disease Rating Scale </w:t>
      </w:r>
      <w:r w:rsidR="00C9057B">
        <w:fldChar w:fldCharType="begin" w:fldLock="1"/>
      </w:r>
      <w:r w:rsidR="00C9057B">
        <w:instrText>ADDIN CSL_CITATION {"citationItems":[{"id":"ITEM-1","itemData":{"DOI":"10.1002/mds.22340","ISSN":"1531-8257","PMID":"19025984","abstract":"We present a clinimetric assessment of the Movement Disorder Society (MDS)-sponsored revision of the Unified Parkinson's Disease Rating Scale (MDS-UPDRS). The MDS-UDPRS Task Force revised and expanded the UPDRS using recommendations from a published critique. The MDS-UPDRS has four parts, namely, I: Non-motor Experiences of Daily Living; II: Motor Experiences of Daily Living; III: Motor Examination; IV: Motor Complications. Twenty questions are completed by the patient/caregiver. Item-specific instructions and an appendix of complementary additional scales are provided. Movement disorder specialists and study coordinators administered the UPDRS (55 items) and MDS-UPDRS (65 items) to 877 English speaking (78% non-Latino Caucasian) patients with Parkinson's disease from 39 sites. We compared the two scales using correlative techniques and factor analysis. The MDS-UPDRS showed high internal consistency (Cronbach's alpha = 0.79-0.93 across parts) and correlated with the original UPDRS (rho = 0.96). MDS-UPDRS across-part correlations ranged from 0.22 to 0.66. Reliable factor structures for each part were obtained (comparative fit index &gt; 0.90 for each part), which support the use of sum scores for each part in preference to a total score of all parts. The combined clinimetric results of this study support the validity of the MDS-UPDRS for rating PD.","author":[{"dropping-particle":"","family":"Goetz","given":"Christopher G","non-dropping-particle":"","parse-names":false,"suffix":""},{"dropping-particle":"","family":"Tilley","given":"Barbara C","non-dropping-particle":"","parse-names":false,"suffix":""},{"dropping-particle":"","family":"Shaftman","given":"Stephanie R","non-dropping-particle":"","parse-names":false,"suffix":""},{"dropping-particle":"","family":"Stebbins","given":"Glenn T","non-dropping-particle":"","parse-names":false,"suffix":""},{"dropping-particle":"","family":"Fahn","given":"Stanley","non-dropping-particle":"","parse-names":false,"suffix":""},{"dropping-particle":"","family":"Martinez-Martin","given":"Pablo","non-dropping-particle":"","parse-names":false,"suffix":""},{"dropping-particle":"","family":"Poewe","given":"Werner","non-dropping-particle":"","parse-names":false,"suffix":""},{"dropping-particle":"","family":"Sampaio","given":"Cristina","non-dropping-particle":"","parse-names":false,"suffix":""},{"dropping-particle":"","family":"Stern","given":"Matthew B","non-dropping-particle":"","parse-names":false,"suffix":""},{"dropping-particle":"","family":"Dodel","given":"Richard","non-dropping-particle":"","parse-names":false,"suffix":""},{"dropping-particle":"","family":"Dubois","given":"Bruno","non-dropping-particle":"","parse-names":false,"suffix":""},{"dropping-particle":"","family":"Holloway","given":"Robert","non-dropping-particle":"","parse-names":false,"suffix":""},{"dropping-particle":"","family":"Jankovic","given":"Joseph","non-dropping-particle":"","parse-names":false,"suffix":""},{"dropping-particle":"","family":"Kulisevsky","given":"Jaime","non-dropping-particle":"","parse-names":false,"suffix":""},{"dropping-particle":"","family":"Lang","given":"Anthony E","non-dropping-particle":"","parse-names":false,"suffix":""},{"dropping-particle":"","family":"Lees","given":"Andrew","non-dropping-particle":"","parse-names":false,"suffix":""},{"dropping-particle":"","family":"Leurgans","given":"Sue","non-dropping-particle":"","parse-names":false,"suffix":""},{"dropping-particle":"","family":"LeWitt","given":"Peter A","non-dropping-particle":"","parse-names":false,"suffix":""},{"dropping-particle":"","family":"Nyenhuis","given":"David","non-dropping-particle":"","parse-names":false,"suffix":""},{"dropping-particle":"","family":"Olanow","given":"C Warren","non-dropping-particle":"","parse-names":false,"suffix":""},{"dropping-particle":"","family":"Rascol","given":"Olivier","non-dropping-particle":"","parse-names":false,"suffix":""},{"dropping-particle":"","family":"Schrag","given":"Anette","non-dropping-particle":"","parse-names":false,"suffix":""},{"dropping-particle":"","family":"Teresi","given":"Jeanne A","non-dropping-particle":"","parse-names":false,"suffix":""},{"dropping-particle":"","family":"Hilten","given":"Jacobus J","non-dropping-particle":"van","parse-names":false,"suffix":""},{"dropping-particle":"","family":"LaPelle","given":"Nancy","non-dropping-particle":"","parse-names":false,"suffix":""},{"dropping-particle":"","family":"Movement Disorder Society UPDRS Revision Task Force","given":"","non-dropping-particle":"","parse-names":false,"suffix":""}],"container-title":"Movement disorders : official journal of the Movement Disorder Society","id":"ITEM-1","issue":"15","issued":{"date-parts":[["2008","11","15"]]},"page":"2129-70","title":"Movement Disorder Society-sponsored revision of the Unified Parkinson's Disease Rating Scale (MDS-UPDRS): scale presentation and clinimetric testing results.","type":"article-journal","volume":"23"},"uris":["http://www.mendeley.com/documents/?uuid=f7db7025-d423-32a9-9023-839a5a646c92"]}],"mendeley":{"formattedCitation":"[17]","plainTextFormattedCitation":"[17]","previouslyFormattedCitation":"[17]"},"properties":{"noteIndex":0},"schema":"https://github.com/citation-style-language/schema/raw/master/csl-citation.json"}</w:instrText>
      </w:r>
      <w:r w:rsidR="00C9057B">
        <w:fldChar w:fldCharType="separate"/>
      </w:r>
      <w:r w:rsidR="00C9057B" w:rsidRPr="0011317B">
        <w:rPr>
          <w:noProof/>
        </w:rPr>
        <w:t>[17]</w:t>
      </w:r>
      <w:r w:rsidR="00C9057B">
        <w:fldChar w:fldCharType="end"/>
      </w:r>
      <w:r w:rsidR="00C9057B">
        <w:t xml:space="preserve"> (UPDRS III). </w:t>
      </w:r>
    </w:p>
    <w:p w14:paraId="489A1469" w14:textId="77777777" w:rsidR="00C9057B" w:rsidRDefault="00C9057B" w:rsidP="008009D0">
      <w:pPr>
        <w:jc w:val="both"/>
        <w:rPr>
          <w:rFonts w:cs="Arial"/>
        </w:rPr>
      </w:pPr>
      <w:r>
        <w:rPr>
          <w:rFonts w:cs="Arial"/>
        </w:rPr>
        <w:tab/>
        <w:t xml:space="preserve">The primary task was overground walking at a self-selected speed for 3 min. Walking was performed unassisted and in the forward direction in a hallway sufficiently long to accommodate the long-duration trials. The secondary task was a phoneme </w:t>
      </w:r>
      <w:r>
        <w:rPr>
          <w:rFonts w:cs="Arial"/>
        </w:rPr>
        <w:lastRenderedPageBreak/>
        <w:t xml:space="preserve">monitoring task, during which the subjects listened to pre-recorded text through headphones worn over the ears. Subjects were given a specific word and instructed to count the number of times that it occurred in the recording. The subjects were informed that they had to perform the counting in their minds (i.e., not with the fingers). Furthermore, they were instructed to listen to the details of the text in order to answer questions at the end of the trial. There were two outcomes measured for the phoneme monitoring task: 1) percent of correct number of words counted (PM-Tally), and 2) percent of questions correctly answered (PM-Score). Tally reports greater than the correct tally were scored according to the following example. A report of ‘10’ when the correct tally was ‘8’ was scored as (8-|10-8|)/8 = 6/8 = 75%. </w:t>
      </w:r>
    </w:p>
    <w:p w14:paraId="009BDC99" w14:textId="5A0DDC9B" w:rsidR="00D009DF" w:rsidRPr="00864B56" w:rsidRDefault="00C9057B" w:rsidP="008009D0">
      <w:pPr>
        <w:jc w:val="both"/>
        <w:rPr>
          <w:rFonts w:cs="Arial"/>
        </w:rPr>
      </w:pPr>
      <w:r>
        <w:rPr>
          <w:rFonts w:cs="Arial"/>
        </w:rPr>
        <w:tab/>
        <w:t>Phoneme monitoring</w:t>
      </w:r>
      <w:r w:rsidRPr="00E35727">
        <w:rPr>
          <w:rFonts w:cs="Arial"/>
        </w:rPr>
        <w:t xml:space="preserve"> was chosen as the secondary task because it has face validity with real-life situations</w:t>
      </w:r>
      <w:r>
        <w:rPr>
          <w:rFonts w:cs="Arial"/>
        </w:rPr>
        <w:t xml:space="preserve"> such as when one </w:t>
      </w:r>
      <w:r w:rsidRPr="00E35727">
        <w:rPr>
          <w:rFonts w:cs="Arial"/>
        </w:rPr>
        <w:t>convers</w:t>
      </w:r>
      <w:r>
        <w:rPr>
          <w:rFonts w:cs="Arial"/>
        </w:rPr>
        <w:t>es</w:t>
      </w:r>
      <w:r w:rsidRPr="00E35727">
        <w:rPr>
          <w:rFonts w:cs="Arial"/>
        </w:rPr>
        <w:t xml:space="preserve"> </w:t>
      </w:r>
      <w:r>
        <w:rPr>
          <w:rFonts w:cs="Arial"/>
        </w:rPr>
        <w:t xml:space="preserve">while walking and maintains </w:t>
      </w:r>
      <w:r w:rsidRPr="00E35727">
        <w:rPr>
          <w:rFonts w:cs="Arial"/>
        </w:rPr>
        <w:t xml:space="preserve">constant attention to the </w:t>
      </w:r>
      <w:r>
        <w:rPr>
          <w:rFonts w:cs="Arial"/>
        </w:rPr>
        <w:t xml:space="preserve">conversation </w:t>
      </w:r>
      <w:r>
        <w:rPr>
          <w:rFonts w:cs="Arial"/>
        </w:rPr>
        <w:fldChar w:fldCharType="begin" w:fldLock="1"/>
      </w:r>
      <w:r>
        <w:rPr>
          <w:rFonts w:cs="Arial"/>
        </w:rPr>
        <w:instrText>ADDIN CSL_CITATION {"citationItems":[{"id":"ITEM-1","itemData":{"DOI":"10.1002/mds.20848","ISBN":"0885-3185","ISSN":"0885-3185","PMID":"16541455","abstract":"The objectives of the present study were to test the hypothesis that the dual-tasking effect on gait variability is larger in healthy older adults than it is in healthy young adults; that this effect is larger in idiopathic elderly fallers than it is in healthy older adults; and that the dual-tasking effects on gait variability are correlated with executive function (EF). Young adults and older adults who were classified as fallers and nonfallers were studied. Gait speed, swing time, and swing time variability, a marker of fall risk, were measured during usual walking and during three different dual-tasking conditions. EF and memory were evaluated. When performing dual tasks, all three groups significantly decreased their gait speed. Dual tasking did not affect swing time variability in the young adults and in the nonfallers. Conversely, dual tasking markedly increased swing time variability in the fallers. While memory was similar in fallers and nonfallers, EF was different. The faller-specific response to dual tasking was significantly correlated with tests of EF. These findings demonstrate that dual tasking does not affect the gait variability of elderly nonfallers or young adults. In contrast, dual tasking destabilizes the gait of idiopathic elderly fallers, an effect that appears to be mediated in part by a decline in EF.","author":[{"dropping-particle":"","family":"Springer","given":"Shmuel","non-dropping-particle":"","parse-names":false,"suffix":""},{"dropping-particle":"","family":"Giladi","given":"Nir","non-dropping-particle":"","parse-names":false,"suffix":""},{"dropping-particle":"","family":"Peretz","given":"Chava","non-dropping-particle":"","parse-names":false,"suffix":""},{"dropping-particle":"","family":"Yogev","given":"Galit","non-dropping-particle":"","parse-names":false,"suffix":""},{"dropping-particle":"","family":"Simon","given":"Ely S.","non-dropping-particle":"","parse-names":false,"suffix":""},{"dropping-particle":"","family":"Hausdorff","given":"Jeffrey M.","non-dropping-particle":"","parse-names":false,"suffix":""}],"container-title":"Movement Disorders","id":"ITEM-1","issue":"7","issued":{"date-parts":[["2006","7"]]},"note":"Simple task, complex task, and arithmetic task: During the simple and complex tasks, subjects listened to a text (with headphones) while walking. After completing the walk, they were asked to answer 10 multiple-choice questions regarding the content of the text. In addition to listening to the text, the complex listening task consisted of phoneme monitoring. The arithmetic task: serial subtractions of seven, starting from 500.\n\nNo instruc- tion for priority of one of the tasks (walking vs. cognitive task) was given.\n\nPerformance on the simple task was evaluated by counting the number of mistakes that were made using a multiple-choice test of 10 questions on the content of the text. On the complex task, performance was evaluated both by counting the number of mistakes on the multiple- choice test of content and by evaluating performance on the phoneme monitoring (the percent of mistakes made when counting the predefined words). Evaluation of per- formance on the serial 7 subtractions included the total number of subtractions and the number of mistakes they made during the calculation.\n\nThere was a significant reduction in gait speed in all three groups in each of the three dual-tasking conditions. The interaction was significant when comparing the young adults and the nonfallers.\n\nIn the young adults, average swing time was not significantly affected by dual tasking, but in the two elderly groups, dual tasking significantly reduced the average swing time. In both the young adults and the elderly nonfallers, dual tasking did not significantly affect swing time variability. The fallers displayed a different response. All three dual-tasking conditions significantly increased swing time variability in the fallers.\n\nEF and the effects of dual tasking on the variability of gait differed in the elderly fallers and the elderly non-fallers. There was a small but significant association between scores on EF tests and swing time variability during usual walking and this association became stronger during dual tasking","page":"950-957","title":"Dual-tasking effects on gait variability: The role of aging, falls, and executive function","type":"article-journal","volume":"21"},"uris":["http://www.mendeley.com/documents/?uuid=ac70fd64-0e31-4298-8cfb-9af29a9b9df6"]}],"mendeley":{"formattedCitation":"[18]","plainTextFormattedCitation":"[18]","previouslyFormattedCitation":"[18]"},"properties":{"noteIndex":0},"schema":"https://github.com/citation-style-language/schema/raw/master/csl-citation.json"}</w:instrText>
      </w:r>
      <w:r>
        <w:rPr>
          <w:rFonts w:cs="Arial"/>
        </w:rPr>
        <w:fldChar w:fldCharType="separate"/>
      </w:r>
      <w:r w:rsidRPr="0011317B">
        <w:rPr>
          <w:rFonts w:cs="Arial"/>
          <w:noProof/>
        </w:rPr>
        <w:t>[18]</w:t>
      </w:r>
      <w:r>
        <w:rPr>
          <w:rFonts w:cs="Arial"/>
        </w:rPr>
        <w:fldChar w:fldCharType="end"/>
      </w:r>
      <w:r>
        <w:rPr>
          <w:rFonts w:cs="Arial"/>
        </w:rPr>
        <w:t>. In addition, the secondary phoneme monitoring task</w:t>
      </w:r>
      <w:r w:rsidRPr="00E35727">
        <w:rPr>
          <w:rFonts w:cs="Arial"/>
        </w:rPr>
        <w:t xml:space="preserve"> accommodate</w:t>
      </w:r>
      <w:r>
        <w:rPr>
          <w:rFonts w:cs="Arial"/>
        </w:rPr>
        <w:t>d</w:t>
      </w:r>
      <w:r w:rsidRPr="00E35727">
        <w:rPr>
          <w:rFonts w:cs="Arial"/>
        </w:rPr>
        <w:t xml:space="preserve"> the </w:t>
      </w:r>
      <w:r>
        <w:rPr>
          <w:rFonts w:cs="Arial"/>
        </w:rPr>
        <w:t>long-</w:t>
      </w:r>
      <w:r w:rsidRPr="00E35727">
        <w:rPr>
          <w:rFonts w:cs="Arial"/>
        </w:rPr>
        <w:t>duration gait</w:t>
      </w:r>
      <w:r>
        <w:rPr>
          <w:rFonts w:cs="Arial"/>
        </w:rPr>
        <w:t xml:space="preserve"> task within the dual-task</w:t>
      </w:r>
      <w:r w:rsidRPr="00E35727">
        <w:rPr>
          <w:rFonts w:cs="Arial"/>
        </w:rPr>
        <w:t xml:space="preserve"> </w:t>
      </w:r>
      <w:r>
        <w:rPr>
          <w:rFonts w:cs="Arial"/>
        </w:rPr>
        <w:t>paradigm implemented in this study. A long-duration primary task was desired to assess how dual-tasking affects real-life situations the subjects experience on a daily basis and to increase the robustness of the objective variables. Several auditory recordings of ~195 s were prepared so that each condition had a different recording and phoneme to tally. No practice or familiarization trials were performed.</w:t>
      </w:r>
    </w:p>
    <w:p w14:paraId="766A8470" w14:textId="76837960" w:rsidR="00D009DF" w:rsidRPr="00864B56" w:rsidRDefault="00D009DF" w:rsidP="008009D0">
      <w:pPr>
        <w:pStyle w:val="Heading3"/>
        <w:jc w:val="both"/>
      </w:pPr>
      <w:bookmarkStart w:id="17" w:name="_Toc527361731"/>
      <w:r w:rsidRPr="00864B56">
        <w:t>Procedures</w:t>
      </w:r>
      <w:bookmarkEnd w:id="17"/>
    </w:p>
    <w:p w14:paraId="53A1AF88" w14:textId="77777777" w:rsidR="001E47AF" w:rsidRDefault="00D009DF" w:rsidP="008009D0">
      <w:pPr>
        <w:jc w:val="both"/>
        <w:rPr>
          <w:rFonts w:cs="Arial"/>
        </w:rPr>
      </w:pPr>
      <w:r>
        <w:rPr>
          <w:rFonts w:cs="Arial"/>
        </w:rPr>
        <w:tab/>
      </w:r>
      <w:r w:rsidR="001E47AF">
        <w:rPr>
          <w:rFonts w:cs="Arial"/>
        </w:rPr>
        <w:t>A</w:t>
      </w:r>
      <w:r w:rsidR="001E47AF" w:rsidRPr="00297A34">
        <w:rPr>
          <w:rFonts w:cs="Arial"/>
        </w:rPr>
        <w:t xml:space="preserve">ll testing </w:t>
      </w:r>
      <w:r w:rsidR="001E47AF">
        <w:rPr>
          <w:rFonts w:cs="Arial"/>
        </w:rPr>
        <w:t>was</w:t>
      </w:r>
      <w:r w:rsidR="001E47AF" w:rsidRPr="00297A34">
        <w:rPr>
          <w:rFonts w:cs="Arial"/>
        </w:rPr>
        <w:t xml:space="preserve"> performed in one session</w:t>
      </w:r>
      <w:r w:rsidR="001E47AF">
        <w:rPr>
          <w:rFonts w:cs="Arial"/>
        </w:rPr>
        <w:t>, which</w:t>
      </w:r>
      <w:r w:rsidR="001E47AF" w:rsidRPr="00297A34">
        <w:rPr>
          <w:rFonts w:cs="Arial"/>
        </w:rPr>
        <w:t xml:space="preserve"> </w:t>
      </w:r>
      <w:r w:rsidR="001E47AF">
        <w:rPr>
          <w:rFonts w:cs="Arial"/>
        </w:rPr>
        <w:t>began</w:t>
      </w:r>
      <w:r w:rsidR="001E47AF" w:rsidRPr="00297A34">
        <w:rPr>
          <w:rFonts w:cs="Arial"/>
        </w:rPr>
        <w:t xml:space="preserve"> with</w:t>
      </w:r>
      <w:r w:rsidR="001E47AF">
        <w:rPr>
          <w:rFonts w:cs="Arial"/>
        </w:rPr>
        <w:t xml:space="preserve"> the</w:t>
      </w:r>
      <w:r w:rsidR="001E47AF" w:rsidRPr="00297A34">
        <w:rPr>
          <w:rFonts w:cs="Arial"/>
        </w:rPr>
        <w:t xml:space="preserve"> </w:t>
      </w:r>
      <w:r w:rsidR="001E47AF">
        <w:rPr>
          <w:rFonts w:cs="Arial"/>
        </w:rPr>
        <w:t>off-medication state (OFF)</w:t>
      </w:r>
      <w:r w:rsidR="001E47AF" w:rsidRPr="00297A34">
        <w:rPr>
          <w:rFonts w:cs="Arial"/>
        </w:rPr>
        <w:t xml:space="preserve">. To achieve this, the night before and the morning of their visit, </w:t>
      </w:r>
      <w:r w:rsidR="001E47AF">
        <w:rPr>
          <w:rFonts w:cs="Arial"/>
        </w:rPr>
        <w:t xml:space="preserve">subjects adjusted </w:t>
      </w:r>
      <w:r w:rsidR="001E47AF">
        <w:rPr>
          <w:rFonts w:cs="Arial"/>
        </w:rPr>
        <w:lastRenderedPageBreak/>
        <w:t>the time they took their medication</w:t>
      </w:r>
      <w:r w:rsidR="001E47AF" w:rsidRPr="00297A34">
        <w:rPr>
          <w:rFonts w:cs="Arial"/>
        </w:rPr>
        <w:t xml:space="preserve"> and/or skip</w:t>
      </w:r>
      <w:r w:rsidR="001E47AF">
        <w:rPr>
          <w:rFonts w:cs="Arial"/>
        </w:rPr>
        <w:t>ped</w:t>
      </w:r>
      <w:r w:rsidR="001E47AF" w:rsidRPr="00297A34">
        <w:rPr>
          <w:rFonts w:cs="Arial"/>
        </w:rPr>
        <w:t xml:space="preserve"> doses to coincide with a ≥</w:t>
      </w:r>
      <w:r w:rsidR="001E47AF">
        <w:rPr>
          <w:rFonts w:cs="Arial"/>
        </w:rPr>
        <w:t xml:space="preserve"> </w:t>
      </w:r>
      <w:r w:rsidR="001E47AF" w:rsidRPr="00297A34">
        <w:rPr>
          <w:rFonts w:cs="Arial"/>
        </w:rPr>
        <w:t xml:space="preserve">12-hour overnight medication withdrawal. Upon arrival, subjects </w:t>
      </w:r>
      <w:r w:rsidR="001E47AF">
        <w:rPr>
          <w:rFonts w:cs="Arial"/>
        </w:rPr>
        <w:t>were</w:t>
      </w:r>
      <w:r w:rsidR="001E47AF" w:rsidRPr="00297A34">
        <w:rPr>
          <w:rFonts w:cs="Arial"/>
        </w:rPr>
        <w:t xml:space="preserve"> outfitted with the Xsens sensors</w:t>
      </w:r>
      <w:r w:rsidR="001E47AF">
        <w:rPr>
          <w:rFonts w:cs="Arial"/>
        </w:rPr>
        <w:t xml:space="preserve"> and the anthropometric measurements were </w:t>
      </w:r>
      <w:r w:rsidR="001E47AF" w:rsidRPr="00F9110B">
        <w:rPr>
          <w:rFonts w:cs="Arial"/>
        </w:rPr>
        <w:t>determined</w:t>
      </w:r>
      <w:r w:rsidR="001E47AF">
        <w:rPr>
          <w:rFonts w:cs="Arial"/>
        </w:rPr>
        <w:t xml:space="preserve"> and implemented in the software’s</w:t>
      </w:r>
      <w:r w:rsidR="001E47AF" w:rsidDel="007B62F2">
        <w:rPr>
          <w:rFonts w:cs="Arial"/>
        </w:rPr>
        <w:t xml:space="preserve"> </w:t>
      </w:r>
      <w:r w:rsidR="001E47AF">
        <w:rPr>
          <w:rFonts w:cs="Arial"/>
        </w:rPr>
        <w:t>kinematic model</w:t>
      </w:r>
      <w:r w:rsidR="001E47AF" w:rsidRPr="00297A34">
        <w:rPr>
          <w:rFonts w:cs="Arial"/>
        </w:rPr>
        <w:t xml:space="preserve">. </w:t>
      </w:r>
      <w:r w:rsidR="001E47AF">
        <w:rPr>
          <w:rFonts w:cs="Arial"/>
        </w:rPr>
        <w:t>O</w:t>
      </w:r>
      <w:r w:rsidR="001E47AF" w:rsidRPr="00297A34">
        <w:rPr>
          <w:rFonts w:cs="Arial"/>
        </w:rPr>
        <w:t xml:space="preserve">utfitting </w:t>
      </w:r>
      <w:r w:rsidR="001E47AF">
        <w:rPr>
          <w:rFonts w:cs="Arial"/>
        </w:rPr>
        <w:t>i</w:t>
      </w:r>
      <w:r w:rsidR="001E47AF" w:rsidRPr="00297A34">
        <w:rPr>
          <w:rFonts w:cs="Arial"/>
        </w:rPr>
        <w:t xml:space="preserve">mmediately before performing the other tests </w:t>
      </w:r>
      <w:r w:rsidR="001E47AF">
        <w:rPr>
          <w:rFonts w:cs="Arial"/>
        </w:rPr>
        <w:t>provided</w:t>
      </w:r>
      <w:r w:rsidR="001E47AF" w:rsidRPr="00297A34">
        <w:rPr>
          <w:rFonts w:cs="Arial"/>
        </w:rPr>
        <w:t xml:space="preserve"> consistent conditions for the </w:t>
      </w:r>
      <w:r w:rsidR="001E47AF">
        <w:rPr>
          <w:rFonts w:cs="Arial"/>
        </w:rPr>
        <w:t>UPDRS III</w:t>
      </w:r>
      <w:r w:rsidR="001E47AF" w:rsidRPr="00297A34">
        <w:rPr>
          <w:rFonts w:cs="Arial"/>
        </w:rPr>
        <w:t xml:space="preserve"> and </w:t>
      </w:r>
      <w:r w:rsidR="001E47AF">
        <w:rPr>
          <w:rFonts w:cs="Arial"/>
        </w:rPr>
        <w:t xml:space="preserve">single-task phoneme monitoring </w:t>
      </w:r>
      <w:r w:rsidR="001E47AF" w:rsidRPr="00297A34">
        <w:rPr>
          <w:rFonts w:cs="Arial"/>
        </w:rPr>
        <w:t xml:space="preserve">measures, during both </w:t>
      </w:r>
      <w:r w:rsidR="001E47AF">
        <w:rPr>
          <w:rFonts w:cs="Arial"/>
        </w:rPr>
        <w:t>OFF</w:t>
      </w:r>
      <w:r w:rsidR="001E47AF" w:rsidRPr="00297A34">
        <w:rPr>
          <w:rFonts w:cs="Arial"/>
        </w:rPr>
        <w:t xml:space="preserve"> and </w:t>
      </w:r>
      <w:r w:rsidR="001E47AF">
        <w:rPr>
          <w:rFonts w:cs="Arial"/>
        </w:rPr>
        <w:t>on-medication states (ON), because once donned, the subjects did not remove the equipment</w:t>
      </w:r>
      <w:r w:rsidR="001E47AF" w:rsidRPr="00297A34">
        <w:rPr>
          <w:rFonts w:cs="Arial"/>
        </w:rPr>
        <w:t>.</w:t>
      </w:r>
      <w:r w:rsidR="001E47AF">
        <w:rPr>
          <w:rFonts w:cs="Arial"/>
        </w:rPr>
        <w:t xml:space="preserve"> This ensured that any changes in UPDRS III and single task phoneme monitoring were not a result of different physical conditions.</w:t>
      </w:r>
    </w:p>
    <w:p w14:paraId="7CD7E6D2" w14:textId="77777777" w:rsidR="001E47AF" w:rsidRDefault="001E47AF" w:rsidP="008009D0">
      <w:pPr>
        <w:jc w:val="both"/>
        <w:rPr>
          <w:rFonts w:cs="Arial"/>
        </w:rPr>
      </w:pPr>
      <w:r>
        <w:rPr>
          <w:rFonts w:cs="Arial"/>
        </w:rPr>
        <w:tab/>
        <w:t xml:space="preserve">Once equipped, </w:t>
      </w:r>
      <w:r w:rsidRPr="007C6D73">
        <w:rPr>
          <w:rFonts w:cs="Arial"/>
        </w:rPr>
        <w:t>testing commence</w:t>
      </w:r>
      <w:r>
        <w:rPr>
          <w:rFonts w:cs="Arial"/>
        </w:rPr>
        <w:t>d with the administration of the UPDRS III</w:t>
      </w:r>
      <w:r w:rsidRPr="007C6D73">
        <w:rPr>
          <w:rFonts w:cs="Arial"/>
        </w:rPr>
        <w:t xml:space="preserve">. The subjects </w:t>
      </w:r>
      <w:r>
        <w:rPr>
          <w:rFonts w:cs="Arial"/>
        </w:rPr>
        <w:t>then</w:t>
      </w:r>
      <w:r w:rsidRPr="007C6D73">
        <w:rPr>
          <w:rFonts w:cs="Arial"/>
        </w:rPr>
        <w:t xml:space="preserve"> </w:t>
      </w:r>
      <w:r>
        <w:rPr>
          <w:rFonts w:cs="Arial"/>
        </w:rPr>
        <w:t>performed</w:t>
      </w:r>
      <w:r w:rsidRPr="007C6D73">
        <w:rPr>
          <w:rFonts w:cs="Arial"/>
        </w:rPr>
        <w:t xml:space="preserve"> the following tasks</w:t>
      </w:r>
      <w:r>
        <w:rPr>
          <w:rFonts w:cs="Arial"/>
        </w:rPr>
        <w:t xml:space="preserve"> in randomized order</w:t>
      </w:r>
      <w:r w:rsidRPr="007C6D73">
        <w:rPr>
          <w:rFonts w:cs="Arial"/>
        </w:rPr>
        <w:t xml:space="preserve">: 1) </w:t>
      </w:r>
      <w:r>
        <w:rPr>
          <w:rFonts w:cs="Arial"/>
        </w:rPr>
        <w:t xml:space="preserve">phoneme monitoring </w:t>
      </w:r>
      <w:r w:rsidRPr="007C6D73">
        <w:rPr>
          <w:rFonts w:cs="Arial"/>
        </w:rPr>
        <w:t xml:space="preserve">while seated comfortably in a quiet room, 2) </w:t>
      </w:r>
      <w:r>
        <w:rPr>
          <w:rFonts w:cs="Arial"/>
        </w:rPr>
        <w:t xml:space="preserve">single-task </w:t>
      </w:r>
      <w:r w:rsidRPr="007C6D73">
        <w:rPr>
          <w:rFonts w:cs="Arial"/>
        </w:rPr>
        <w:t xml:space="preserve">gait, and 3) </w:t>
      </w:r>
      <w:r>
        <w:rPr>
          <w:rFonts w:cs="Arial"/>
        </w:rPr>
        <w:t xml:space="preserve">dual-task </w:t>
      </w:r>
      <w:r w:rsidRPr="007C6D73">
        <w:rPr>
          <w:rFonts w:cs="Arial"/>
        </w:rPr>
        <w:t xml:space="preserve">gait, which </w:t>
      </w:r>
      <w:r>
        <w:rPr>
          <w:rFonts w:cs="Arial"/>
        </w:rPr>
        <w:t>was</w:t>
      </w:r>
      <w:r w:rsidRPr="007C6D73">
        <w:rPr>
          <w:rFonts w:cs="Arial"/>
        </w:rPr>
        <w:t xml:space="preserve"> a combination of gait and </w:t>
      </w:r>
      <w:r>
        <w:rPr>
          <w:rFonts w:cs="Arial"/>
        </w:rPr>
        <w:t>phoneme monitoring</w:t>
      </w:r>
      <w:r w:rsidRPr="007C6D73">
        <w:rPr>
          <w:rFonts w:cs="Arial"/>
        </w:rPr>
        <w:t>.</w:t>
      </w:r>
      <w:r>
        <w:rPr>
          <w:rFonts w:cs="Arial"/>
        </w:rPr>
        <w:t xml:space="preserve"> Each </w:t>
      </w:r>
      <w:r w:rsidRPr="007C6D73">
        <w:rPr>
          <w:rFonts w:cs="Arial"/>
        </w:rPr>
        <w:t xml:space="preserve">condition </w:t>
      </w:r>
      <w:r>
        <w:rPr>
          <w:rFonts w:cs="Arial"/>
        </w:rPr>
        <w:t xml:space="preserve">was </w:t>
      </w:r>
      <w:r w:rsidRPr="007C6D73">
        <w:rPr>
          <w:rFonts w:cs="Arial"/>
        </w:rPr>
        <w:t>performed for 3 min</w:t>
      </w:r>
      <w:r>
        <w:rPr>
          <w:rFonts w:cs="Arial"/>
        </w:rPr>
        <w:t>. R</w:t>
      </w:r>
      <w:r w:rsidRPr="007C6D73">
        <w:rPr>
          <w:rFonts w:cs="Arial"/>
        </w:rPr>
        <w:t xml:space="preserve">est (≥ 1 min) between walking conditions </w:t>
      </w:r>
      <w:r>
        <w:rPr>
          <w:rFonts w:cs="Arial"/>
        </w:rPr>
        <w:t>was</w:t>
      </w:r>
      <w:r w:rsidRPr="007C6D73">
        <w:rPr>
          <w:rFonts w:cs="Arial"/>
        </w:rPr>
        <w:t xml:space="preserve"> provided</w:t>
      </w:r>
      <w:r>
        <w:rPr>
          <w:rFonts w:cs="Arial"/>
        </w:rPr>
        <w:t xml:space="preserve"> when necessary by having the subjects sit in a wheelchair at the end of each trial</w:t>
      </w:r>
      <w:r w:rsidRPr="007C6D73">
        <w:rPr>
          <w:rFonts w:cs="Arial"/>
        </w:rPr>
        <w:t xml:space="preserve">. Before </w:t>
      </w:r>
      <w:r>
        <w:rPr>
          <w:rFonts w:cs="Arial"/>
        </w:rPr>
        <w:t>all phoneme monitoring trials,</w:t>
      </w:r>
      <w:r w:rsidRPr="007C6D73">
        <w:rPr>
          <w:rFonts w:cs="Arial"/>
        </w:rPr>
        <w:t xml:space="preserve"> the subjects </w:t>
      </w:r>
      <w:r>
        <w:rPr>
          <w:rFonts w:cs="Arial"/>
        </w:rPr>
        <w:t xml:space="preserve">were </w:t>
      </w:r>
      <w:r w:rsidRPr="007C6D73">
        <w:rPr>
          <w:rFonts w:cs="Arial"/>
        </w:rPr>
        <w:t xml:space="preserve">reminded </w:t>
      </w:r>
      <w:r>
        <w:rPr>
          <w:rFonts w:cs="Arial"/>
        </w:rPr>
        <w:t>that they would be asked</w:t>
      </w:r>
      <w:r w:rsidRPr="007C6D73">
        <w:rPr>
          <w:rFonts w:cs="Arial"/>
        </w:rPr>
        <w:t xml:space="preserve"> questions about the </w:t>
      </w:r>
      <w:r>
        <w:rPr>
          <w:rFonts w:cs="Arial"/>
        </w:rPr>
        <w:t>content of the text</w:t>
      </w:r>
      <w:r w:rsidRPr="007C6D73">
        <w:rPr>
          <w:rFonts w:cs="Arial"/>
        </w:rPr>
        <w:t xml:space="preserve"> and the phoneme tally at the end of the walk. No other explicit instructions for directing attention </w:t>
      </w:r>
      <w:r>
        <w:rPr>
          <w:rFonts w:cs="Arial"/>
        </w:rPr>
        <w:t xml:space="preserve">were </w:t>
      </w:r>
      <w:r w:rsidRPr="007C6D73">
        <w:rPr>
          <w:rFonts w:cs="Arial"/>
        </w:rPr>
        <w:t>provided.</w:t>
      </w:r>
    </w:p>
    <w:p w14:paraId="54575AD7" w14:textId="01BEEE25" w:rsidR="00D009DF" w:rsidRPr="00864B56" w:rsidRDefault="001E47AF" w:rsidP="008009D0">
      <w:pPr>
        <w:jc w:val="both"/>
        <w:rPr>
          <w:rFonts w:cs="Arial"/>
        </w:rPr>
      </w:pPr>
      <w:r>
        <w:rPr>
          <w:rFonts w:cs="Arial"/>
        </w:rPr>
        <w:tab/>
      </w:r>
      <w:r w:rsidRPr="00212C2A">
        <w:rPr>
          <w:rFonts w:cs="Arial"/>
        </w:rPr>
        <w:t xml:space="preserve">After </w:t>
      </w:r>
      <w:r>
        <w:rPr>
          <w:rFonts w:cs="Arial"/>
        </w:rPr>
        <w:t>all</w:t>
      </w:r>
      <w:r w:rsidRPr="00212C2A">
        <w:rPr>
          <w:rFonts w:cs="Arial"/>
        </w:rPr>
        <w:t xml:space="preserve"> </w:t>
      </w:r>
      <w:r>
        <w:rPr>
          <w:rFonts w:cs="Arial"/>
        </w:rPr>
        <w:t>trials</w:t>
      </w:r>
      <w:r w:rsidRPr="00212C2A">
        <w:rPr>
          <w:rFonts w:cs="Arial"/>
        </w:rPr>
        <w:t xml:space="preserve"> </w:t>
      </w:r>
      <w:r>
        <w:rPr>
          <w:rFonts w:cs="Arial"/>
        </w:rPr>
        <w:t>were</w:t>
      </w:r>
      <w:r w:rsidRPr="00212C2A">
        <w:rPr>
          <w:rFonts w:cs="Arial"/>
        </w:rPr>
        <w:t xml:space="preserve"> completed, the subjects </w:t>
      </w:r>
      <w:r>
        <w:rPr>
          <w:rFonts w:cs="Arial"/>
        </w:rPr>
        <w:t>took</w:t>
      </w:r>
      <w:r w:rsidRPr="00212C2A">
        <w:rPr>
          <w:rFonts w:cs="Arial"/>
        </w:rPr>
        <w:t xml:space="preserve"> their medications as normally prescribed</w:t>
      </w:r>
      <w:r>
        <w:rPr>
          <w:rFonts w:cs="Arial"/>
        </w:rPr>
        <w:t xml:space="preserve"> for their first/morning dose</w:t>
      </w:r>
      <w:r w:rsidRPr="00212C2A">
        <w:rPr>
          <w:rFonts w:cs="Arial"/>
        </w:rPr>
        <w:t xml:space="preserve">. The </w:t>
      </w:r>
      <w:r>
        <w:rPr>
          <w:rFonts w:cs="Arial"/>
        </w:rPr>
        <w:t xml:space="preserve">ON </w:t>
      </w:r>
      <w:r w:rsidRPr="00212C2A">
        <w:rPr>
          <w:rFonts w:cs="Arial"/>
        </w:rPr>
        <w:t>testing commence</w:t>
      </w:r>
      <w:r>
        <w:rPr>
          <w:rFonts w:cs="Arial"/>
        </w:rPr>
        <w:t>d</w:t>
      </w:r>
      <w:r w:rsidRPr="00212C2A">
        <w:rPr>
          <w:rFonts w:cs="Arial"/>
        </w:rPr>
        <w:t xml:space="preserve"> 45 – 60</w:t>
      </w:r>
      <w:r>
        <w:rPr>
          <w:rFonts w:cs="Arial"/>
        </w:rPr>
        <w:t xml:space="preserve"> min</w:t>
      </w:r>
      <w:r w:rsidRPr="00212C2A">
        <w:rPr>
          <w:rFonts w:cs="Arial"/>
        </w:rPr>
        <w:t xml:space="preserve"> </w:t>
      </w:r>
      <w:r>
        <w:rPr>
          <w:rFonts w:cs="Arial"/>
        </w:rPr>
        <w:t>later (</w:t>
      </w:r>
      <w:r w:rsidRPr="00212C2A">
        <w:rPr>
          <w:rFonts w:cs="Arial"/>
        </w:rPr>
        <w:t>or longer if the subject need</w:t>
      </w:r>
      <w:r>
        <w:rPr>
          <w:rFonts w:cs="Arial"/>
        </w:rPr>
        <w:t>ed</w:t>
      </w:r>
      <w:r w:rsidRPr="00212C2A">
        <w:rPr>
          <w:rFonts w:cs="Arial"/>
        </w:rPr>
        <w:t xml:space="preserve"> more time to achieve a stable </w:t>
      </w:r>
      <w:r>
        <w:rPr>
          <w:rFonts w:cs="Arial"/>
        </w:rPr>
        <w:t>‘on’</w:t>
      </w:r>
      <w:r w:rsidRPr="00212C2A">
        <w:rPr>
          <w:rFonts w:cs="Arial"/>
        </w:rPr>
        <w:t xml:space="preserve"> state</w:t>
      </w:r>
      <w:r>
        <w:rPr>
          <w:rFonts w:cs="Arial"/>
        </w:rPr>
        <w:t>)</w:t>
      </w:r>
      <w:r w:rsidRPr="00212C2A">
        <w:rPr>
          <w:rFonts w:cs="Arial"/>
        </w:rPr>
        <w:t xml:space="preserve">. Subject demographic information (i.e., age, weight, time since diagnosis, PD medication and dosages) </w:t>
      </w:r>
      <w:r>
        <w:rPr>
          <w:rFonts w:cs="Arial"/>
        </w:rPr>
        <w:t>were</w:t>
      </w:r>
      <w:r w:rsidRPr="00212C2A">
        <w:rPr>
          <w:rFonts w:cs="Arial"/>
        </w:rPr>
        <w:t xml:space="preserve"> collected and recorded during </w:t>
      </w:r>
      <w:r>
        <w:rPr>
          <w:rFonts w:cs="Arial"/>
        </w:rPr>
        <w:t>this</w:t>
      </w:r>
      <w:r w:rsidRPr="00212C2A">
        <w:rPr>
          <w:rFonts w:cs="Arial"/>
        </w:rPr>
        <w:t xml:space="preserve"> transition time. </w:t>
      </w:r>
      <w:r>
        <w:rPr>
          <w:rFonts w:cs="Arial"/>
        </w:rPr>
        <w:t>ON</w:t>
      </w:r>
      <w:r w:rsidRPr="00212C2A">
        <w:rPr>
          <w:rFonts w:cs="Arial"/>
        </w:rPr>
        <w:t xml:space="preserve"> testing </w:t>
      </w:r>
      <w:r>
        <w:rPr>
          <w:rFonts w:cs="Arial"/>
        </w:rPr>
        <w:t xml:space="preserve">was </w:t>
      </w:r>
      <w:r>
        <w:rPr>
          <w:rFonts w:cs="Arial"/>
        </w:rPr>
        <w:lastRenderedPageBreak/>
        <w:t>completed</w:t>
      </w:r>
      <w:r w:rsidRPr="00212C2A">
        <w:rPr>
          <w:rFonts w:cs="Arial"/>
        </w:rPr>
        <w:t xml:space="preserve"> in </w:t>
      </w:r>
      <w:r>
        <w:rPr>
          <w:rFonts w:cs="Arial"/>
        </w:rPr>
        <w:t>the same</w:t>
      </w:r>
      <w:r w:rsidRPr="00212C2A">
        <w:rPr>
          <w:rFonts w:cs="Arial"/>
        </w:rPr>
        <w:t xml:space="preserve"> manner as</w:t>
      </w:r>
      <w:r>
        <w:rPr>
          <w:rFonts w:cs="Arial"/>
        </w:rPr>
        <w:t xml:space="preserve"> OFF testing</w:t>
      </w:r>
      <w:r w:rsidRPr="00212C2A">
        <w:rPr>
          <w:rFonts w:cs="Arial"/>
        </w:rPr>
        <w:t xml:space="preserve">, with the same instructions and </w:t>
      </w:r>
      <w:r>
        <w:rPr>
          <w:rFonts w:cs="Arial"/>
        </w:rPr>
        <w:t xml:space="preserve">a new set of randomized </w:t>
      </w:r>
      <w:r w:rsidRPr="00212C2A">
        <w:rPr>
          <w:rFonts w:cs="Arial"/>
        </w:rPr>
        <w:t>conditions.</w:t>
      </w:r>
    </w:p>
    <w:p w14:paraId="3644CD3D" w14:textId="011AB587" w:rsidR="00D009DF" w:rsidRPr="00864B56" w:rsidRDefault="0061515C" w:rsidP="008009D0">
      <w:pPr>
        <w:pStyle w:val="Heading3"/>
        <w:jc w:val="both"/>
      </w:pPr>
      <w:bookmarkStart w:id="18" w:name="_Toc527361732"/>
      <w:r w:rsidRPr="00864B56">
        <w:t xml:space="preserve">Data </w:t>
      </w:r>
      <w:r>
        <w:t>Processing</w:t>
      </w:r>
      <w:bookmarkEnd w:id="18"/>
    </w:p>
    <w:p w14:paraId="638393DE" w14:textId="135771FC" w:rsidR="00F9247A" w:rsidRDefault="00D009DF" w:rsidP="008009D0">
      <w:pPr>
        <w:jc w:val="both"/>
        <w:rPr>
          <w:rFonts w:cs="Arial"/>
        </w:rPr>
      </w:pPr>
      <w:r>
        <w:rPr>
          <w:rFonts w:cs="Arial"/>
        </w:rPr>
        <w:tab/>
      </w:r>
      <w:r w:rsidR="00F9247A">
        <w:rPr>
          <w:rFonts w:cs="Arial"/>
        </w:rPr>
        <w:t xml:space="preserve">Joint angle data relative to body segments (i.e., 0º in the standing, neutral position) were exported from the Xsens software and imported into MATLAB </w:t>
      </w:r>
      <w:r w:rsidR="00F9247A" w:rsidRPr="002948C2">
        <w:rPr>
          <w:rFonts w:cs="Arial"/>
        </w:rPr>
        <w:t>(The MathWorks, Natick, MA)</w:t>
      </w:r>
      <w:r w:rsidR="00F9247A">
        <w:rPr>
          <w:rFonts w:cs="Arial"/>
        </w:rPr>
        <w:t xml:space="preserve"> for analysis. D</w:t>
      </w:r>
      <w:r w:rsidR="00F9247A" w:rsidRPr="003505CC">
        <w:rPr>
          <w:rFonts w:cs="Arial"/>
        </w:rPr>
        <w:t xml:space="preserve">ata </w:t>
      </w:r>
      <w:r w:rsidR="00F9247A">
        <w:rPr>
          <w:rFonts w:cs="Arial"/>
        </w:rPr>
        <w:t>were</w:t>
      </w:r>
      <w:r w:rsidR="00F9247A" w:rsidRPr="003505CC">
        <w:rPr>
          <w:rFonts w:cs="Arial"/>
        </w:rPr>
        <w:t xml:space="preserve"> filtered using a second-order B</w:t>
      </w:r>
      <w:r w:rsidR="00F9247A">
        <w:rPr>
          <w:rFonts w:cs="Arial"/>
        </w:rPr>
        <w:t>utterworth low-pass filter with</w:t>
      </w:r>
      <w:r w:rsidR="00F9247A" w:rsidRPr="003505CC">
        <w:rPr>
          <w:rFonts w:cs="Arial"/>
        </w:rPr>
        <w:t xml:space="preserve"> </w:t>
      </w:r>
      <w:r w:rsidR="00750294" w:rsidRPr="003505CC">
        <w:rPr>
          <w:rFonts w:cs="Arial"/>
        </w:rPr>
        <w:t>2.5 Hz (hip and shoulder angles) and 5 Hz (knee angles) cutoff</w:t>
      </w:r>
      <w:r w:rsidR="00750294">
        <w:rPr>
          <w:rFonts w:cs="Arial"/>
        </w:rPr>
        <w:t xml:space="preserve"> frequencie</w:t>
      </w:r>
      <w:r w:rsidR="00750294" w:rsidRPr="003505CC">
        <w:rPr>
          <w:rFonts w:cs="Arial"/>
        </w:rPr>
        <w:t>s</w:t>
      </w:r>
      <w:r w:rsidR="00F47AEE">
        <w:rPr>
          <w:rFonts w:cs="Arial"/>
        </w:rPr>
        <w:t xml:space="preserve">, as determined by </w:t>
      </w:r>
      <w:r w:rsidR="0052775B">
        <w:rPr>
          <w:rFonts w:cs="Arial"/>
        </w:rPr>
        <w:t>spectral</w:t>
      </w:r>
      <w:r w:rsidR="00B373AC">
        <w:rPr>
          <w:rFonts w:cs="Arial"/>
        </w:rPr>
        <w:t xml:space="preserve"> analysis</w:t>
      </w:r>
      <w:r w:rsidR="00F9247A" w:rsidRPr="003505CC">
        <w:rPr>
          <w:rFonts w:cs="Arial"/>
        </w:rPr>
        <w:t>.</w:t>
      </w:r>
      <w:r w:rsidR="00F9247A">
        <w:rPr>
          <w:rFonts w:cs="Arial"/>
        </w:rPr>
        <w:t xml:space="preserve"> Joint excursion was described as the absolute value of the difference between a local maximum and the subsequent local minimum, as shown in Figure 2. An absolute angle for each step was calculated in the same fashion for each joint, which provided a series of angles for that joint. The mean,</w:t>
      </w:r>
      <w:r w:rsidR="00F9247A" w:rsidRPr="002F3CAB">
        <w:rPr>
          <w:rFonts w:cs="Arial"/>
        </w:rPr>
        <w:t xml:space="preserve"> </w:t>
      </w:r>
      <w:r w:rsidR="00F9247A">
        <w:rPr>
          <w:rFonts w:cs="Arial"/>
        </w:rPr>
        <w:t xml:space="preserve">maximum, and standard deviation of the bilateral hip, knee, and shoulder angles were calculated to provide a representation of segment movement and variability over the gait trial. </w:t>
      </w:r>
    </w:p>
    <w:p w14:paraId="49CC8EEE" w14:textId="77777777" w:rsidR="00F9247A" w:rsidRPr="00305712" w:rsidRDefault="00F9247A" w:rsidP="008009D0">
      <w:pPr>
        <w:jc w:val="both"/>
        <w:rPr>
          <w:rFonts w:cs="Arial"/>
          <w:color w:val="000000" w:themeColor="text1"/>
        </w:rPr>
      </w:pPr>
      <w:r>
        <w:rPr>
          <w:rFonts w:cs="Arial"/>
          <w:color w:val="0070C0"/>
        </w:rPr>
        <w:tab/>
      </w:r>
      <w:r w:rsidRPr="00305712">
        <w:rPr>
          <w:rFonts w:cs="Arial"/>
          <w:color w:val="000000" w:themeColor="text1"/>
        </w:rPr>
        <w:t>Additionally, in order to better understand the relationship between the primary and secondary tasks, dual-task effect</w:t>
      </w:r>
      <w:r>
        <w:rPr>
          <w:rFonts w:cs="Arial"/>
          <w:color w:val="000000" w:themeColor="text1"/>
        </w:rPr>
        <w:t xml:space="preserve"> (DTE) </w:t>
      </w:r>
      <w:r w:rsidRPr="00305712">
        <w:rPr>
          <w:rFonts w:cs="Arial"/>
          <w:color w:val="000000" w:themeColor="text1"/>
        </w:rPr>
        <w:fldChar w:fldCharType="begin" w:fldLock="1"/>
      </w:r>
      <w:r>
        <w:rPr>
          <w:rFonts w:cs="Arial"/>
          <w:color w:val="000000" w:themeColor="text1"/>
        </w:rPr>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305712">
        <w:rPr>
          <w:rFonts w:cs="Arial"/>
          <w:color w:val="000000" w:themeColor="text1"/>
        </w:rPr>
        <w:fldChar w:fldCharType="separate"/>
      </w:r>
      <w:r w:rsidRPr="0011317B">
        <w:rPr>
          <w:rFonts w:cs="Arial"/>
          <w:noProof/>
          <w:color w:val="000000" w:themeColor="text1"/>
        </w:rPr>
        <w:t>[11]</w:t>
      </w:r>
      <w:r w:rsidRPr="00305712">
        <w:rPr>
          <w:rFonts w:cs="Arial"/>
          <w:color w:val="000000" w:themeColor="text1"/>
        </w:rPr>
        <w:fldChar w:fldCharType="end"/>
      </w:r>
      <w:r w:rsidRPr="00305712">
        <w:rPr>
          <w:rFonts w:cs="Arial"/>
          <w:color w:val="000000" w:themeColor="text1"/>
        </w:rPr>
        <w:t xml:space="preserve"> was calculated as follows: </w:t>
      </w:r>
    </w:p>
    <w:p w14:paraId="47940DC9" w14:textId="77777777" w:rsidR="00F9247A" w:rsidRDefault="00F9247A" w:rsidP="008009D0">
      <w:pPr>
        <w:keepNext/>
        <w:tabs>
          <w:tab w:val="left" w:pos="360"/>
        </w:tabs>
        <w:jc w:val="both"/>
      </w:pPr>
      <m:oMathPara>
        <m:oMath>
          <m:r>
            <w:rPr>
              <w:rFonts w:ascii="Cambria Math" w:hAnsi="Cambria Math" w:cs="Arial"/>
            </w:rPr>
            <m:t xml:space="preserve">Task DTE= </m:t>
          </m:r>
          <m:f>
            <m:fPr>
              <m:ctrlPr>
                <w:rPr>
                  <w:rFonts w:ascii="Cambria Math" w:hAnsi="Cambria Math" w:cs="Arial"/>
                  <w:i/>
                </w:rPr>
              </m:ctrlPr>
            </m:fPr>
            <m:num>
              <m:r>
                <w:rPr>
                  <w:rFonts w:ascii="Cambria Math" w:hAnsi="Cambria Math" w:cs="Arial"/>
                </w:rPr>
                <m:t xml:space="preserve">(DT Task-ST Task ) </m:t>
              </m:r>
            </m:num>
            <m:den>
              <m:r>
                <w:rPr>
                  <w:rFonts w:ascii="Cambria Math" w:hAnsi="Cambria Math" w:cs="Arial"/>
                </w:rPr>
                <m:t xml:space="preserve">ST Task </m:t>
              </m:r>
            </m:den>
          </m:f>
          <m:r>
            <w:rPr>
              <w:rFonts w:ascii="Cambria Math" w:hAnsi="Cambria Math" w:cs="Arial"/>
            </w:rPr>
            <m:t>×100</m:t>
          </m:r>
        </m:oMath>
      </m:oMathPara>
    </w:p>
    <w:p w14:paraId="4CEF7C71" w14:textId="6D654756" w:rsidR="00D009DF" w:rsidRPr="00305712" w:rsidRDefault="00F9247A" w:rsidP="008009D0">
      <w:pPr>
        <w:jc w:val="both"/>
        <w:rPr>
          <w:rFonts w:cs="Arial"/>
          <w:color w:val="000000" w:themeColor="text1"/>
        </w:rPr>
      </w:pPr>
      <w:r w:rsidRPr="00305712">
        <w:rPr>
          <w:rFonts w:cs="Arial"/>
          <w:color w:val="000000" w:themeColor="text1"/>
        </w:rPr>
        <w:t>Where ‘</w:t>
      </w:r>
      <w:r w:rsidRPr="00305712">
        <w:rPr>
          <w:rFonts w:cs="Arial"/>
          <w:i/>
          <w:color w:val="000000" w:themeColor="text1"/>
        </w:rPr>
        <w:t>ST/DT</w:t>
      </w:r>
      <w:r w:rsidRPr="00305712">
        <w:rPr>
          <w:rFonts w:cs="Arial"/>
          <w:color w:val="000000" w:themeColor="text1"/>
        </w:rPr>
        <w:t xml:space="preserve"> </w:t>
      </w:r>
      <w:r w:rsidRPr="00305712">
        <w:rPr>
          <w:rFonts w:cs="Arial"/>
          <w:i/>
          <w:color w:val="000000" w:themeColor="text1"/>
        </w:rPr>
        <w:t>Task</w:t>
      </w:r>
      <w:r w:rsidRPr="00305712">
        <w:rPr>
          <w:rFonts w:cs="Arial"/>
          <w:color w:val="000000" w:themeColor="text1"/>
        </w:rPr>
        <w:t xml:space="preserve">’ </w:t>
      </w:r>
      <w:r>
        <w:rPr>
          <w:rFonts w:cs="Arial"/>
          <w:color w:val="000000" w:themeColor="text1"/>
        </w:rPr>
        <w:t xml:space="preserve">respectively </w:t>
      </w:r>
      <w:r w:rsidRPr="00305712">
        <w:rPr>
          <w:rFonts w:cs="Arial"/>
          <w:color w:val="000000" w:themeColor="text1"/>
        </w:rPr>
        <w:t>represents the single- and dual-task performance for a given variable.</w:t>
      </w:r>
      <w:r>
        <w:rPr>
          <w:rFonts w:cs="Arial"/>
          <w:color w:val="000000" w:themeColor="text1"/>
        </w:rPr>
        <w:t xml:space="preserve"> Furthermore, to visually </w:t>
      </w:r>
      <w:r w:rsidRPr="00E51A46">
        <w:rPr>
          <w:rFonts w:cs="Arial"/>
          <w:color w:val="000000" w:themeColor="text1"/>
        </w:rPr>
        <w:t xml:space="preserve">characterize the relationship between the tasks and provide an indication of </w:t>
      </w:r>
      <w:r>
        <w:rPr>
          <w:rFonts w:cs="Arial"/>
          <w:color w:val="000000" w:themeColor="text1"/>
        </w:rPr>
        <w:t xml:space="preserve">medication-induced </w:t>
      </w:r>
      <w:r w:rsidRPr="00E51A46">
        <w:rPr>
          <w:rFonts w:cs="Arial"/>
          <w:color w:val="000000" w:themeColor="text1"/>
        </w:rPr>
        <w:t>automaticity</w:t>
      </w:r>
      <w:r>
        <w:rPr>
          <w:rFonts w:cs="Arial"/>
          <w:color w:val="000000" w:themeColor="text1"/>
        </w:rPr>
        <w:t xml:space="preserve">, DTE ON was subtracted from DTE OFF (i.e., Task </w:t>
      </w:r>
      <m:oMath>
        <m:r>
          <w:rPr>
            <w:rFonts w:ascii="Cambria Math" w:hAnsi="Cambria Math" w:cs="Arial"/>
            <w:color w:val="000000" w:themeColor="text1"/>
          </w:rPr>
          <m:t>∆</m:t>
        </m:r>
      </m:oMath>
      <w:r>
        <w:rPr>
          <w:rFonts w:cs="Arial"/>
          <w:color w:val="000000" w:themeColor="text1"/>
        </w:rPr>
        <w:t xml:space="preserve">DTE = ON Task DTE – OFF Task DTE), where ‘Task’ is a </w:t>
      </w:r>
      <w:r>
        <w:rPr>
          <w:rFonts w:cs="Arial"/>
          <w:color w:val="000000" w:themeColor="text1"/>
        </w:rPr>
        <w:lastRenderedPageBreak/>
        <w:t>primary or secondary task</w:t>
      </w:r>
      <w:r w:rsidRPr="00305712">
        <w:rPr>
          <w:rFonts w:cs="Arial"/>
          <w:color w:val="000000" w:themeColor="text1"/>
        </w:rPr>
        <w:t xml:space="preserve">. </w:t>
      </w:r>
      <m:oMath>
        <m:r>
          <w:rPr>
            <w:rFonts w:ascii="Cambria Math" w:hAnsi="Cambria Math" w:cs="Arial"/>
            <w:color w:val="000000" w:themeColor="text1"/>
          </w:rPr>
          <m:t>∆</m:t>
        </m:r>
      </m:oMath>
      <w:r>
        <w:rPr>
          <w:rFonts w:cs="Arial"/>
          <w:color w:val="000000" w:themeColor="text1"/>
        </w:rPr>
        <w:t>DTE was calculated for gait velocity and the phoneme tally.</w:t>
      </w:r>
      <w:r w:rsidRPr="00305712">
        <w:rPr>
          <w:rFonts w:cs="Arial"/>
          <w:color w:val="000000" w:themeColor="text1"/>
        </w:rPr>
        <w:t xml:space="preserve"> The</w:t>
      </w:r>
      <w:r>
        <w:rPr>
          <w:rFonts w:cs="Arial"/>
          <w:color w:val="000000" w:themeColor="text1"/>
        </w:rPr>
        <w:t>n, the DTE relationship</w:t>
      </w:r>
      <w:r w:rsidRPr="00305712">
        <w:rPr>
          <w:rFonts w:cs="Arial"/>
          <w:color w:val="000000" w:themeColor="text1"/>
        </w:rPr>
        <w:t xml:space="preserve"> </w:t>
      </w:r>
      <w:r>
        <w:rPr>
          <w:rFonts w:cs="Arial"/>
          <w:color w:val="000000" w:themeColor="text1"/>
        </w:rPr>
        <w:t xml:space="preserve">between gait velocity and phoneme tally were </w:t>
      </w:r>
      <w:r w:rsidRPr="00305712">
        <w:rPr>
          <w:rFonts w:cs="Arial"/>
          <w:color w:val="000000" w:themeColor="text1"/>
        </w:rPr>
        <w:t>plotted on a coordinate plane</w:t>
      </w:r>
      <w:r>
        <w:rPr>
          <w:rFonts w:cs="Arial"/>
          <w:color w:val="000000" w:themeColor="text1"/>
        </w:rPr>
        <w:t xml:space="preserve"> with (x,y) = (</w:t>
      </w:r>
      <m:oMath>
        <m:r>
          <w:rPr>
            <w:rFonts w:ascii="Cambria Math" w:hAnsi="Cambria Math" w:cs="Arial"/>
            <w:color w:val="000000" w:themeColor="text1"/>
          </w:rPr>
          <m:t>∆</m:t>
        </m:r>
      </m:oMath>
      <w:r>
        <w:rPr>
          <w:rFonts w:cs="Arial"/>
          <w:color w:val="000000" w:themeColor="text1"/>
        </w:rPr>
        <w:t>DTE</w:t>
      </w:r>
      <w:r w:rsidRPr="00AF286C">
        <w:rPr>
          <w:rFonts w:cs="Arial"/>
          <w:color w:val="000000" w:themeColor="text1"/>
          <w:vertAlign w:val="subscript"/>
        </w:rPr>
        <w:t>velocity</w:t>
      </w:r>
      <w:r w:rsidRPr="00C81CDA">
        <w:rPr>
          <w:rFonts w:cs="Arial"/>
          <w:color w:val="000000" w:themeColor="text1"/>
        </w:rPr>
        <w:t>,</w:t>
      </w:r>
      <w:r>
        <w:rPr>
          <w:rFonts w:cs="Arial"/>
          <w:color w:val="000000" w:themeColor="text1"/>
        </w:rPr>
        <w:t xml:space="preserve"> </w:t>
      </w:r>
      <m:oMath>
        <m:r>
          <w:rPr>
            <w:rFonts w:ascii="Cambria Math" w:hAnsi="Cambria Math" w:cs="Arial"/>
            <w:color w:val="000000" w:themeColor="text1"/>
          </w:rPr>
          <m:t>∆</m:t>
        </m:r>
      </m:oMath>
      <w:r>
        <w:rPr>
          <w:rFonts w:cs="Arial"/>
          <w:color w:val="000000" w:themeColor="text1"/>
        </w:rPr>
        <w:t>DTE</w:t>
      </w:r>
      <w:r>
        <w:rPr>
          <w:rFonts w:cs="Arial"/>
          <w:color w:val="000000" w:themeColor="text1"/>
          <w:vertAlign w:val="subscript"/>
        </w:rPr>
        <w:t>tally</w:t>
      </w:r>
      <w:r>
        <w:rPr>
          <w:rFonts w:cs="Arial"/>
          <w:color w:val="000000" w:themeColor="text1"/>
        </w:rPr>
        <w:t>) for each subject with the</w:t>
      </w:r>
      <w:r w:rsidRPr="00305712">
        <w:rPr>
          <w:rFonts w:cs="Arial"/>
          <w:color w:val="000000" w:themeColor="text1"/>
        </w:rPr>
        <w:t xml:space="preserve"> x-axis </w:t>
      </w:r>
      <w:r>
        <w:rPr>
          <w:rFonts w:cs="Arial"/>
          <w:color w:val="000000" w:themeColor="text1"/>
        </w:rPr>
        <w:t>as</w:t>
      </w:r>
      <w:r w:rsidRPr="00305712">
        <w:rPr>
          <w:rFonts w:cs="Arial"/>
          <w:color w:val="000000" w:themeColor="text1"/>
        </w:rPr>
        <w:t xml:space="preserve"> </w:t>
      </w:r>
      <w:r>
        <w:rPr>
          <w:rFonts w:cs="Arial"/>
          <w:color w:val="000000" w:themeColor="text1"/>
        </w:rPr>
        <w:t xml:space="preserve">change in </w:t>
      </w:r>
      <w:r w:rsidRPr="00305712">
        <w:rPr>
          <w:rFonts w:cs="Arial"/>
          <w:color w:val="000000" w:themeColor="text1"/>
        </w:rPr>
        <w:t xml:space="preserve">gait effect and y-axis </w:t>
      </w:r>
      <w:r>
        <w:rPr>
          <w:rFonts w:cs="Arial"/>
          <w:color w:val="000000" w:themeColor="text1"/>
        </w:rPr>
        <w:t>as</w:t>
      </w:r>
      <w:r w:rsidRPr="00305712">
        <w:rPr>
          <w:rFonts w:cs="Arial"/>
          <w:color w:val="000000" w:themeColor="text1"/>
        </w:rPr>
        <w:t xml:space="preserve"> </w:t>
      </w:r>
      <w:r>
        <w:rPr>
          <w:rFonts w:cs="Arial"/>
          <w:color w:val="000000" w:themeColor="text1"/>
        </w:rPr>
        <w:t xml:space="preserve">change in </w:t>
      </w:r>
      <w:r w:rsidRPr="00305712">
        <w:rPr>
          <w:rFonts w:cs="Arial"/>
          <w:color w:val="000000" w:themeColor="text1"/>
        </w:rPr>
        <w:t>phonem</w:t>
      </w:r>
      <w:r>
        <w:rPr>
          <w:rFonts w:cs="Arial"/>
          <w:color w:val="000000" w:themeColor="text1"/>
        </w:rPr>
        <w:t>e monitoring effect (</w:t>
      </w:r>
      <w:r w:rsidRPr="00B6653C">
        <w:rPr>
          <w:rFonts w:cs="Arial"/>
        </w:rPr>
        <w:t>see Figure 3 below</w:t>
      </w:r>
      <w:r w:rsidRPr="00305712">
        <w:rPr>
          <w:rFonts w:cs="Arial"/>
          <w:color w:val="000000" w:themeColor="text1"/>
        </w:rPr>
        <w:t>).</w:t>
      </w:r>
    </w:p>
    <w:p w14:paraId="1A85DE2F" w14:textId="66108DF1" w:rsidR="00D009DF" w:rsidRPr="00BD54FB" w:rsidRDefault="00D009DF" w:rsidP="008009D0">
      <w:pPr>
        <w:pStyle w:val="Heading3"/>
        <w:jc w:val="both"/>
      </w:pPr>
      <w:bookmarkStart w:id="19" w:name="_Toc527361733"/>
      <w:r w:rsidRPr="00BD54FB">
        <w:t>Statistical Analysis</w:t>
      </w:r>
      <w:bookmarkEnd w:id="19"/>
    </w:p>
    <w:p w14:paraId="3FDC031F" w14:textId="72DBD51A" w:rsidR="00236E86" w:rsidRPr="00A5569F" w:rsidRDefault="00D009DF" w:rsidP="008009D0">
      <w:pPr>
        <w:jc w:val="both"/>
        <w:rPr>
          <w:rFonts w:cs="Arial"/>
        </w:rPr>
      </w:pPr>
      <w:r>
        <w:rPr>
          <w:rFonts w:cs="Arial"/>
        </w:rPr>
        <w:tab/>
      </w:r>
      <w:r w:rsidR="00247497">
        <w:rPr>
          <w:rFonts w:cs="Arial"/>
        </w:rPr>
        <w:t xml:space="preserve">A 2-factor </w:t>
      </w:r>
      <w:r w:rsidR="00247497" w:rsidRPr="0035096E">
        <w:rPr>
          <w:rFonts w:cs="Arial"/>
        </w:rPr>
        <w:t>repeated-measures ANOVA</w:t>
      </w:r>
      <w:r w:rsidR="00247497">
        <w:rPr>
          <w:rFonts w:cs="Arial"/>
        </w:rPr>
        <w:t>,</w:t>
      </w:r>
      <w:r w:rsidR="00247497" w:rsidRPr="0035096E">
        <w:rPr>
          <w:rFonts w:cs="Arial"/>
        </w:rPr>
        <w:t xml:space="preserve"> medication (</w:t>
      </w:r>
      <w:r w:rsidR="00247497">
        <w:rPr>
          <w:rFonts w:cs="Arial"/>
        </w:rPr>
        <w:t>OFF</w:t>
      </w:r>
      <w:r w:rsidR="00247497" w:rsidRPr="0035096E">
        <w:rPr>
          <w:rFonts w:cs="Arial"/>
        </w:rPr>
        <w:t xml:space="preserve"> vs. </w:t>
      </w:r>
      <w:r w:rsidR="00247497">
        <w:rPr>
          <w:rFonts w:cs="Arial"/>
        </w:rPr>
        <w:t>ON</w:t>
      </w:r>
      <w:r w:rsidR="00247497" w:rsidRPr="0035096E">
        <w:rPr>
          <w:rFonts w:cs="Arial"/>
        </w:rPr>
        <w:t>) by task (</w:t>
      </w:r>
      <w:r w:rsidR="00247497">
        <w:rPr>
          <w:rFonts w:cs="Arial"/>
        </w:rPr>
        <w:t>ST</w:t>
      </w:r>
      <w:r w:rsidR="00247497" w:rsidRPr="0035096E">
        <w:rPr>
          <w:rFonts w:cs="Arial"/>
        </w:rPr>
        <w:t xml:space="preserve"> vs. </w:t>
      </w:r>
      <w:r w:rsidR="00247497">
        <w:rPr>
          <w:rFonts w:cs="Arial"/>
        </w:rPr>
        <w:t>DT), was</w:t>
      </w:r>
      <w:r w:rsidR="00247497" w:rsidRPr="0035096E">
        <w:rPr>
          <w:rFonts w:cs="Arial"/>
        </w:rPr>
        <w:t xml:space="preserve"> employed to </w:t>
      </w:r>
      <w:r w:rsidR="00247497">
        <w:rPr>
          <w:rFonts w:cs="Arial"/>
        </w:rPr>
        <w:t>test</w:t>
      </w:r>
      <w:r w:rsidR="00247497" w:rsidRPr="0035096E">
        <w:rPr>
          <w:rFonts w:cs="Arial"/>
        </w:rPr>
        <w:t xml:space="preserve"> the </w:t>
      </w:r>
      <w:r w:rsidR="00247497">
        <w:rPr>
          <w:rFonts w:cs="Arial"/>
        </w:rPr>
        <w:t>hypotheses for the</w:t>
      </w:r>
      <w:r w:rsidR="00247497" w:rsidRPr="0035096E">
        <w:rPr>
          <w:rFonts w:cs="Arial"/>
        </w:rPr>
        <w:t xml:space="preserve"> </w:t>
      </w:r>
      <w:r w:rsidR="00247497">
        <w:rPr>
          <w:rFonts w:cs="Arial"/>
        </w:rPr>
        <w:t>temporo-spatial gait variables (</w:t>
      </w:r>
      <w:r w:rsidR="00247497" w:rsidRPr="0035096E">
        <w:rPr>
          <w:rFonts w:cs="Arial"/>
        </w:rPr>
        <w:t xml:space="preserve">velocity, cadence, </w:t>
      </w:r>
      <w:r w:rsidR="00247497">
        <w:rPr>
          <w:rFonts w:cs="Arial"/>
        </w:rPr>
        <w:t xml:space="preserve">and </w:t>
      </w:r>
      <w:r w:rsidR="00247497" w:rsidRPr="0035096E">
        <w:rPr>
          <w:rFonts w:cs="Arial"/>
        </w:rPr>
        <w:t>stride length</w:t>
      </w:r>
      <w:r w:rsidR="00247497">
        <w:rPr>
          <w:rFonts w:cs="Arial"/>
        </w:rPr>
        <w:t>) and the phoneme monitoring variables. For the kinematic variables (</w:t>
      </w:r>
      <w:r w:rsidR="00247497" w:rsidRPr="0035096E">
        <w:rPr>
          <w:rFonts w:cs="Arial"/>
        </w:rPr>
        <w:t>mean</w:t>
      </w:r>
      <w:r w:rsidR="00247497">
        <w:rPr>
          <w:rFonts w:cs="Arial"/>
        </w:rPr>
        <w:t>, maximum, and SD</w:t>
      </w:r>
      <w:r w:rsidR="00247497" w:rsidRPr="0035096E">
        <w:rPr>
          <w:rFonts w:cs="Arial"/>
        </w:rPr>
        <w:t xml:space="preserve"> bilateral hip, knee, and shoulder angles)</w:t>
      </w:r>
      <w:r w:rsidR="00247497">
        <w:rPr>
          <w:rFonts w:cs="Arial"/>
        </w:rPr>
        <w:t>, a linear mixed effects model for repeated measures</w:t>
      </w:r>
      <w:r w:rsidR="00247497" w:rsidRPr="00490980">
        <w:rPr>
          <w:rFonts w:cs="Arial"/>
        </w:rPr>
        <w:t xml:space="preserve"> </w:t>
      </w:r>
      <w:r w:rsidR="00247497">
        <w:rPr>
          <w:rFonts w:cs="Arial"/>
        </w:rPr>
        <w:t xml:space="preserve">was performed, with </w:t>
      </w:r>
      <w:r w:rsidR="00247497" w:rsidRPr="0035096E">
        <w:rPr>
          <w:rFonts w:cs="Arial"/>
        </w:rPr>
        <w:t>medication (</w:t>
      </w:r>
      <w:r w:rsidR="00247497">
        <w:rPr>
          <w:rFonts w:cs="Arial"/>
        </w:rPr>
        <w:t>OFF</w:t>
      </w:r>
      <w:r w:rsidR="00247497" w:rsidRPr="0035096E">
        <w:rPr>
          <w:rFonts w:cs="Arial"/>
        </w:rPr>
        <w:t xml:space="preserve"> vs. </w:t>
      </w:r>
      <w:r w:rsidR="00247497">
        <w:rPr>
          <w:rFonts w:cs="Arial"/>
        </w:rPr>
        <w:t>ON</w:t>
      </w:r>
      <w:r w:rsidR="00247497" w:rsidRPr="0035096E">
        <w:rPr>
          <w:rFonts w:cs="Arial"/>
        </w:rPr>
        <w:t xml:space="preserve">) </w:t>
      </w:r>
      <w:r w:rsidR="00247497">
        <w:rPr>
          <w:rFonts w:cs="Arial"/>
        </w:rPr>
        <w:t xml:space="preserve">and </w:t>
      </w:r>
      <w:r w:rsidR="00247497" w:rsidRPr="0035096E">
        <w:rPr>
          <w:rFonts w:cs="Arial"/>
        </w:rPr>
        <w:t>task (</w:t>
      </w:r>
      <w:r w:rsidR="00247497">
        <w:rPr>
          <w:rFonts w:cs="Arial"/>
        </w:rPr>
        <w:t>ST</w:t>
      </w:r>
      <w:r w:rsidR="00247497" w:rsidRPr="0035096E">
        <w:rPr>
          <w:rFonts w:cs="Arial"/>
        </w:rPr>
        <w:t xml:space="preserve"> vs. </w:t>
      </w:r>
      <w:r w:rsidR="00247497">
        <w:rPr>
          <w:rFonts w:cs="Arial"/>
        </w:rPr>
        <w:t xml:space="preserve">DT) and the medication*task interaction as fixed effects, gait velocity as a repeated measure covariate, and maximum likelihood as the estimation method. This model was chosen to account for the correlation of each subject’s data (i.e., each pairing of medication and task was highly correlated within a subject) and to use the available data fully. The covariate was included to control for the well-accepted medication-induced improvements in gait velocity </w:t>
      </w:r>
      <w:r w:rsidR="00247497">
        <w:rPr>
          <w:rFonts w:cs="Arial"/>
        </w:rPr>
        <w:fldChar w:fldCharType="begin" w:fldLock="1"/>
      </w:r>
      <w:r w:rsidR="00247497">
        <w:rPr>
          <w:rFonts w:cs="Arial"/>
        </w:rPr>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mendeley":{"formattedCitation":"[2]","plainTextFormattedCitation":"[2]","previouslyFormattedCitation":"[2]"},"properties":{"noteIndex":0},"schema":"https://github.com/citation-style-language/schema/raw/master/csl-citation.json"}</w:instrText>
      </w:r>
      <w:r w:rsidR="00247497">
        <w:rPr>
          <w:rFonts w:cs="Arial"/>
        </w:rPr>
        <w:fldChar w:fldCharType="separate"/>
      </w:r>
      <w:r w:rsidR="00247497" w:rsidRPr="00053AC4">
        <w:rPr>
          <w:rFonts w:cs="Arial"/>
          <w:noProof/>
        </w:rPr>
        <w:t>[2]</w:t>
      </w:r>
      <w:r w:rsidR="00247497">
        <w:rPr>
          <w:rFonts w:cs="Arial"/>
        </w:rPr>
        <w:fldChar w:fldCharType="end"/>
      </w:r>
      <w:r w:rsidR="00247497">
        <w:rPr>
          <w:rFonts w:cs="Arial"/>
        </w:rPr>
        <w:t xml:space="preserve">. In addition, because PD symptoms are either unilaterally </w:t>
      </w:r>
      <w:r w:rsidR="00247497" w:rsidRPr="00100BDE">
        <w:rPr>
          <w:rFonts w:cs="Arial"/>
        </w:rPr>
        <w:t>present</w:t>
      </w:r>
      <w:r w:rsidR="00247497">
        <w:rPr>
          <w:rFonts w:cs="Arial"/>
        </w:rPr>
        <w:t xml:space="preserve"> or more severe </w:t>
      </w:r>
      <w:r w:rsidR="00247497">
        <w:rPr>
          <w:rFonts w:cs="Arial"/>
        </w:rPr>
        <w:fldChar w:fldCharType="begin" w:fldLock="1"/>
      </w:r>
      <w:r w:rsidR="00247497">
        <w:rPr>
          <w:rFonts w:cs="Arial"/>
        </w:rPr>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mendeley":{"formattedCitation":"[2]","plainTextFormattedCitation":"[2]","previouslyFormattedCitation":"[2]"},"properties":{"noteIndex":0},"schema":"https://github.com/citation-style-language/schema/raw/master/csl-citation.json"}</w:instrText>
      </w:r>
      <w:r w:rsidR="00247497">
        <w:rPr>
          <w:rFonts w:cs="Arial"/>
        </w:rPr>
        <w:fldChar w:fldCharType="separate"/>
      </w:r>
      <w:r w:rsidR="00247497" w:rsidRPr="00E56816">
        <w:rPr>
          <w:rFonts w:cs="Arial"/>
          <w:noProof/>
        </w:rPr>
        <w:t>[2]</w:t>
      </w:r>
      <w:r w:rsidR="00247497">
        <w:rPr>
          <w:rFonts w:cs="Arial"/>
        </w:rPr>
        <w:fldChar w:fldCharType="end"/>
      </w:r>
      <w:r w:rsidR="00247497">
        <w:rPr>
          <w:rFonts w:cs="Arial"/>
        </w:rPr>
        <w:t xml:space="preserve">, hip, knee, and shoulder angles were stratified into more-affected and less-affected sides instead of left and right sides. The assumptions for a repeated-measures ANOVA and linear mixed effects were reviewed or tested. The normality assumption of each variable was checked via histograms, skewness, and </w:t>
      </w:r>
      <w:r w:rsidR="00BF342D" w:rsidRPr="007864C9">
        <w:rPr>
          <w:rFonts w:eastAsia="MS Mincho" w:cs="Arial"/>
        </w:rPr>
        <w:t xml:space="preserve">kurtosis </w:t>
      </w:r>
      <w:r w:rsidR="00247497">
        <w:rPr>
          <w:rFonts w:cs="Arial"/>
        </w:rPr>
        <w:t xml:space="preserve">statistics of the residuals of outcome variables. </w:t>
      </w:r>
      <w:r w:rsidR="0055092C" w:rsidRPr="00347D7F">
        <w:rPr>
          <w:rFonts w:cs="Arial"/>
        </w:rPr>
        <w:t>P</w:t>
      </w:r>
      <w:r w:rsidR="0055092C">
        <w:rPr>
          <w:rFonts w:cs="Arial"/>
        </w:rPr>
        <w:t xml:space="preserve">airwise </w:t>
      </w:r>
      <w:r w:rsidR="0055092C">
        <w:rPr>
          <w:rFonts w:cs="Arial"/>
        </w:rPr>
        <w:lastRenderedPageBreak/>
        <w:t xml:space="preserve">comparisons (i.e., paired </w:t>
      </w:r>
      <w:r w:rsidR="0055092C" w:rsidRPr="00E27CEF">
        <w:rPr>
          <w:rFonts w:cs="Arial"/>
          <w:i/>
        </w:rPr>
        <w:t>t</w:t>
      </w:r>
      <w:r w:rsidR="0055092C">
        <w:rPr>
          <w:rFonts w:cs="Arial"/>
        </w:rPr>
        <w:t>-tests)</w:t>
      </w:r>
      <w:r w:rsidR="00247497">
        <w:rPr>
          <w:rFonts w:cs="Arial"/>
        </w:rPr>
        <w:t xml:space="preserve"> were performed to clarify any significant differences. Significance was accepted at </w:t>
      </w:r>
      <w:r w:rsidR="00247497" w:rsidRPr="001B22CA">
        <w:rPr>
          <w:rFonts w:cs="Arial"/>
          <w:i/>
        </w:rPr>
        <w:t>p</w:t>
      </w:r>
      <w:r w:rsidR="00247497">
        <w:rPr>
          <w:rFonts w:cs="Arial"/>
        </w:rPr>
        <w:t xml:space="preserve"> &lt; 0.05. Statistical analysis was performed using SPSS 23 (IBM Corp., Armonk, NY, USA).</w:t>
      </w:r>
      <w:r>
        <w:rPr>
          <w:rFonts w:cs="Arial"/>
        </w:rPr>
        <w:t xml:space="preserve"> </w:t>
      </w:r>
    </w:p>
    <w:p w14:paraId="29FF5D33" w14:textId="699C9801" w:rsidR="00D009DF" w:rsidRPr="00864B56" w:rsidRDefault="00D009DF" w:rsidP="008009D0">
      <w:pPr>
        <w:pStyle w:val="Heading2"/>
        <w:jc w:val="both"/>
      </w:pPr>
      <w:bookmarkStart w:id="20" w:name="_Toc527361734"/>
      <w:r w:rsidRPr="00864B56">
        <w:t>Results</w:t>
      </w:r>
      <w:bookmarkEnd w:id="20"/>
    </w:p>
    <w:p w14:paraId="5C19E47B" w14:textId="36BBA643" w:rsidR="00D009DF" w:rsidRPr="00083C67" w:rsidRDefault="00D009DF" w:rsidP="008009D0">
      <w:pPr>
        <w:jc w:val="both"/>
        <w:rPr>
          <w:rFonts w:cs="Arial"/>
        </w:rPr>
      </w:pPr>
      <w:r>
        <w:rPr>
          <w:rFonts w:cs="Arial"/>
        </w:rPr>
        <w:tab/>
      </w:r>
      <w:r w:rsidR="005368F0">
        <w:rPr>
          <w:rFonts w:cs="Arial"/>
        </w:rPr>
        <w:t xml:space="preserve">All subjects completed all of the trials according to study protocol. The assumptions for the statistical tests were sufficiently met by all of the variables and no adjustments were made. </w:t>
      </w:r>
      <w:r w:rsidR="005368F0" w:rsidRPr="00F249CA">
        <w:rPr>
          <w:rFonts w:cs="Arial"/>
        </w:rPr>
        <w:t xml:space="preserve">Table 2 </w:t>
      </w:r>
      <w:r w:rsidR="005368F0">
        <w:rPr>
          <w:rFonts w:cs="Arial"/>
        </w:rPr>
        <w:t>contains</w:t>
      </w:r>
      <w:r w:rsidR="005368F0" w:rsidRPr="00F249CA">
        <w:rPr>
          <w:rFonts w:cs="Arial"/>
        </w:rPr>
        <w:t xml:space="preserve"> the results of the analysis, stratified by medication and task.</w:t>
      </w:r>
      <w:r w:rsidR="005368F0">
        <w:rPr>
          <w:rFonts w:cs="Arial"/>
        </w:rPr>
        <w:t xml:space="preserve"> All significant differences are symbolically indicated.</w:t>
      </w:r>
      <w:r w:rsidR="005368F0" w:rsidRPr="00F249CA">
        <w:rPr>
          <w:rFonts w:cs="Arial"/>
        </w:rPr>
        <w:t xml:space="preserve"> Major findings are summarized below.</w:t>
      </w:r>
    </w:p>
    <w:p w14:paraId="685F25A9" w14:textId="67DEE270" w:rsidR="00D009DF" w:rsidRPr="00684F22" w:rsidRDefault="00534679" w:rsidP="008009D0">
      <w:pPr>
        <w:pStyle w:val="Heading3"/>
        <w:jc w:val="both"/>
      </w:pPr>
      <w:bookmarkStart w:id="21" w:name="_Toc527361735"/>
      <w:r>
        <w:t>Temporo-Spatial Variables</w:t>
      </w:r>
      <w:bookmarkEnd w:id="21"/>
    </w:p>
    <w:p w14:paraId="794DFE43" w14:textId="77777777" w:rsidR="002F21E1" w:rsidRDefault="00D009DF" w:rsidP="008009D0">
      <w:pPr>
        <w:jc w:val="both"/>
        <w:rPr>
          <w:rFonts w:cs="Arial"/>
        </w:rPr>
      </w:pPr>
      <w:r>
        <w:rPr>
          <w:rFonts w:cs="Arial"/>
        </w:rPr>
        <w:tab/>
      </w:r>
      <w:r w:rsidR="002F21E1" w:rsidRPr="00C61591">
        <w:rPr>
          <w:rFonts w:cs="Arial"/>
        </w:rPr>
        <w:t xml:space="preserve">There was a significant </w:t>
      </w:r>
      <w:r w:rsidR="002F21E1">
        <w:rPr>
          <w:rFonts w:cs="Arial"/>
        </w:rPr>
        <w:t xml:space="preserve">main </w:t>
      </w:r>
      <w:r w:rsidR="002F21E1" w:rsidRPr="00C61591">
        <w:rPr>
          <w:rFonts w:cs="Arial"/>
        </w:rPr>
        <w:t xml:space="preserve">effect </w:t>
      </w:r>
      <w:r w:rsidR="002F21E1">
        <w:rPr>
          <w:rFonts w:cs="Arial"/>
        </w:rPr>
        <w:t xml:space="preserve">of </w:t>
      </w:r>
      <w:r w:rsidR="002F21E1" w:rsidRPr="00C61591">
        <w:rPr>
          <w:rFonts w:cs="Arial"/>
        </w:rPr>
        <w:t xml:space="preserve">medication </w:t>
      </w:r>
      <w:r w:rsidR="002F21E1">
        <w:rPr>
          <w:rFonts w:cs="Arial"/>
        </w:rPr>
        <w:t>on</w:t>
      </w:r>
      <w:r w:rsidR="002F21E1" w:rsidRPr="00C61591">
        <w:rPr>
          <w:rFonts w:cs="Arial"/>
        </w:rPr>
        <w:t xml:space="preserve"> gait velocity (</w:t>
      </w:r>
      <w:r w:rsidR="002F21E1" w:rsidRPr="00C61591">
        <w:rPr>
          <w:rFonts w:cs="Arial"/>
          <w:i/>
        </w:rPr>
        <w:t>p</w:t>
      </w:r>
      <w:r w:rsidR="002F21E1" w:rsidRPr="00C61591">
        <w:rPr>
          <w:rFonts w:cs="Arial"/>
        </w:rPr>
        <w:t xml:space="preserve"> = 0.007)</w:t>
      </w:r>
      <w:r w:rsidR="002F21E1">
        <w:rPr>
          <w:rFonts w:cs="Arial"/>
        </w:rPr>
        <w:t>, but no main effect of task or interaction effect (</w:t>
      </w:r>
      <w:r w:rsidR="002F21E1" w:rsidRPr="001453DA">
        <w:rPr>
          <w:rFonts w:cs="Arial"/>
          <w:i/>
        </w:rPr>
        <w:t>p</w:t>
      </w:r>
      <w:r w:rsidR="002F21E1" w:rsidRPr="001453DA">
        <w:rPr>
          <w:rFonts w:cs="Arial"/>
        </w:rPr>
        <w:t xml:space="preserve"> = 0.123 and </w:t>
      </w:r>
      <w:r w:rsidR="002F21E1" w:rsidRPr="001453DA">
        <w:rPr>
          <w:rFonts w:cs="Arial"/>
          <w:i/>
        </w:rPr>
        <w:t>p</w:t>
      </w:r>
      <w:r w:rsidR="002F21E1" w:rsidRPr="001453DA">
        <w:rPr>
          <w:rFonts w:cs="Arial"/>
        </w:rPr>
        <w:t xml:space="preserve"> = 0.371</w:t>
      </w:r>
      <w:r w:rsidR="002F21E1">
        <w:rPr>
          <w:rFonts w:cs="Arial"/>
        </w:rPr>
        <w:t>, respectively).</w:t>
      </w:r>
      <w:r w:rsidR="002F21E1" w:rsidRPr="00C61591">
        <w:rPr>
          <w:rFonts w:cs="Arial"/>
        </w:rPr>
        <w:t xml:space="preserve"> </w:t>
      </w:r>
      <w:r w:rsidR="002F21E1">
        <w:rPr>
          <w:rFonts w:cs="Arial"/>
        </w:rPr>
        <w:t>Post-hoc comparisons indicated that</w:t>
      </w:r>
      <w:r w:rsidR="002F21E1" w:rsidRPr="00C61591">
        <w:rPr>
          <w:rFonts w:cs="Arial"/>
        </w:rPr>
        <w:t xml:space="preserve"> </w:t>
      </w:r>
      <w:r w:rsidR="002F21E1">
        <w:rPr>
          <w:rFonts w:cs="Arial"/>
        </w:rPr>
        <w:t xml:space="preserve">single-task gait velocity was faster ON </w:t>
      </w:r>
      <w:r w:rsidR="002F21E1" w:rsidRPr="00C61591">
        <w:rPr>
          <w:rFonts w:cs="Arial"/>
        </w:rPr>
        <w:t>than OFF</w:t>
      </w:r>
      <w:r w:rsidR="002F21E1">
        <w:rPr>
          <w:rFonts w:cs="Arial"/>
        </w:rPr>
        <w:t xml:space="preserve"> </w:t>
      </w:r>
      <w:r w:rsidR="002F21E1" w:rsidRPr="00C61591">
        <w:rPr>
          <w:rFonts w:cs="Arial"/>
        </w:rPr>
        <w:t>(p = 0.01)</w:t>
      </w:r>
      <w:r w:rsidR="002F21E1">
        <w:rPr>
          <w:rFonts w:cs="Arial"/>
        </w:rPr>
        <w:t xml:space="preserve"> and that dual-task gait was faster </w:t>
      </w:r>
      <w:r w:rsidR="002F21E1" w:rsidRPr="00C61591">
        <w:rPr>
          <w:rFonts w:cs="Arial"/>
        </w:rPr>
        <w:t xml:space="preserve">ON than </w:t>
      </w:r>
      <w:r w:rsidR="002F21E1">
        <w:rPr>
          <w:rFonts w:cs="Arial"/>
        </w:rPr>
        <w:t>OFF</w:t>
      </w:r>
      <w:r w:rsidR="002F21E1" w:rsidRPr="00C61591">
        <w:rPr>
          <w:rFonts w:cs="Arial"/>
        </w:rPr>
        <w:t xml:space="preserve"> (p = 0.043).</w:t>
      </w:r>
    </w:p>
    <w:p w14:paraId="4020436E" w14:textId="77777777" w:rsidR="002F21E1" w:rsidRDefault="002F21E1" w:rsidP="008009D0">
      <w:pPr>
        <w:jc w:val="both"/>
        <w:rPr>
          <w:rFonts w:cs="Arial"/>
        </w:rPr>
      </w:pPr>
      <w:r>
        <w:rPr>
          <w:rFonts w:cs="Arial"/>
        </w:rPr>
        <w:tab/>
        <w:t>There was a significant main effect of task on cadence (</w:t>
      </w:r>
      <w:r w:rsidRPr="00C61591">
        <w:rPr>
          <w:rFonts w:cs="Arial"/>
          <w:i/>
        </w:rPr>
        <w:t>p</w:t>
      </w:r>
      <w:r w:rsidRPr="00C61591">
        <w:rPr>
          <w:rFonts w:cs="Arial"/>
        </w:rPr>
        <w:t xml:space="preserve"> = 0.</w:t>
      </w:r>
      <w:r>
        <w:rPr>
          <w:rFonts w:cs="Arial"/>
        </w:rPr>
        <w:t>042), but no medication or interaction effects (</w:t>
      </w:r>
      <w:r w:rsidRPr="001453DA">
        <w:rPr>
          <w:rFonts w:cs="Arial"/>
          <w:i/>
        </w:rPr>
        <w:t>p</w:t>
      </w:r>
      <w:r w:rsidRPr="001453DA">
        <w:rPr>
          <w:rFonts w:cs="Arial"/>
        </w:rPr>
        <w:t xml:space="preserve"> = 0.</w:t>
      </w:r>
      <w:r>
        <w:rPr>
          <w:rFonts w:cs="Arial"/>
        </w:rPr>
        <w:t xml:space="preserve">592 </w:t>
      </w:r>
      <w:r w:rsidRPr="001453DA">
        <w:rPr>
          <w:rFonts w:cs="Arial"/>
        </w:rPr>
        <w:t>and</w:t>
      </w:r>
      <w:r>
        <w:rPr>
          <w:rFonts w:cs="Arial"/>
        </w:rPr>
        <w:t xml:space="preserve"> </w:t>
      </w:r>
      <w:r w:rsidRPr="001453DA">
        <w:rPr>
          <w:rFonts w:cs="Arial"/>
          <w:i/>
        </w:rPr>
        <w:t>p</w:t>
      </w:r>
      <w:r w:rsidRPr="001453DA">
        <w:rPr>
          <w:rFonts w:cs="Arial"/>
        </w:rPr>
        <w:t xml:space="preserve"> = 0.</w:t>
      </w:r>
      <w:r>
        <w:rPr>
          <w:rFonts w:cs="Arial"/>
        </w:rPr>
        <w:t>174, respectively). Pairwise comparison of the task effect indicated that cadence was lower during single-task walking OFF than dual-task walking OFF (</w:t>
      </w:r>
      <w:r w:rsidRPr="00C61591">
        <w:rPr>
          <w:rFonts w:cs="Arial"/>
          <w:i/>
        </w:rPr>
        <w:t>p</w:t>
      </w:r>
      <w:r w:rsidRPr="00C61591">
        <w:rPr>
          <w:rFonts w:cs="Arial"/>
        </w:rPr>
        <w:t xml:space="preserve"> = 0.</w:t>
      </w:r>
      <w:r>
        <w:rPr>
          <w:rFonts w:cs="Arial"/>
        </w:rPr>
        <w:t xml:space="preserve">029). </w:t>
      </w:r>
    </w:p>
    <w:p w14:paraId="0B21B2F5" w14:textId="30C7ACCD" w:rsidR="00D009DF" w:rsidRDefault="002F21E1" w:rsidP="008009D0">
      <w:pPr>
        <w:jc w:val="both"/>
        <w:rPr>
          <w:rFonts w:cs="Arial"/>
        </w:rPr>
      </w:pPr>
      <w:r>
        <w:rPr>
          <w:rFonts w:cs="Arial"/>
        </w:rPr>
        <w:tab/>
        <w:t>There was a significant main effect of task on stride length (</w:t>
      </w:r>
      <w:r w:rsidRPr="00C61591">
        <w:rPr>
          <w:rFonts w:cs="Arial"/>
          <w:i/>
        </w:rPr>
        <w:t>p</w:t>
      </w:r>
      <w:r w:rsidRPr="00C61591">
        <w:rPr>
          <w:rFonts w:cs="Arial"/>
        </w:rPr>
        <w:t xml:space="preserve"> </w:t>
      </w:r>
      <w:r>
        <w:rPr>
          <w:rFonts w:cs="Arial"/>
        </w:rPr>
        <w:t>&lt;</w:t>
      </w:r>
      <w:r w:rsidRPr="00C61591">
        <w:rPr>
          <w:rFonts w:cs="Arial"/>
        </w:rPr>
        <w:t xml:space="preserve"> 0.</w:t>
      </w:r>
      <w:r>
        <w:rPr>
          <w:rFonts w:cs="Arial"/>
        </w:rPr>
        <w:t>001),</w:t>
      </w:r>
      <w:r w:rsidRPr="00A83118">
        <w:rPr>
          <w:rFonts w:cs="Arial"/>
        </w:rPr>
        <w:t xml:space="preserve"> </w:t>
      </w:r>
      <w:r>
        <w:rPr>
          <w:rFonts w:cs="Arial"/>
        </w:rPr>
        <w:t>but no medication or interaction effects were found (</w:t>
      </w:r>
      <w:r w:rsidRPr="001453DA">
        <w:rPr>
          <w:rFonts w:cs="Arial"/>
          <w:i/>
        </w:rPr>
        <w:t>p</w:t>
      </w:r>
      <w:r w:rsidRPr="001453DA">
        <w:rPr>
          <w:rFonts w:cs="Arial"/>
        </w:rPr>
        <w:t xml:space="preserve"> = 0.</w:t>
      </w:r>
      <w:r>
        <w:rPr>
          <w:rFonts w:cs="Arial"/>
        </w:rPr>
        <w:t>073</w:t>
      </w:r>
      <w:r w:rsidRPr="001453DA">
        <w:rPr>
          <w:rFonts w:cs="Arial"/>
        </w:rPr>
        <w:t xml:space="preserve"> and </w:t>
      </w:r>
      <w:r w:rsidRPr="001453DA">
        <w:rPr>
          <w:rFonts w:cs="Arial"/>
          <w:i/>
        </w:rPr>
        <w:t>p</w:t>
      </w:r>
      <w:r w:rsidRPr="001453DA">
        <w:rPr>
          <w:rFonts w:cs="Arial"/>
        </w:rPr>
        <w:t xml:space="preserve"> = 0.</w:t>
      </w:r>
      <w:r>
        <w:rPr>
          <w:rFonts w:cs="Arial"/>
        </w:rPr>
        <w:t xml:space="preserve">562, respectively). Pairwise analysis of the task effect indicated significant differences across both </w:t>
      </w:r>
      <w:r>
        <w:rPr>
          <w:rFonts w:cs="Arial"/>
        </w:rPr>
        <w:lastRenderedPageBreak/>
        <w:t>medication states. While OFF, stride length was larger during single-task walking than dual-task walking (</w:t>
      </w:r>
      <w:r w:rsidRPr="00C61591">
        <w:rPr>
          <w:rFonts w:cs="Arial"/>
          <w:i/>
        </w:rPr>
        <w:t>p</w:t>
      </w:r>
      <w:r w:rsidRPr="00C61591">
        <w:rPr>
          <w:rFonts w:cs="Arial"/>
        </w:rPr>
        <w:t xml:space="preserve"> = 0.</w:t>
      </w:r>
      <w:r>
        <w:rPr>
          <w:rFonts w:cs="Arial"/>
        </w:rPr>
        <w:t>007). While ON, stride length was also larger during single-task walking than dual-task walking (</w:t>
      </w:r>
      <w:r w:rsidRPr="00C61591">
        <w:rPr>
          <w:rFonts w:cs="Arial"/>
          <w:i/>
        </w:rPr>
        <w:t>p</w:t>
      </w:r>
      <w:r w:rsidRPr="00C61591">
        <w:rPr>
          <w:rFonts w:cs="Arial"/>
        </w:rPr>
        <w:t xml:space="preserve"> = 0.</w:t>
      </w:r>
      <w:r>
        <w:rPr>
          <w:rFonts w:cs="Arial"/>
        </w:rPr>
        <w:t>007).</w:t>
      </w:r>
      <w:r w:rsidR="00D009DF">
        <w:rPr>
          <w:rFonts w:cs="Arial"/>
        </w:rPr>
        <w:t xml:space="preserve"> </w:t>
      </w:r>
    </w:p>
    <w:p w14:paraId="26DB2544" w14:textId="44D9AA01" w:rsidR="00D009DF" w:rsidRPr="00B8221E" w:rsidRDefault="001D6A66" w:rsidP="008009D0">
      <w:pPr>
        <w:pStyle w:val="Heading3"/>
        <w:jc w:val="both"/>
      </w:pPr>
      <w:bookmarkStart w:id="22" w:name="_Toc527361736"/>
      <w:r>
        <w:t>Kinematic Variables</w:t>
      </w:r>
      <w:bookmarkEnd w:id="22"/>
    </w:p>
    <w:p w14:paraId="6492F9AE" w14:textId="77777777" w:rsidR="00DD20C3" w:rsidRDefault="00D009DF" w:rsidP="008009D0">
      <w:pPr>
        <w:jc w:val="both"/>
        <w:rPr>
          <w:rFonts w:cs="Arial"/>
        </w:rPr>
      </w:pPr>
      <w:r>
        <w:rPr>
          <w:rFonts w:cs="Arial"/>
        </w:rPr>
        <w:tab/>
      </w:r>
      <w:r w:rsidR="00DD20C3">
        <w:rPr>
          <w:rFonts w:cs="Arial"/>
        </w:rPr>
        <w:t xml:space="preserve">All significant differences in the kinematic variables below were attained after controlling for velocity. On the more-affected side, </w:t>
      </w:r>
      <w:r w:rsidR="00DD20C3" w:rsidRPr="00C61591">
        <w:rPr>
          <w:rFonts w:cs="Arial"/>
        </w:rPr>
        <w:t>mean hip angle</w:t>
      </w:r>
      <w:r w:rsidR="00DD20C3">
        <w:rPr>
          <w:rFonts w:cs="Arial"/>
        </w:rPr>
        <w:t xml:space="preserve"> </w:t>
      </w:r>
      <w:r w:rsidR="00DD20C3" w:rsidRPr="00C61591">
        <w:rPr>
          <w:rFonts w:cs="Arial"/>
        </w:rPr>
        <w:t>had a significant</w:t>
      </w:r>
      <w:r w:rsidR="00DD20C3">
        <w:rPr>
          <w:rFonts w:cs="Arial"/>
        </w:rPr>
        <w:t xml:space="preserve"> main effect of</w:t>
      </w:r>
      <w:r w:rsidR="00DD20C3" w:rsidRPr="00C61591">
        <w:rPr>
          <w:rFonts w:cs="Arial"/>
        </w:rPr>
        <w:t xml:space="preserve"> </w:t>
      </w:r>
      <w:r w:rsidR="00DD20C3">
        <w:rPr>
          <w:rFonts w:cs="Arial"/>
        </w:rPr>
        <w:t>medication</w:t>
      </w:r>
      <w:r w:rsidR="00DD20C3" w:rsidRPr="00C61591">
        <w:rPr>
          <w:rFonts w:cs="Arial"/>
        </w:rPr>
        <w:t xml:space="preserve"> </w:t>
      </w:r>
      <w:r w:rsidR="00DD20C3" w:rsidRPr="000E276D">
        <w:rPr>
          <w:rFonts w:cs="Arial"/>
        </w:rPr>
        <w:t>(</w:t>
      </w:r>
      <w:r w:rsidR="00DD20C3" w:rsidRPr="000E276D">
        <w:rPr>
          <w:rFonts w:cs="Arial"/>
          <w:i/>
        </w:rPr>
        <w:t>p</w:t>
      </w:r>
      <w:r w:rsidR="00DD20C3" w:rsidRPr="000E276D">
        <w:rPr>
          <w:rFonts w:cs="Arial"/>
        </w:rPr>
        <w:t xml:space="preserve"> = 0.</w:t>
      </w:r>
      <w:r w:rsidR="00DD20C3">
        <w:rPr>
          <w:rFonts w:cs="Arial"/>
        </w:rPr>
        <w:t>007)</w:t>
      </w:r>
      <w:r w:rsidR="00DD20C3" w:rsidRPr="000E276D">
        <w:rPr>
          <w:rFonts w:cs="Arial"/>
        </w:rPr>
        <w:t xml:space="preserve">, </w:t>
      </w:r>
      <w:r w:rsidR="00DD20C3">
        <w:rPr>
          <w:rFonts w:cs="Arial"/>
        </w:rPr>
        <w:t>but no medication or interaction effects</w:t>
      </w:r>
      <w:r w:rsidR="00DD20C3" w:rsidRPr="000E276D">
        <w:rPr>
          <w:rFonts w:cs="Arial"/>
        </w:rPr>
        <w:t xml:space="preserve"> (</w:t>
      </w:r>
      <w:r w:rsidR="00DD20C3" w:rsidRPr="000E276D">
        <w:rPr>
          <w:rFonts w:cs="Arial"/>
          <w:i/>
        </w:rPr>
        <w:t>p</w:t>
      </w:r>
      <w:r w:rsidR="00DD20C3" w:rsidRPr="000E276D">
        <w:rPr>
          <w:rFonts w:cs="Arial"/>
        </w:rPr>
        <w:t xml:space="preserve"> = 0.</w:t>
      </w:r>
      <w:r w:rsidR="00DD20C3">
        <w:rPr>
          <w:rFonts w:cs="Arial"/>
        </w:rPr>
        <w:t>069 and</w:t>
      </w:r>
      <w:r w:rsidR="00DD20C3" w:rsidRPr="000E276D">
        <w:rPr>
          <w:rFonts w:cs="Arial"/>
        </w:rPr>
        <w:t xml:space="preserve"> </w:t>
      </w:r>
      <w:r w:rsidR="00DD20C3" w:rsidRPr="000E276D">
        <w:rPr>
          <w:rFonts w:cs="Arial"/>
          <w:i/>
        </w:rPr>
        <w:t>p</w:t>
      </w:r>
      <w:r w:rsidR="00DD20C3" w:rsidRPr="000E276D">
        <w:rPr>
          <w:rFonts w:cs="Arial"/>
        </w:rPr>
        <w:t xml:space="preserve"> = 0.</w:t>
      </w:r>
      <w:r w:rsidR="00DD20C3">
        <w:rPr>
          <w:rFonts w:cs="Arial"/>
        </w:rPr>
        <w:t>735</w:t>
      </w:r>
      <w:r w:rsidR="00DD20C3" w:rsidRPr="000E276D">
        <w:rPr>
          <w:rFonts w:cs="Arial"/>
        </w:rPr>
        <w:t>, respectively</w:t>
      </w:r>
      <w:r w:rsidR="00DD20C3">
        <w:rPr>
          <w:rFonts w:cs="Arial"/>
        </w:rPr>
        <w:t>). Pairwise comparisons indicated that single-task hip angle was smaller OFF than ON (</w:t>
      </w:r>
      <w:r w:rsidR="00DD20C3">
        <w:rPr>
          <w:rFonts w:cs="Arial"/>
          <w:i/>
        </w:rPr>
        <w:t>p</w:t>
      </w:r>
      <w:r w:rsidR="00DD20C3">
        <w:rPr>
          <w:rFonts w:cs="Arial"/>
        </w:rPr>
        <w:t xml:space="preserve"> = 0.027). There was also a significant medication effect for mean knee angle (</w:t>
      </w:r>
      <w:r w:rsidR="00DD20C3" w:rsidRPr="000E276D">
        <w:rPr>
          <w:rFonts w:cs="Arial"/>
          <w:i/>
        </w:rPr>
        <w:t>p</w:t>
      </w:r>
      <w:r w:rsidR="00DD20C3" w:rsidRPr="000E276D">
        <w:rPr>
          <w:rFonts w:cs="Arial"/>
        </w:rPr>
        <w:t xml:space="preserve"> = 0.</w:t>
      </w:r>
      <w:r w:rsidR="00DD20C3">
        <w:rPr>
          <w:rFonts w:cs="Arial"/>
        </w:rPr>
        <w:t>034), but not a main effect of task or an interaction effect (</w:t>
      </w:r>
      <w:r w:rsidR="00DD20C3" w:rsidRPr="000E276D">
        <w:rPr>
          <w:rFonts w:cs="Arial"/>
          <w:i/>
        </w:rPr>
        <w:t>p</w:t>
      </w:r>
      <w:r w:rsidR="00DD20C3" w:rsidRPr="000E276D">
        <w:rPr>
          <w:rFonts w:cs="Arial"/>
        </w:rPr>
        <w:t xml:space="preserve"> = 0.</w:t>
      </w:r>
      <w:r w:rsidR="00DD20C3">
        <w:rPr>
          <w:rFonts w:cs="Arial"/>
        </w:rPr>
        <w:t>192 and</w:t>
      </w:r>
      <w:r w:rsidR="00DD20C3" w:rsidRPr="000E276D">
        <w:rPr>
          <w:rFonts w:cs="Arial"/>
        </w:rPr>
        <w:t xml:space="preserve"> </w:t>
      </w:r>
      <w:r w:rsidR="00DD20C3" w:rsidRPr="000E276D">
        <w:rPr>
          <w:rFonts w:cs="Arial"/>
          <w:i/>
        </w:rPr>
        <w:t>p</w:t>
      </w:r>
      <w:r w:rsidR="00DD20C3" w:rsidRPr="000E276D">
        <w:rPr>
          <w:rFonts w:cs="Arial"/>
        </w:rPr>
        <w:t xml:space="preserve"> = 0.</w:t>
      </w:r>
      <w:r w:rsidR="00DD20C3">
        <w:rPr>
          <w:rFonts w:cs="Arial"/>
        </w:rPr>
        <w:t>346</w:t>
      </w:r>
      <w:r w:rsidR="00DD20C3" w:rsidRPr="000E276D">
        <w:rPr>
          <w:rFonts w:cs="Arial"/>
        </w:rPr>
        <w:t>, respectively</w:t>
      </w:r>
      <w:r w:rsidR="00DD20C3">
        <w:rPr>
          <w:rFonts w:cs="Arial"/>
        </w:rPr>
        <w:t>). Pairwise comparisons found that the dual-task joint angle was smaller OFF than ON (</w:t>
      </w:r>
      <w:r w:rsidR="00DD20C3">
        <w:rPr>
          <w:rFonts w:cs="Arial"/>
          <w:i/>
        </w:rPr>
        <w:t>p</w:t>
      </w:r>
      <w:r w:rsidR="00DD20C3">
        <w:rPr>
          <w:rFonts w:cs="Arial"/>
        </w:rPr>
        <w:t xml:space="preserve"> = 0.023). Furthermore, there was a significant main effect of task for the mean shoulder angle (</w:t>
      </w:r>
      <w:r w:rsidR="00DD20C3">
        <w:rPr>
          <w:rFonts w:cs="Arial"/>
          <w:i/>
        </w:rPr>
        <w:t>p</w:t>
      </w:r>
      <w:r w:rsidR="00DD20C3">
        <w:rPr>
          <w:rFonts w:cs="Arial"/>
        </w:rPr>
        <w:t xml:space="preserve"> = 0.01), but not a significant medication or interaction effect (</w:t>
      </w:r>
      <w:r w:rsidR="00DD20C3" w:rsidRPr="000E276D">
        <w:rPr>
          <w:rFonts w:cs="Arial"/>
          <w:i/>
        </w:rPr>
        <w:t>p</w:t>
      </w:r>
      <w:r w:rsidR="00DD20C3" w:rsidRPr="000E276D">
        <w:rPr>
          <w:rFonts w:cs="Arial"/>
        </w:rPr>
        <w:t xml:space="preserve"> = 0.</w:t>
      </w:r>
      <w:r w:rsidR="00DD20C3">
        <w:rPr>
          <w:rFonts w:cs="Arial"/>
        </w:rPr>
        <w:t>202 and</w:t>
      </w:r>
      <w:r w:rsidR="00DD20C3" w:rsidRPr="000E276D">
        <w:rPr>
          <w:rFonts w:cs="Arial"/>
        </w:rPr>
        <w:t xml:space="preserve"> </w:t>
      </w:r>
      <w:r w:rsidR="00DD20C3" w:rsidRPr="000E276D">
        <w:rPr>
          <w:rFonts w:cs="Arial"/>
          <w:i/>
        </w:rPr>
        <w:t>p</w:t>
      </w:r>
      <w:r w:rsidR="00DD20C3" w:rsidRPr="000E276D">
        <w:rPr>
          <w:rFonts w:cs="Arial"/>
        </w:rPr>
        <w:t xml:space="preserve"> = 0.</w:t>
      </w:r>
      <w:r w:rsidR="00DD20C3">
        <w:rPr>
          <w:rFonts w:cs="Arial"/>
        </w:rPr>
        <w:t>999</w:t>
      </w:r>
      <w:r w:rsidR="00DD20C3" w:rsidRPr="000E276D">
        <w:rPr>
          <w:rFonts w:cs="Arial"/>
        </w:rPr>
        <w:t>, respectively</w:t>
      </w:r>
      <w:r w:rsidR="00DD20C3">
        <w:rPr>
          <w:rFonts w:cs="Arial"/>
        </w:rPr>
        <w:t>). Pairwise analysis indicated that while ON, the single-task shoulder angle was larger than the dual-task shoulder angle (</w:t>
      </w:r>
      <w:r w:rsidR="00DD20C3">
        <w:rPr>
          <w:rFonts w:cs="Arial"/>
          <w:i/>
        </w:rPr>
        <w:t>p</w:t>
      </w:r>
      <w:r w:rsidR="00DD20C3">
        <w:rPr>
          <w:rFonts w:cs="Arial"/>
        </w:rPr>
        <w:t xml:space="preserve"> = 0.29).</w:t>
      </w:r>
      <w:r w:rsidR="00DD20C3">
        <w:rPr>
          <w:rFonts w:cs="Arial"/>
        </w:rPr>
        <w:tab/>
      </w:r>
    </w:p>
    <w:p w14:paraId="2009F6C6" w14:textId="758161BF" w:rsidR="00D009DF" w:rsidRPr="00AC26E9" w:rsidRDefault="00DD20C3" w:rsidP="008009D0">
      <w:pPr>
        <w:jc w:val="both"/>
        <w:rPr>
          <w:rFonts w:cs="Arial"/>
        </w:rPr>
      </w:pPr>
      <w:r>
        <w:rPr>
          <w:rFonts w:cs="Arial"/>
        </w:rPr>
        <w:tab/>
      </w:r>
      <w:r w:rsidRPr="00C61591">
        <w:rPr>
          <w:rFonts w:cs="Arial"/>
        </w:rPr>
        <w:t xml:space="preserve">On the </w:t>
      </w:r>
      <w:r>
        <w:rPr>
          <w:rFonts w:cs="Arial"/>
        </w:rPr>
        <w:t>less-affected</w:t>
      </w:r>
      <w:r w:rsidRPr="00C61591">
        <w:rPr>
          <w:rFonts w:cs="Arial"/>
        </w:rPr>
        <w:t xml:space="preserve"> side, the mean hip angle had significant</w:t>
      </w:r>
      <w:r>
        <w:rPr>
          <w:rFonts w:cs="Arial"/>
        </w:rPr>
        <w:t xml:space="preserve"> main effects of</w:t>
      </w:r>
      <w:r w:rsidRPr="00C61591">
        <w:rPr>
          <w:rFonts w:cs="Arial"/>
        </w:rPr>
        <w:t xml:space="preserve"> medication </w:t>
      </w:r>
      <w:r w:rsidRPr="006666D3">
        <w:rPr>
          <w:rFonts w:cs="Arial"/>
        </w:rPr>
        <w:t>and task (</w:t>
      </w:r>
      <w:r w:rsidRPr="006666D3">
        <w:rPr>
          <w:rFonts w:cs="Arial"/>
          <w:i/>
        </w:rPr>
        <w:t>p</w:t>
      </w:r>
      <w:r w:rsidRPr="006666D3">
        <w:rPr>
          <w:rFonts w:cs="Arial"/>
        </w:rPr>
        <w:t xml:space="preserve"> &lt;</w:t>
      </w:r>
      <w:r>
        <w:rPr>
          <w:rFonts w:cs="Arial"/>
        </w:rPr>
        <w:t xml:space="preserve"> 0.001 and</w:t>
      </w:r>
      <w:r w:rsidRPr="006666D3">
        <w:rPr>
          <w:rFonts w:cs="Arial"/>
        </w:rPr>
        <w:t xml:space="preserve"> </w:t>
      </w:r>
      <w:r w:rsidRPr="006666D3">
        <w:rPr>
          <w:rFonts w:cs="Arial"/>
          <w:i/>
        </w:rPr>
        <w:t>p</w:t>
      </w:r>
      <w:r w:rsidRPr="006666D3">
        <w:rPr>
          <w:rFonts w:cs="Arial"/>
        </w:rPr>
        <w:t xml:space="preserve"> </w:t>
      </w:r>
      <w:r>
        <w:rPr>
          <w:rFonts w:cs="Arial"/>
        </w:rPr>
        <w:t>=</w:t>
      </w:r>
      <w:r w:rsidRPr="006666D3">
        <w:rPr>
          <w:rFonts w:cs="Arial"/>
        </w:rPr>
        <w:t xml:space="preserve"> 0.</w:t>
      </w:r>
      <w:r>
        <w:rPr>
          <w:rFonts w:cs="Arial"/>
        </w:rPr>
        <w:t>005</w:t>
      </w:r>
      <w:r w:rsidRPr="006666D3">
        <w:rPr>
          <w:rFonts w:cs="Arial"/>
        </w:rPr>
        <w:t xml:space="preserve">, </w:t>
      </w:r>
      <w:r>
        <w:rPr>
          <w:rFonts w:cs="Arial"/>
        </w:rPr>
        <w:t>respectively)</w:t>
      </w:r>
      <w:r w:rsidRPr="00C61591">
        <w:rPr>
          <w:rFonts w:cs="Arial"/>
        </w:rPr>
        <w:t xml:space="preserve">, </w:t>
      </w:r>
      <w:r>
        <w:rPr>
          <w:rFonts w:cs="Arial"/>
        </w:rPr>
        <w:t xml:space="preserve">but not a significant interaction </w:t>
      </w:r>
      <w:r w:rsidRPr="004D0649">
        <w:rPr>
          <w:rFonts w:cs="Arial"/>
        </w:rPr>
        <w:t>effect (</w:t>
      </w:r>
      <w:r w:rsidRPr="004D0649">
        <w:rPr>
          <w:rFonts w:cs="Arial"/>
          <w:i/>
        </w:rPr>
        <w:t>p</w:t>
      </w:r>
      <w:r w:rsidRPr="004D0649">
        <w:rPr>
          <w:rFonts w:cs="Arial"/>
        </w:rPr>
        <w:t xml:space="preserve"> = 0.</w:t>
      </w:r>
      <w:r>
        <w:rPr>
          <w:rFonts w:cs="Arial"/>
        </w:rPr>
        <w:t>986</w:t>
      </w:r>
      <w:r w:rsidRPr="004D0649">
        <w:rPr>
          <w:rFonts w:cs="Arial"/>
        </w:rPr>
        <w:t xml:space="preserve">). </w:t>
      </w:r>
      <w:r>
        <w:rPr>
          <w:rFonts w:cs="Arial"/>
        </w:rPr>
        <w:t xml:space="preserve">For the medication effect, pairwise comparisons indicated that both single-task and dual-task hip joint excursions OFF were </w:t>
      </w:r>
      <w:r w:rsidRPr="00C61591">
        <w:rPr>
          <w:rFonts w:cs="Arial"/>
        </w:rPr>
        <w:t xml:space="preserve">smaller than </w:t>
      </w:r>
      <w:r>
        <w:rPr>
          <w:rFonts w:cs="Arial"/>
        </w:rPr>
        <w:t xml:space="preserve">ON </w:t>
      </w:r>
      <w:r w:rsidRPr="00C61591">
        <w:rPr>
          <w:rFonts w:cs="Arial"/>
        </w:rPr>
        <w:t>(</w:t>
      </w:r>
      <w:r w:rsidRPr="00C61591">
        <w:rPr>
          <w:rFonts w:cs="Arial"/>
          <w:i/>
        </w:rPr>
        <w:t>p</w:t>
      </w:r>
      <w:r w:rsidRPr="00C61591">
        <w:rPr>
          <w:rFonts w:cs="Arial"/>
        </w:rPr>
        <w:t xml:space="preserve"> = 0.001</w:t>
      </w:r>
      <w:r>
        <w:rPr>
          <w:rFonts w:cs="Arial"/>
        </w:rPr>
        <w:t xml:space="preserve"> and </w:t>
      </w:r>
      <w:r w:rsidRPr="00C61591">
        <w:rPr>
          <w:rFonts w:cs="Arial"/>
          <w:i/>
        </w:rPr>
        <w:t>p</w:t>
      </w:r>
      <w:r w:rsidRPr="00C61591">
        <w:rPr>
          <w:rFonts w:cs="Arial"/>
        </w:rPr>
        <w:t xml:space="preserve"> = 0.00</w:t>
      </w:r>
      <w:r>
        <w:rPr>
          <w:rFonts w:cs="Arial"/>
        </w:rPr>
        <w:t>1, respectively</w:t>
      </w:r>
      <w:r w:rsidRPr="00C61591">
        <w:rPr>
          <w:rFonts w:cs="Arial"/>
        </w:rPr>
        <w:t>)</w:t>
      </w:r>
      <w:r>
        <w:rPr>
          <w:rFonts w:cs="Arial"/>
        </w:rPr>
        <w:t xml:space="preserve">. The task main effect followed a similar pattern with single-task OFF larger than dual-task OFF and single-task ON larger than dual-task ON </w:t>
      </w:r>
      <w:r>
        <w:rPr>
          <w:rFonts w:cs="Arial"/>
        </w:rPr>
        <w:lastRenderedPageBreak/>
        <w:t>(</w:t>
      </w:r>
      <w:r w:rsidRPr="00C61591">
        <w:rPr>
          <w:rFonts w:cs="Arial"/>
          <w:i/>
        </w:rPr>
        <w:t>p</w:t>
      </w:r>
      <w:r w:rsidRPr="00C61591">
        <w:rPr>
          <w:rFonts w:cs="Arial"/>
        </w:rPr>
        <w:t xml:space="preserve"> = 0.</w:t>
      </w:r>
      <w:r>
        <w:rPr>
          <w:rFonts w:cs="Arial"/>
        </w:rPr>
        <w:t xml:space="preserve">01 and </w:t>
      </w:r>
      <w:r w:rsidRPr="00C61591">
        <w:rPr>
          <w:rFonts w:cs="Arial"/>
          <w:i/>
        </w:rPr>
        <w:t>p</w:t>
      </w:r>
      <w:r w:rsidRPr="00C61591">
        <w:rPr>
          <w:rFonts w:cs="Arial"/>
        </w:rPr>
        <w:t xml:space="preserve"> = 0.</w:t>
      </w:r>
      <w:r>
        <w:rPr>
          <w:rFonts w:cs="Arial"/>
        </w:rPr>
        <w:t>011, respectively). Mean knee angle had a significant main effect of medication (</w:t>
      </w:r>
      <w:r>
        <w:rPr>
          <w:rFonts w:cs="Arial"/>
          <w:i/>
        </w:rPr>
        <w:t>p</w:t>
      </w:r>
      <w:r>
        <w:rPr>
          <w:rFonts w:cs="Arial"/>
        </w:rPr>
        <w:t xml:space="preserve"> = 0.008), but no significant task or interaction effects (</w:t>
      </w:r>
      <w:r>
        <w:rPr>
          <w:rFonts w:cs="Arial"/>
          <w:i/>
        </w:rPr>
        <w:t>p</w:t>
      </w:r>
      <w:r>
        <w:rPr>
          <w:rFonts w:cs="Arial"/>
        </w:rPr>
        <w:t xml:space="preserve"> = 0.351 and </w:t>
      </w:r>
      <w:r>
        <w:rPr>
          <w:rFonts w:cs="Arial"/>
          <w:i/>
        </w:rPr>
        <w:t>p</w:t>
      </w:r>
      <w:r>
        <w:rPr>
          <w:rFonts w:cs="Arial"/>
        </w:rPr>
        <w:t xml:space="preserve"> = 0.485, respectively). Pairwise comparison found that single-task OFF was less than ON (</w:t>
      </w:r>
      <w:r>
        <w:rPr>
          <w:rFonts w:cs="Arial"/>
          <w:i/>
        </w:rPr>
        <w:t>p</w:t>
      </w:r>
      <w:r>
        <w:rPr>
          <w:rFonts w:cs="Arial"/>
        </w:rPr>
        <w:t xml:space="preserve"> = 0.015). There were also significant main effects of medication and task for mean shoulder angle (</w:t>
      </w:r>
      <w:r w:rsidRPr="000E276D">
        <w:rPr>
          <w:rFonts w:cs="Arial"/>
          <w:i/>
        </w:rPr>
        <w:t>p</w:t>
      </w:r>
      <w:r w:rsidRPr="000E276D">
        <w:rPr>
          <w:rFonts w:cs="Arial"/>
        </w:rPr>
        <w:t xml:space="preserve"> = 0.</w:t>
      </w:r>
      <w:r>
        <w:rPr>
          <w:rFonts w:cs="Arial"/>
        </w:rPr>
        <w:t xml:space="preserve">014 and </w:t>
      </w:r>
      <w:r w:rsidRPr="000E276D">
        <w:rPr>
          <w:rFonts w:cs="Arial"/>
          <w:i/>
        </w:rPr>
        <w:t>p</w:t>
      </w:r>
      <w:r w:rsidRPr="000E276D">
        <w:rPr>
          <w:rFonts w:cs="Arial"/>
        </w:rPr>
        <w:t xml:space="preserve"> = 0.</w:t>
      </w:r>
      <w:r>
        <w:rPr>
          <w:rFonts w:cs="Arial"/>
        </w:rPr>
        <w:t>044, respectively), but not an interaction effect (</w:t>
      </w:r>
      <w:r w:rsidRPr="000E276D">
        <w:rPr>
          <w:rFonts w:cs="Arial"/>
          <w:i/>
        </w:rPr>
        <w:t>p</w:t>
      </w:r>
      <w:r w:rsidRPr="000E276D">
        <w:rPr>
          <w:rFonts w:cs="Arial"/>
        </w:rPr>
        <w:t xml:space="preserve"> = 0.</w:t>
      </w:r>
      <w:r>
        <w:rPr>
          <w:rFonts w:cs="Arial"/>
        </w:rPr>
        <w:t xml:space="preserve">221). Pairwise comparisons indicated that dual-task shoulder joint excursion OFF was smaller than ON </w:t>
      </w:r>
      <w:r w:rsidRPr="002E4370">
        <w:rPr>
          <w:rFonts w:cs="Arial"/>
        </w:rPr>
        <w:t>(</w:t>
      </w:r>
      <w:r>
        <w:rPr>
          <w:rFonts w:cs="Arial"/>
          <w:i/>
        </w:rPr>
        <w:t>p</w:t>
      </w:r>
      <w:r>
        <w:rPr>
          <w:rFonts w:cs="Arial"/>
        </w:rPr>
        <w:t xml:space="preserve"> = 0.009) and that when OFF the single-task joint angle was larger than the dual-task joint angle (</w:t>
      </w:r>
      <w:r>
        <w:rPr>
          <w:rFonts w:cs="Arial"/>
          <w:i/>
        </w:rPr>
        <w:t>p</w:t>
      </w:r>
      <w:r>
        <w:rPr>
          <w:rFonts w:cs="Arial"/>
        </w:rPr>
        <w:t xml:space="preserve"> = 0.026).</w:t>
      </w:r>
    </w:p>
    <w:p w14:paraId="394CC9EB" w14:textId="0EDBCB9E" w:rsidR="00D009DF" w:rsidRPr="00B8221E" w:rsidRDefault="00D20F35" w:rsidP="008009D0">
      <w:pPr>
        <w:pStyle w:val="Heading3"/>
        <w:jc w:val="both"/>
      </w:pPr>
      <w:bookmarkStart w:id="23" w:name="_Toc527361737"/>
      <w:r w:rsidRPr="005A7F8B">
        <w:t>Phoneme Monitoring</w:t>
      </w:r>
      <w:bookmarkEnd w:id="23"/>
    </w:p>
    <w:p w14:paraId="43721F45" w14:textId="5711F235" w:rsidR="00D009DF" w:rsidRDefault="00D009DF" w:rsidP="008009D0">
      <w:pPr>
        <w:jc w:val="both"/>
        <w:rPr>
          <w:rFonts w:cs="Arial"/>
        </w:rPr>
      </w:pPr>
      <w:r>
        <w:rPr>
          <w:rFonts w:cs="Arial"/>
        </w:rPr>
        <w:tab/>
      </w:r>
      <w:r w:rsidR="00AC64AC">
        <w:rPr>
          <w:rFonts w:cs="Arial"/>
        </w:rPr>
        <w:t>There were no significant main effects on PM-Tally or PM-Score.</w:t>
      </w:r>
    </w:p>
    <w:p w14:paraId="0C26807F" w14:textId="156C6EF2" w:rsidR="00D009DF" w:rsidRDefault="005E5978" w:rsidP="008009D0">
      <w:pPr>
        <w:pStyle w:val="Heading3"/>
        <w:jc w:val="both"/>
      </w:pPr>
      <w:bookmarkStart w:id="24" w:name="_Toc527361738"/>
      <w:r>
        <w:t>Change in Dual-</w:t>
      </w:r>
      <w:r w:rsidRPr="00460BC5">
        <w:t>task</w:t>
      </w:r>
      <w:r>
        <w:t xml:space="preserve"> Effect</w:t>
      </w:r>
      <w:bookmarkEnd w:id="24"/>
    </w:p>
    <w:p w14:paraId="068899F7" w14:textId="4C89ABA5" w:rsidR="00236E86" w:rsidRPr="00AC26E9" w:rsidRDefault="00D009DF" w:rsidP="008009D0">
      <w:pPr>
        <w:jc w:val="both"/>
        <w:rPr>
          <w:rFonts w:cs="Arial"/>
        </w:rPr>
      </w:pPr>
      <w:r>
        <w:rPr>
          <w:rFonts w:cs="Arial"/>
        </w:rPr>
        <w:tab/>
      </w:r>
      <w:r w:rsidR="004A49D0" w:rsidRPr="00253279">
        <w:rPr>
          <w:rFonts w:cs="Arial"/>
        </w:rPr>
        <w:t xml:space="preserve">The effect the primary and secondary tasks had on one another during dual-tasking </w:t>
      </w:r>
      <w:r w:rsidR="004A49D0">
        <w:rPr>
          <w:rFonts w:cs="Arial"/>
        </w:rPr>
        <w:t>OFF</w:t>
      </w:r>
      <w:r w:rsidR="004A49D0" w:rsidRPr="00253279">
        <w:rPr>
          <w:rFonts w:cs="Arial"/>
        </w:rPr>
        <w:t xml:space="preserve"> and </w:t>
      </w:r>
      <w:r w:rsidR="004A49D0">
        <w:rPr>
          <w:rFonts w:cs="Arial"/>
        </w:rPr>
        <w:t>ON</w:t>
      </w:r>
      <w:r w:rsidR="004A49D0" w:rsidRPr="00253279">
        <w:rPr>
          <w:rFonts w:cs="Arial"/>
        </w:rPr>
        <w:t xml:space="preserve"> are presented in Figure 3. Visual inspection indicates </w:t>
      </w:r>
      <w:r w:rsidR="004A49D0">
        <w:rPr>
          <w:rFonts w:cs="Arial"/>
        </w:rPr>
        <w:t xml:space="preserve">that, after taking dopaminergic medication, most subjects either experienced no change in dual-task effect (values arbitrarily close to zero) or changed to a cognitive-priority </w:t>
      </w:r>
      <w:r w:rsidR="004A49D0" w:rsidRPr="008C5CA6">
        <w:rPr>
          <w:rFonts w:cs="Arial"/>
        </w:rPr>
        <w:t>strategy.</w:t>
      </w:r>
      <w:r>
        <w:rPr>
          <w:rFonts w:cs="Arial"/>
        </w:rPr>
        <w:t xml:space="preserve"> </w:t>
      </w:r>
    </w:p>
    <w:p w14:paraId="2FC76133" w14:textId="691B9E42" w:rsidR="00D009DF" w:rsidRPr="00F1326B" w:rsidRDefault="00D009DF" w:rsidP="008009D0">
      <w:pPr>
        <w:pStyle w:val="Heading2"/>
        <w:jc w:val="both"/>
      </w:pPr>
      <w:bookmarkStart w:id="25" w:name="_Toc527361739"/>
      <w:r w:rsidRPr="00AC26E9">
        <w:t>Discussion</w:t>
      </w:r>
      <w:bookmarkEnd w:id="25"/>
    </w:p>
    <w:p w14:paraId="6B5B7E6D" w14:textId="700E1C6E" w:rsidR="00AA7903" w:rsidRDefault="00D009DF" w:rsidP="008009D0">
      <w:pPr>
        <w:jc w:val="both"/>
        <w:rPr>
          <w:rFonts w:cs="Arial"/>
        </w:rPr>
      </w:pPr>
      <w:r>
        <w:rPr>
          <w:rFonts w:cs="Arial"/>
        </w:rPr>
        <w:tab/>
      </w:r>
      <w:r w:rsidR="00AA7903">
        <w:rPr>
          <w:rFonts w:cs="Arial"/>
        </w:rPr>
        <w:t xml:space="preserve">The primary hypothesis for the study was that dopaminergic medication would improve dual-task walking such that ON dual-task would be significantly improved over OFF single-task. The results of the study do not support this hypothesis. However, PD gait, which is characterized by short, shuffling steps </w:t>
      </w:r>
      <w:r w:rsidR="00AA7903">
        <w:rPr>
          <w:rFonts w:cs="Arial"/>
        </w:rPr>
        <w:fldChar w:fldCharType="begin" w:fldLock="1"/>
      </w:r>
      <w:r w:rsidR="001D6C02">
        <w:rPr>
          <w:rFonts w:cs="Arial"/>
        </w:rPr>
        <w:instrText>ADDIN CSL_CITATION {"citationItems":[{"id":"ITEM-1","itemData":{"DOI":"10.1136/jnnp.2007.131045","ISSN":"0022-3050","author":[{"dropping-particle":"","family":"Jankovic","given":"J","non-dropping-particle":"","parse-names":false,"suffix":""}],"container-title":"Journal of Neurology, Neurosurgery &amp; Psychiatry","id":"ITEM-1","issue":"4","issued":{"date-parts":[["2008","4","1"]]},"page":"368-376","title":"Parkinson's disease: clinical features and diagnosis","type":"article-journal","volume":"79"},"uris":["http://www.mendeley.com/documents/?uuid=3e459de4-5162-482b-be13-cae6e8fdadbe"]}],"mendeley":{"formattedCitation":"[3]","plainTextFormattedCitation":"[3]","previouslyFormattedCitation":"[3]"},"properties":{"noteIndex":0},"schema":"https://github.com/citation-style-language/schema/raw/master/csl-citation.json"}</w:instrText>
      </w:r>
      <w:r w:rsidR="00AA7903">
        <w:rPr>
          <w:rFonts w:cs="Arial"/>
        </w:rPr>
        <w:fldChar w:fldCharType="separate"/>
      </w:r>
      <w:r w:rsidR="00AA7903" w:rsidRPr="00132EB0">
        <w:rPr>
          <w:rFonts w:cs="Arial"/>
          <w:noProof/>
        </w:rPr>
        <w:t>[3]</w:t>
      </w:r>
      <w:r w:rsidR="00AA7903">
        <w:rPr>
          <w:rFonts w:cs="Arial"/>
        </w:rPr>
        <w:fldChar w:fldCharType="end"/>
      </w:r>
      <w:r w:rsidR="00AA7903">
        <w:rPr>
          <w:rFonts w:cs="Arial"/>
        </w:rPr>
        <w:t xml:space="preserve">, was significantly improved in dual-tasking after taking dopaminergic medication. Our findings also indicated several </w:t>
      </w:r>
      <w:r w:rsidR="00AA7903">
        <w:rPr>
          <w:rFonts w:cs="Arial"/>
        </w:rPr>
        <w:lastRenderedPageBreak/>
        <w:t xml:space="preserve">other medication and task effects. This means that medication was effective at improving gait velocity and joint angles, particularly on the less-affected side (see </w:t>
      </w:r>
      <w:r w:rsidR="00AA7903" w:rsidRPr="00F36C11">
        <w:rPr>
          <w:rFonts w:cs="Arial"/>
        </w:rPr>
        <w:t>Table 2</w:t>
      </w:r>
      <w:r w:rsidR="00AA7903">
        <w:rPr>
          <w:rFonts w:cs="Arial"/>
        </w:rPr>
        <w:t xml:space="preserve">), and that the secondary task was sufficient to interfere with gait, despite medication state. </w:t>
      </w:r>
    </w:p>
    <w:p w14:paraId="300E1DC0" w14:textId="77777777" w:rsidR="00AA7903" w:rsidRDefault="00AA7903" w:rsidP="008009D0">
      <w:pPr>
        <w:jc w:val="both"/>
        <w:rPr>
          <w:rFonts w:cs="Arial"/>
        </w:rPr>
      </w:pPr>
      <w:r>
        <w:rPr>
          <w:rFonts w:cs="Arial"/>
        </w:rPr>
        <w:tab/>
        <w:t xml:space="preserve">The results of this study indicate that improved dual-tasking ON is most likely the result of improved motor function and not improved automaticity. The lack of significant interactions and effects on the phoneme monitoring task challenge the concept of an improvement in automaticity after taking dopaminergic medication. Rather, these findings supports to the idea that motor automaticity is centrally controlled, especially considering that PD medication has variable effects on executive functions </w:t>
      </w:r>
      <w:r>
        <w:rPr>
          <w:rFonts w:cs="Arial"/>
        </w:rPr>
        <w:fldChar w:fldCharType="begin" w:fldLock="1"/>
      </w:r>
      <w:r>
        <w:rPr>
          <w:rFonts w:cs="Arial"/>
        </w:rPr>
        <w:instrText>ADDIN CSL_CITATION {"citationItems":[{"id":"ITEM-1","itemData":{"DOI":"10.1111/jnp.12028","ISBN":"1748-6653 (Electronic)\\r1748-6645 (Linking)","ISSN":"17486645","PMID":"24007368","abstract":"Executive dysfunction can be present from the early stages of Parkinson's disease (PD). It is characterized by deficits in internal control of attention, set shifting, planning, inhibitory control, dual task performance, and on a range of decision-making and social cognition tasks. Treatment with dopaminergic medication has variable effects on executive deficits, improving some, leaving some unchanged, and worsening others. In this review, we start by defining the specific nature of executive dysfunction in PD and describe suitable neuropsychological tests. We then discuss how executive deficits relate to pathology in specific territories of the basal ganglia, consider the impact of dopaminergic treatment on executive function (EF) in this context, and review the changes in EFs with disease progression. In later sections, we summarize correlates of executive dysfunction in PD with motor performance (e.g., postural instability, freezing of gait) and a variety of psychiatric (e.g., depression, apathy) and other clinical symptoms, and finally discuss the implications of these for the patients' daily life.","author":[{"dropping-particle":"","family":"Dirnberger","given":"Georg","non-dropping-particle":"","parse-names":false,"suffix":""},{"dropping-particle":"","family":"Jahanshahi","given":"Marjan","non-dropping-particle":"","parse-names":false,"suffix":""}],"container-title":"Journal of Neuropsychology","id":"ITEM-1","issue":"2","issued":{"date-parts":[["2013"]]},"page":"193-224","title":"Executive dysfunction in Parkinson's disease: A review","type":"article-journal","volume":"7"},"uris":["http://www.mendeley.com/documents/?uuid=5117d802-e5b0-41ff-8b5b-87c95248fd47"]}],"mendeley":{"formattedCitation":"[19]","plainTextFormattedCitation":"[19]","previouslyFormattedCitation":"[19]"},"properties":{"noteIndex":0},"schema":"https://github.com/citation-style-language/schema/raw/master/csl-citation.json"}</w:instrText>
      </w:r>
      <w:r>
        <w:rPr>
          <w:rFonts w:cs="Arial"/>
        </w:rPr>
        <w:fldChar w:fldCharType="separate"/>
      </w:r>
      <w:r w:rsidRPr="0011317B">
        <w:rPr>
          <w:rFonts w:cs="Arial"/>
          <w:noProof/>
        </w:rPr>
        <w:t>[19]</w:t>
      </w:r>
      <w:r>
        <w:rPr>
          <w:rFonts w:cs="Arial"/>
        </w:rPr>
        <w:fldChar w:fldCharType="end"/>
      </w:r>
      <w:r>
        <w:rPr>
          <w:rFonts w:cs="Arial"/>
        </w:rPr>
        <w:t>.</w:t>
      </w:r>
    </w:p>
    <w:p w14:paraId="289815DC" w14:textId="4B451842" w:rsidR="00AA7903" w:rsidRDefault="00AA7903" w:rsidP="008009D0">
      <w:pPr>
        <w:jc w:val="both"/>
        <w:rPr>
          <w:rFonts w:cs="Arial"/>
          <w:color w:val="0070C0"/>
        </w:rPr>
      </w:pPr>
      <w:r>
        <w:rPr>
          <w:rFonts w:cs="Arial"/>
        </w:rPr>
        <w:tab/>
        <w:t>There are several dual-tasking models that have been suggested to describe dual-task interference. The two</w:t>
      </w:r>
      <w:r w:rsidR="004C4947">
        <w:rPr>
          <w:rFonts w:cs="Arial"/>
        </w:rPr>
        <w:t xml:space="preserve"> most popular of these are the capacity sharing model and the bottleneck model</w:t>
      </w:r>
      <w:r>
        <w:rPr>
          <w:rFonts w:cs="Arial"/>
        </w:rPr>
        <w:t xml:space="preserve">. Briefly, the capacity sharing model suggests that all tasks are performed within a finite capacity and exceeding the limits of capacity causes interference with one or both concurrently performed tasks </w:t>
      </w:r>
      <w:r>
        <w:rPr>
          <w:rFonts w:cs="Arial"/>
        </w:rPr>
        <w:fldChar w:fldCharType="begin" w:fldLock="1"/>
      </w:r>
      <w:r>
        <w:rPr>
          <w:rFonts w:cs="Arial"/>
        </w:rPr>
        <w:instrText>ADDIN CSL_CITATION {"citationItems":[{"id":"ITEM-1","itemData":{"DOI":"10.1037/0096-1523.29.1.3","ISSN":"0096-1523","author":[{"dropping-particle":"","family":"Tombu","given":"Michael","non-dropping-particle":"","parse-names":false,"suffix":""},{"dropping-particle":"","family":"Jolicœur","given":"Pierre","non-dropping-particle":"","parse-names":false,"suffix":""}],"container-title":"Journal of Experimental Psychology: Human Perception and Performance","id":"ITEM-1","issue":"1","issued":{"date-parts":[["2003"]]},"page":"3-18","title":"A central capacity sharing model of dual-task performance.","type":"article-journal","volume":"29"},"uris":["http://www.mendeley.com/documents/?uuid=e6d197e6-044c-4bcb-96a2-74cc9e6c9c21"]},{"id":"ITEM-2","itemData":{"DOI":"10.3389/fnhum.2015.00225","ISBN":"1662-5161","ISSN":"1662-5161","PMID":"25972801","abstract":"The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Neuroscience","id":"ITEM-2","issue":"April","issued":{"date-parts":[["2015","4","28"]]},"page":"225","title":"Measuring treatment effects on dual-task performance: a framework for research and clinical practice","type":"article-journal","volume":"9"},"uris":["http://www.mendeley.com/documents/?uuid=72512a00-ef5a-47f8-a3f2-45222c97e3d7"]}],"mendeley":{"formattedCitation":"[11,20]","plainTextFormattedCitation":"[11,20]","previouslyFormattedCitation":"[11,20]"},"properties":{"noteIndex":0},"schema":"https://github.com/citation-style-language/schema/raw/master/csl-citation.json"}</w:instrText>
      </w:r>
      <w:r>
        <w:rPr>
          <w:rFonts w:cs="Arial"/>
        </w:rPr>
        <w:fldChar w:fldCharType="separate"/>
      </w:r>
      <w:r w:rsidRPr="0011317B">
        <w:rPr>
          <w:rFonts w:cs="Arial"/>
          <w:noProof/>
        </w:rPr>
        <w:t>[11,20]</w:t>
      </w:r>
      <w:r>
        <w:rPr>
          <w:rFonts w:cs="Arial"/>
        </w:rPr>
        <w:fldChar w:fldCharType="end"/>
      </w:r>
      <w:r>
        <w:rPr>
          <w:rFonts w:cs="Arial"/>
        </w:rPr>
        <w:t xml:space="preserve">. The bottleneck theory, on the other hand, divides the mechanisms into motor and cognitive sections, and interference occurs only when one attempts to perform two concurrent tasks using the same mechanism </w:t>
      </w:r>
      <w:r>
        <w:rPr>
          <w:rFonts w:cs="Arial"/>
        </w:rPr>
        <w:fldChar w:fldCharType="begin" w:fldLock="1"/>
      </w:r>
      <w:r>
        <w:rPr>
          <w:rFonts w:cs="Arial"/>
        </w:rPr>
        <w:instrText>ADDIN CSL_CITATION {"citationItems":[{"id":"ITEM-1","itemData":{"DOI":"10.1037/0033-2909.116.2.220","ISBN":"0033-2909","ISSN":"0033-2909","PMID":"7972591","abstract":"People often have trouble performing 2 relatively simple tasks concurrently. The causes of this interference and its implications for the nature of attentional limitations have been controversial for 40 years, but recent experimental findings are beginning to provide some answers. Studies of the psychological refractory period effect indicate a stubborn bottleneck encompassing the process of choosing actions and probably memory retrieval generally, together with certain other cognitive operations. Other limitations associated with task preparation, sensory-perceptual processes, and timing can generate additional and distinct forms of interference. These conclusions challenge widely accepted ideas about attentional resources and probe reaction time methodologies. They also suggest new ways of thinking about continuous dual-task performance, effects of extraneous stimulation (e.g., stop signals), and automaticity. Implications for higher mental processes are discussed.","author":[{"dropping-particle":"","family":"Pashler","given":"Harold","non-dropping-particle":"","parse-names":false,"suffix":""}],"container-title":"Psychological Bulletin","id":"ITEM-1","issue":"2","issued":{"date-parts":[["1994"]]},"page":"220-244","title":"Dual-task interference in simple tasks: Data and theory.","type":"article-journal","volume":"116"},"uris":["http://www.mendeley.com/documents/?uuid=4e109b33-bec0-44e5-a8b1-9536a2728ff1"]},{"id":"ITEM-2","itemData":{"DOI":"10.3389/fnhum.2015.00225","ISBN":"1662-5161","ISSN":"1662-5161","PMID":"25972801","abstract":"The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Neuroscience","id":"ITEM-2","issue":"April","issued":{"date-parts":[["2015","4","28"]]},"page":"225","title":"Measuring treatment effects on dual-task performance: a framework for research and clinical practice","type":"article-journal","volume":"9"},"uris":["http://www.mendeley.com/documents/?uuid=72512a00-ef5a-47f8-a3f2-45222c97e3d7"]}],"mendeley":{"formattedCitation":"[11,21]","plainTextFormattedCitation":"[11,21]","previouslyFormattedCitation":"[11,21]"},"properties":{"noteIndex":0},"schema":"https://github.com/citation-style-language/schema/raw/master/csl-citation.json"}</w:instrText>
      </w:r>
      <w:r>
        <w:rPr>
          <w:rFonts w:cs="Arial"/>
        </w:rPr>
        <w:fldChar w:fldCharType="separate"/>
      </w:r>
      <w:r w:rsidRPr="0011317B">
        <w:rPr>
          <w:rFonts w:cs="Arial"/>
          <w:noProof/>
        </w:rPr>
        <w:t>[11,21]</w:t>
      </w:r>
      <w:r>
        <w:rPr>
          <w:rFonts w:cs="Arial"/>
        </w:rPr>
        <w:fldChar w:fldCharType="end"/>
      </w:r>
      <w:r>
        <w:rPr>
          <w:rFonts w:cs="Arial"/>
        </w:rPr>
        <w:t>. Our data fits</w:t>
      </w:r>
      <w:r w:rsidR="004C4947">
        <w:rPr>
          <w:rFonts w:cs="Arial"/>
        </w:rPr>
        <w:t xml:space="preserve"> well with the capacity sharing model</w:t>
      </w:r>
      <w:r>
        <w:rPr>
          <w:rFonts w:cs="Arial"/>
        </w:rPr>
        <w:t xml:space="preserve">, which suggests that all tasks are performed within a finite capacity and exceeding the limits of capacity causes interference with one or both concurrently performed tasks </w:t>
      </w:r>
      <w:r>
        <w:rPr>
          <w:rFonts w:cs="Arial"/>
        </w:rPr>
        <w:fldChar w:fldCharType="begin" w:fldLock="1"/>
      </w:r>
      <w:r>
        <w:rPr>
          <w:rFonts w:cs="Arial"/>
        </w:rPr>
        <w:instrText>ADDIN CSL_CITATION {"citationItems":[{"id":"ITEM-1","itemData":{"DOI":"10.1037/0096-1523.29.1.3","ISSN":"0096-1523","author":[{"dropping-particle":"","family":"Tombu","given":"Michael","non-dropping-particle":"","parse-names":false,"suffix":""},{"dropping-particle":"","family":"Jolicœur","given":"Pierre","non-dropping-particle":"","parse-names":false,"suffix":""}],"container-title":"Journal of Experimental Psychology: Human Perception and Performance","id":"ITEM-1","issue":"1","issued":{"date-parts":[["2003"]]},"page":"3-18","title":"A central capacity sharing model of dual-task performance.","type":"article-journal","volume":"29"},"uris":["http://www.mendeley.com/documents/?uuid=e6d197e6-044c-4bcb-96a2-74cc9e6c9c21"]},{"id":"ITEM-2","itemData":{"DOI":"10.3389/fnhum.2015.00225","ISBN":"1662-5161","ISSN":"1662-5161","PMID":"25972801","abstract":"The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Neuroscience","id":"ITEM-2","issue":"April","issued":{"date-parts":[["2015","4","28"]]},"page":"225","title":"Measuring treatment effects on dual-task performance: a framework for research and clinical practice","type":"article-journal","volume":"9"},"uris":["http://www.mendeley.com/documents/?uuid=72512a00-ef5a-47f8-a3f2-45222c97e3d7"]}],"mendeley":{"formattedCitation":"[11,20]","plainTextFormattedCitation":"[11,20]","previouslyFormattedCitation":"[11,20]"},"properties":{"noteIndex":0},"schema":"https://github.com/citation-style-language/schema/raw/master/csl-citation.json"}</w:instrText>
      </w:r>
      <w:r>
        <w:rPr>
          <w:rFonts w:cs="Arial"/>
        </w:rPr>
        <w:fldChar w:fldCharType="separate"/>
      </w:r>
      <w:r w:rsidRPr="0011317B">
        <w:rPr>
          <w:rFonts w:cs="Arial"/>
          <w:noProof/>
        </w:rPr>
        <w:t>[11,20]</w:t>
      </w:r>
      <w:r>
        <w:rPr>
          <w:rFonts w:cs="Arial"/>
        </w:rPr>
        <w:fldChar w:fldCharType="end"/>
      </w:r>
      <w:r>
        <w:rPr>
          <w:rFonts w:cs="Arial"/>
        </w:rPr>
        <w:t xml:space="preserve">. Because phoneme monitoring is performed without any motor demands, and forward walking requires little or no cognitive demand, we assume that the tasks of this study operated with different mechanisms and the interference was the result of an exceeded capacity. </w:t>
      </w:r>
      <w:r>
        <w:rPr>
          <w:rFonts w:cs="Arial"/>
          <w:color w:val="0070C0"/>
        </w:rPr>
        <w:tab/>
      </w:r>
    </w:p>
    <w:p w14:paraId="794ED92B" w14:textId="0A32C09A" w:rsidR="00792893" w:rsidRPr="00673651" w:rsidRDefault="00AA7903" w:rsidP="008009D0">
      <w:pPr>
        <w:jc w:val="both"/>
        <w:rPr>
          <w:rFonts w:cs="Arial"/>
          <w:color w:val="000000" w:themeColor="text1"/>
        </w:rPr>
      </w:pPr>
      <w:r>
        <w:rPr>
          <w:rFonts w:cs="Arial"/>
          <w:color w:val="0070C0"/>
        </w:rPr>
        <w:lastRenderedPageBreak/>
        <w:tab/>
      </w:r>
      <w:r>
        <w:rPr>
          <w:rFonts w:cs="Arial"/>
        </w:rPr>
        <w:t>The change in dual-task effect</w:t>
      </w:r>
      <w:r w:rsidRPr="00253279">
        <w:rPr>
          <w:rFonts w:cs="Arial"/>
        </w:rPr>
        <w:t xml:space="preserve"> presented in Figure 3</w:t>
      </w:r>
      <w:r w:rsidRPr="008C5CA6">
        <w:rPr>
          <w:rFonts w:cs="Arial"/>
        </w:rPr>
        <w:t xml:space="preserve"> </w:t>
      </w:r>
      <w:r>
        <w:rPr>
          <w:rFonts w:cs="Arial"/>
        </w:rPr>
        <w:t xml:space="preserve">implies that, while ON, some PD subjects may have adopted the so-called ‘posture-second’ dual-task strategy, which is in agreement with previous findings </w:t>
      </w:r>
      <w:r>
        <w:rPr>
          <w:rFonts w:cs="Arial"/>
        </w:rPr>
        <w:fldChar w:fldCharType="begin" w:fldLock="1"/>
      </w:r>
      <w:r>
        <w:rPr>
          <w:rFonts w:cs="Arial"/>
        </w:rPr>
        <w:instrText>ADDIN CSL_CITATION {"citationItems":[{"id":"ITEM-1","itemData":{"DOI":"10.1016/j.jns.2006.05.010","ISBN":"0022-510X (Print)","ISSN":"0022510X","PMID":"16806270","abstract":"Falls are common in Parkinson's disease. It remains difficult to predict these falls, presumably because clinical balance tests assess single components of postural control, whereas everyday fall mechanisms are typically more complicated. A substantial proportion of everyday falls appears to occur while Parkinson patients attempt to perform multiple tasks at the same time. Furthermore, little attention is generally paid to the possible contribution of cognitive impairments to falls. The importance of mental dysfunction is supported by the fact that cognitive loading while walking or balancing can lead to marked deteriorations in postural performance, and there is some evidence to suggest that such \"dual tasking\" is particularly difficult for elderly persons with dementia or depression. We examined what strategies Parkinson patients used when a basic walking task became increasingly challenging by adding additional tasks (both motor and cognitive). Most patients could perform a simple \"dual task\" test: simultaneously walking and answering simple questions. However, as the walking task became more complex, patients' performance began to deteriorate. Interestingly, this was reflected not only by failure to answer questions, but also by an increasing number of blocks in motor performance (walking and balancing). This behaviour was different from that of both young and elderly controls, who appeared to sacrifice performance on the cognitive task in order to optimise their gait and balance (\"posture first\" strategy). Preliminary evidence suggest that impaired multiple task performance is associated with a two-fold increased risk of sustaining falls in daily life. We conclude that Parkinson patients are less inclined than healthy persons to maintain a safe gait. Instead, Parkinson patients use a \"posture second\" strategy and treat all elements of a complex task with equal priority, which in daily life may go at the expense of maintaining balance and lead to falls. ?? 2006 Elsevier B.V. All rights reserved.","author":[{"dropping-particle":"","family":"Bloem","given":"Bastiaan R.","non-dropping-particle":"","parse-names":false,"suffix":""},{"dropping-particle":"","family":"Grimbergen","given":"Yvette A.M.","non-dropping-particle":"","parse-names":false,"suffix":""},{"dropping-particle":"","family":"Dijk","given":"J. Gert","non-dropping-particle":"van","parse-names":false,"suffix":""},{"dropping-particle":"","family":"Munneke","given":"Marten","non-dropping-particle":"","parse-names":false,"suffix":""}],"container-title":"Journal of the Neurological Sciences","id":"ITEM-1","issue":"1-2","issued":{"date-parts":[["2006","10"]]},"page":"196-204","title":"The “posture second” strategy: A review of wrong priorities in Parkinson's disease","type":"article-journal","volume":"248"},"uris":["http://www.mendeley.com/documents/?uuid=00467ecb-7c88-478f-84a6-17b4502972d0"]}],"mendeley":{"formattedCitation":"[22]","plainTextFormattedCitation":"[22]","previouslyFormattedCitation":"[22]"},"properties":{"noteIndex":0},"schema":"https://github.com/citation-style-language/schema/raw/master/csl-citation.json"}</w:instrText>
      </w:r>
      <w:r>
        <w:rPr>
          <w:rFonts w:cs="Arial"/>
        </w:rPr>
        <w:fldChar w:fldCharType="separate"/>
      </w:r>
      <w:r w:rsidRPr="00736CB4">
        <w:rPr>
          <w:rFonts w:cs="Arial"/>
          <w:noProof/>
        </w:rPr>
        <w:t>[22]</w:t>
      </w:r>
      <w:r>
        <w:rPr>
          <w:rFonts w:cs="Arial"/>
        </w:rPr>
        <w:fldChar w:fldCharType="end"/>
      </w:r>
      <w:r>
        <w:rPr>
          <w:rFonts w:cs="Arial"/>
        </w:rPr>
        <w:t xml:space="preserve">. This strategy postulates that PD subjects wrongly prioritize secondary, cognitive tasks at the expense of postural stability. This undesirable prioritization may partly explain why PD subjects are more prone to loss of balance and falls than their neurologically healthy peers </w:t>
      </w:r>
      <w:r>
        <w:rPr>
          <w:rFonts w:cs="Arial"/>
        </w:rPr>
        <w:fldChar w:fldCharType="begin" w:fldLock="1"/>
      </w:r>
      <w:r>
        <w:rPr>
          <w:rFonts w:cs="Arial"/>
        </w:rPr>
        <w:instrText>ADDIN CSL_CITATION {"citationItems":[{"id":"ITEM-1","itemData":{"DOI":"10.1007/s40263-012-0012-3","ISSN":"11727047","abstract":"Postural instability is one of the cardinal signs in Parkinson's disease (PD). It can be present even at diagnosis, but becomes more prevalent and worsens with disease progression. It represents one of the most disabling symptoms in the advanced stages of the disease, as it is associated with increased falls and loss of independence. Clinical and posturographic studies have contributed to significant advances in unravelling the complex pathophysiology of postural instability in patients with PD, but it still remains yet to be fully clarified, partly due to the difficulty in distinguishing between the disease process and the compensatory mechanisms, but also due to the fact that non-standardized techniques are used to measure balance and postural instability. There is increasing evidence that physical therapy, especially highly challenging balance exercises, can improve postural stability and reduce the risk of falls, although the long-term effects of physical therapy interventions on postural stability need to be explored given the progressive nature of PD. Pharmacotherapy with dopaminergic medications can provide significant improvements in postural instability in early- to mid-stage PD but the effects tend to wane with time consistent with spread of the disease process to non-dopaminergic pathways in advanced PD. Donepezil has been associated with a reduced risk of falls and methylphenidate has shown potential benefit against freezing of gait, but the results are yet to be replicated in large randomized studies. Surgical treatments, including lesioning and deep brain stimulation surgery targeting the subthalamic nucleus and the globus pallidus internus, tend to only provide modest benefit for postural instability. New surgical targets such as the pedunculopontine nucleus have emerged as a potential specific therapy for postural instability and gait disorder but remain experimental. © 2012 Springer International Publishing Switzerland.","author":[{"dropping-particle":"","family":"Kim","given":"Samuel D.","non-dropping-particle":"","parse-names":false,"suffix":""},{"dropping-particle":"","family":"Allen","given":"Natalie E.","non-dropping-particle":"","parse-names":false,"suffix":""},{"dropping-particle":"","family":"Canning","given":"Colleen G.","non-dropping-particle":"","parse-names":false,"suffix":""},{"dropping-particle":"","family":"Fung","given":"Victor S.C.","non-dropping-particle":"","parse-names":false,"suffix":""}],"container-title":"CNS Drugs","id":"ITEM-1","issue":"2","issued":{"date-parts":[["2013"]]},"page":"97-112","title":"Postural instability in patients with Parkinson's disease: Epidemiology, pathophysiology and management","type":"article-journal","volume":"27"},"uris":["http://www.mendeley.com/documents/?uuid=61c15668-fe73-45b7-b665-d5cff09a1c55"]}],"mendeley":{"formattedCitation":"[23]","plainTextFormattedCitation":"[23]","previouslyFormattedCitation":"[23]"},"properties":{"noteIndex":0},"schema":"https://github.com/citation-style-language/schema/raw/master/csl-citation.json"}</w:instrText>
      </w:r>
      <w:r>
        <w:rPr>
          <w:rFonts w:cs="Arial"/>
        </w:rPr>
        <w:fldChar w:fldCharType="separate"/>
      </w:r>
      <w:r w:rsidRPr="00E63207">
        <w:rPr>
          <w:rFonts w:cs="Arial"/>
          <w:noProof/>
        </w:rPr>
        <w:t>[23]</w:t>
      </w:r>
      <w:r>
        <w:rPr>
          <w:rFonts w:cs="Arial"/>
        </w:rPr>
        <w:fldChar w:fldCharType="end"/>
      </w:r>
      <w:r>
        <w:rPr>
          <w:rFonts w:cs="Arial"/>
        </w:rPr>
        <w:t>.</w:t>
      </w:r>
      <w:r w:rsidR="00D009DF" w:rsidRPr="00673651">
        <w:rPr>
          <w:rFonts w:cs="Arial"/>
          <w:color w:val="000000" w:themeColor="text1"/>
        </w:rPr>
        <w:t xml:space="preserve"> </w:t>
      </w:r>
    </w:p>
    <w:p w14:paraId="0AECDCD4" w14:textId="668675E8" w:rsidR="00D009DF" w:rsidRDefault="00D009DF" w:rsidP="008009D0">
      <w:pPr>
        <w:pStyle w:val="Heading2"/>
        <w:jc w:val="both"/>
      </w:pPr>
      <w:bookmarkStart w:id="26" w:name="_Toc527361740"/>
      <w:r w:rsidRPr="00864B56">
        <w:t>Conclusions</w:t>
      </w:r>
      <w:bookmarkEnd w:id="26"/>
    </w:p>
    <w:p w14:paraId="44B9B630" w14:textId="4DB87F82" w:rsidR="00D009DF" w:rsidRDefault="00D009DF" w:rsidP="008009D0">
      <w:pPr>
        <w:jc w:val="both"/>
        <w:rPr>
          <w:rFonts w:cs="Arial"/>
        </w:rPr>
      </w:pPr>
      <w:r>
        <w:rPr>
          <w:rFonts w:cs="Arial"/>
        </w:rPr>
        <w:tab/>
      </w:r>
      <w:r w:rsidR="007B3D44">
        <w:rPr>
          <w:rFonts w:cs="Arial"/>
        </w:rPr>
        <w:t>Dopaminergic medication improved some aspects of dual-tasking in the mild-moderate PD subjects, but this was likely a result of improved motor function, especially on the less-affected side. Our findings do not support a medication-induced improvement in automaticity, but they do support the ‘capacity sharing model’ of dual-task interference, because the purely cognitive secondary task was sufficient to interfere with gait performance.</w:t>
      </w:r>
      <w:r>
        <w:rPr>
          <w:rFonts w:cs="Arial"/>
        </w:rPr>
        <w:br w:type="page"/>
      </w:r>
    </w:p>
    <w:p w14:paraId="1D19D4C6" w14:textId="3FAC528D" w:rsidR="004469C7" w:rsidRPr="00DA7802" w:rsidRDefault="00D009DF" w:rsidP="008009D0">
      <w:pPr>
        <w:jc w:val="both"/>
        <w:rPr>
          <w:rFonts w:cs="Arial"/>
          <w:b/>
        </w:rPr>
      </w:pPr>
      <w:r w:rsidRPr="00083C67">
        <w:rPr>
          <w:rFonts w:cs="Arial"/>
          <w:b/>
        </w:rPr>
        <w:lastRenderedPageBreak/>
        <w:t>Tables</w:t>
      </w: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95"/>
      </w:tblGrid>
      <w:tr w:rsidR="00D009DF" w:rsidRPr="00431CEE" w14:paraId="779765B2" w14:textId="77777777" w:rsidTr="00114F9F">
        <w:trPr>
          <w:trHeight w:val="260"/>
        </w:trPr>
        <w:tc>
          <w:tcPr>
            <w:tcW w:w="5580" w:type="dxa"/>
            <w:gridSpan w:val="2"/>
            <w:tcBorders>
              <w:bottom w:val="single" w:sz="4" w:space="0" w:color="auto"/>
            </w:tcBorders>
            <w:vAlign w:val="center"/>
          </w:tcPr>
          <w:p w14:paraId="5C244C7E" w14:textId="5B56C9B5" w:rsidR="00D009DF" w:rsidRPr="00F573F2" w:rsidRDefault="004469C7" w:rsidP="008009D0">
            <w:pPr>
              <w:pStyle w:val="Caption"/>
              <w:keepNext/>
              <w:spacing w:line="480" w:lineRule="auto"/>
              <w:jc w:val="both"/>
              <w:rPr>
                <w:b w:val="0"/>
                <w:sz w:val="24"/>
                <w:szCs w:val="24"/>
              </w:rPr>
            </w:pPr>
            <w:bookmarkStart w:id="27" w:name="_Toc527361777"/>
            <w:r w:rsidRPr="00F573F2">
              <w:rPr>
                <w:b w:val="0"/>
                <w:sz w:val="24"/>
                <w:szCs w:val="24"/>
              </w:rPr>
              <w:t xml:space="preserve">Table </w:t>
            </w:r>
            <w:r w:rsidRPr="00F573F2">
              <w:rPr>
                <w:b w:val="0"/>
                <w:sz w:val="24"/>
                <w:szCs w:val="24"/>
              </w:rPr>
              <w:fldChar w:fldCharType="begin"/>
            </w:r>
            <w:r w:rsidRPr="00F573F2">
              <w:rPr>
                <w:b w:val="0"/>
                <w:sz w:val="24"/>
                <w:szCs w:val="24"/>
              </w:rPr>
              <w:instrText xml:space="preserve"> SEQ Table \* ARABIC </w:instrText>
            </w:r>
            <w:r w:rsidRPr="00F573F2">
              <w:rPr>
                <w:b w:val="0"/>
                <w:sz w:val="24"/>
                <w:szCs w:val="24"/>
              </w:rPr>
              <w:fldChar w:fldCharType="separate"/>
            </w:r>
            <w:r w:rsidR="006C3AB1">
              <w:rPr>
                <w:b w:val="0"/>
                <w:sz w:val="24"/>
                <w:szCs w:val="24"/>
              </w:rPr>
              <w:t>1</w:t>
            </w:r>
            <w:r w:rsidRPr="00F573F2">
              <w:rPr>
                <w:b w:val="0"/>
                <w:sz w:val="24"/>
                <w:szCs w:val="24"/>
              </w:rPr>
              <w:fldChar w:fldCharType="end"/>
            </w:r>
            <w:r w:rsidRPr="00F573F2">
              <w:rPr>
                <w:b w:val="0"/>
                <w:sz w:val="24"/>
                <w:szCs w:val="24"/>
              </w:rPr>
              <w:t>. Subject demographic information.</w:t>
            </w:r>
            <w:bookmarkEnd w:id="27"/>
          </w:p>
        </w:tc>
      </w:tr>
      <w:tr w:rsidR="00D009DF" w:rsidRPr="00431CEE" w14:paraId="670C3F87" w14:textId="77777777" w:rsidTr="00114F9F">
        <w:tc>
          <w:tcPr>
            <w:tcW w:w="0" w:type="auto"/>
            <w:tcBorders>
              <w:top w:val="single" w:sz="4" w:space="0" w:color="auto"/>
              <w:bottom w:val="single" w:sz="4" w:space="0" w:color="auto"/>
            </w:tcBorders>
            <w:vAlign w:val="center"/>
          </w:tcPr>
          <w:p w14:paraId="06255B66" w14:textId="77777777" w:rsidR="00D009DF" w:rsidRPr="00D4113D" w:rsidRDefault="00D009DF" w:rsidP="008009D0">
            <w:pPr>
              <w:jc w:val="both"/>
              <w:rPr>
                <w:rFonts w:cs="Arial"/>
                <w:b/>
              </w:rPr>
            </w:pPr>
            <w:r w:rsidRPr="00D4113D">
              <w:rPr>
                <w:rFonts w:cs="Arial"/>
                <w:b/>
              </w:rPr>
              <w:t>Demographics</w:t>
            </w:r>
          </w:p>
        </w:tc>
        <w:tc>
          <w:tcPr>
            <w:tcW w:w="2495" w:type="dxa"/>
            <w:tcBorders>
              <w:top w:val="single" w:sz="4" w:space="0" w:color="auto"/>
              <w:bottom w:val="single" w:sz="4" w:space="0" w:color="auto"/>
            </w:tcBorders>
            <w:vAlign w:val="center"/>
          </w:tcPr>
          <w:p w14:paraId="623003BC" w14:textId="77777777" w:rsidR="00D009DF" w:rsidRPr="00D4113D" w:rsidRDefault="00D009DF" w:rsidP="008009D0">
            <w:pPr>
              <w:jc w:val="both"/>
              <w:rPr>
                <w:rFonts w:cs="Arial"/>
                <w:b/>
              </w:rPr>
            </w:pPr>
            <w:r w:rsidRPr="00D4113D">
              <w:rPr>
                <w:rFonts w:cs="Arial"/>
                <w:b/>
              </w:rPr>
              <w:t xml:space="preserve">Mean </w:t>
            </w:r>
            <w:r>
              <w:rPr>
                <w:rFonts w:cs="Arial"/>
                <w:b/>
              </w:rPr>
              <w:t>± SD</w:t>
            </w:r>
          </w:p>
        </w:tc>
      </w:tr>
      <w:tr w:rsidR="00D009DF" w:rsidRPr="00431CEE" w14:paraId="61D9F25A" w14:textId="77777777" w:rsidTr="00114F9F">
        <w:tc>
          <w:tcPr>
            <w:tcW w:w="0" w:type="auto"/>
            <w:tcBorders>
              <w:top w:val="single" w:sz="4" w:space="0" w:color="auto"/>
            </w:tcBorders>
            <w:vAlign w:val="center"/>
          </w:tcPr>
          <w:p w14:paraId="5BEDFE06" w14:textId="77777777" w:rsidR="00D009DF" w:rsidRPr="00431CEE" w:rsidRDefault="00D009DF" w:rsidP="008009D0">
            <w:pPr>
              <w:jc w:val="both"/>
              <w:rPr>
                <w:rFonts w:cs="Arial"/>
              </w:rPr>
            </w:pPr>
            <w:r>
              <w:rPr>
                <w:rFonts w:cs="Arial"/>
              </w:rPr>
              <w:t>Sex</w:t>
            </w:r>
          </w:p>
        </w:tc>
        <w:tc>
          <w:tcPr>
            <w:tcW w:w="2495" w:type="dxa"/>
            <w:tcBorders>
              <w:top w:val="single" w:sz="4" w:space="0" w:color="auto"/>
            </w:tcBorders>
            <w:vAlign w:val="center"/>
          </w:tcPr>
          <w:p w14:paraId="5437202B" w14:textId="77777777" w:rsidR="00D009DF" w:rsidRPr="00431CEE" w:rsidRDefault="00D009DF" w:rsidP="006E6D91">
            <w:pPr>
              <w:jc w:val="center"/>
              <w:rPr>
                <w:rFonts w:cs="Arial"/>
              </w:rPr>
            </w:pPr>
            <w:r>
              <w:rPr>
                <w:rFonts w:cs="Arial"/>
              </w:rPr>
              <w:t>12 male, 4 female</w:t>
            </w:r>
          </w:p>
        </w:tc>
      </w:tr>
      <w:tr w:rsidR="00D009DF" w:rsidRPr="00431CEE" w14:paraId="4911D78F" w14:textId="77777777" w:rsidTr="00114F9F">
        <w:tc>
          <w:tcPr>
            <w:tcW w:w="0" w:type="auto"/>
            <w:vAlign w:val="center"/>
          </w:tcPr>
          <w:p w14:paraId="013353A5" w14:textId="77777777" w:rsidR="00D009DF" w:rsidRPr="00431CEE" w:rsidRDefault="00D009DF" w:rsidP="008009D0">
            <w:pPr>
              <w:jc w:val="both"/>
              <w:rPr>
                <w:rFonts w:cs="Arial"/>
              </w:rPr>
            </w:pPr>
            <w:r>
              <w:rPr>
                <w:rFonts w:cs="Arial"/>
              </w:rPr>
              <w:t>Age</w:t>
            </w:r>
          </w:p>
        </w:tc>
        <w:tc>
          <w:tcPr>
            <w:tcW w:w="2495" w:type="dxa"/>
            <w:vAlign w:val="center"/>
          </w:tcPr>
          <w:p w14:paraId="291C9877" w14:textId="77777777" w:rsidR="00D009DF" w:rsidRPr="00431CEE" w:rsidRDefault="00D009DF" w:rsidP="006E6D91">
            <w:pPr>
              <w:jc w:val="center"/>
              <w:rPr>
                <w:rFonts w:cs="Arial"/>
              </w:rPr>
            </w:pPr>
            <w:r>
              <w:rPr>
                <w:rFonts w:cs="Arial"/>
              </w:rPr>
              <w:t>67.13 ± 7.54 yrs.</w:t>
            </w:r>
          </w:p>
        </w:tc>
      </w:tr>
      <w:tr w:rsidR="00D009DF" w:rsidRPr="00431CEE" w14:paraId="0067E323" w14:textId="77777777" w:rsidTr="00114F9F">
        <w:tc>
          <w:tcPr>
            <w:tcW w:w="0" w:type="auto"/>
            <w:vAlign w:val="center"/>
          </w:tcPr>
          <w:p w14:paraId="4C87757B" w14:textId="77777777" w:rsidR="00D009DF" w:rsidRPr="00431CEE" w:rsidRDefault="00D009DF" w:rsidP="008009D0">
            <w:pPr>
              <w:jc w:val="both"/>
              <w:rPr>
                <w:rFonts w:cs="Arial"/>
              </w:rPr>
            </w:pPr>
            <w:r>
              <w:rPr>
                <w:rFonts w:cs="Arial"/>
              </w:rPr>
              <w:t>Height</w:t>
            </w:r>
          </w:p>
        </w:tc>
        <w:tc>
          <w:tcPr>
            <w:tcW w:w="2495" w:type="dxa"/>
            <w:vAlign w:val="center"/>
          </w:tcPr>
          <w:p w14:paraId="03B2E0D4" w14:textId="77777777" w:rsidR="00D009DF" w:rsidRPr="00431CEE" w:rsidRDefault="00D009DF" w:rsidP="006E6D91">
            <w:pPr>
              <w:jc w:val="center"/>
              <w:rPr>
                <w:rFonts w:cs="Arial"/>
              </w:rPr>
            </w:pPr>
            <w:r>
              <w:rPr>
                <w:rFonts w:cs="Arial"/>
              </w:rPr>
              <w:t>171.16 ± 9.53 cm</w:t>
            </w:r>
          </w:p>
        </w:tc>
      </w:tr>
      <w:tr w:rsidR="00D009DF" w:rsidRPr="00431CEE" w14:paraId="2585713E" w14:textId="77777777" w:rsidTr="00114F9F">
        <w:tc>
          <w:tcPr>
            <w:tcW w:w="0" w:type="auto"/>
            <w:vAlign w:val="center"/>
          </w:tcPr>
          <w:p w14:paraId="2C815915" w14:textId="77777777" w:rsidR="00D009DF" w:rsidRPr="00431CEE" w:rsidRDefault="00D009DF" w:rsidP="008009D0">
            <w:pPr>
              <w:jc w:val="both"/>
              <w:rPr>
                <w:rFonts w:cs="Arial"/>
              </w:rPr>
            </w:pPr>
            <w:r>
              <w:rPr>
                <w:rFonts w:cs="Arial"/>
              </w:rPr>
              <w:t>Mass</w:t>
            </w:r>
          </w:p>
        </w:tc>
        <w:tc>
          <w:tcPr>
            <w:tcW w:w="2495" w:type="dxa"/>
            <w:vAlign w:val="center"/>
          </w:tcPr>
          <w:p w14:paraId="79434A47" w14:textId="77777777" w:rsidR="00D009DF" w:rsidRPr="00431CEE" w:rsidRDefault="00D009DF" w:rsidP="006E6D91">
            <w:pPr>
              <w:jc w:val="center"/>
              <w:rPr>
                <w:rFonts w:cs="Arial"/>
              </w:rPr>
            </w:pPr>
            <w:r>
              <w:rPr>
                <w:rFonts w:cs="Arial"/>
              </w:rPr>
              <w:t>80.93 ± 14.28 kg</w:t>
            </w:r>
          </w:p>
        </w:tc>
      </w:tr>
      <w:tr w:rsidR="00D009DF" w:rsidRPr="00431CEE" w14:paraId="129F1D33" w14:textId="77777777" w:rsidTr="00114F9F">
        <w:tc>
          <w:tcPr>
            <w:tcW w:w="0" w:type="auto"/>
            <w:vAlign w:val="center"/>
          </w:tcPr>
          <w:p w14:paraId="0B561D49" w14:textId="77777777" w:rsidR="00D009DF" w:rsidRDefault="00D009DF" w:rsidP="008009D0">
            <w:pPr>
              <w:jc w:val="both"/>
              <w:rPr>
                <w:rFonts w:cs="Arial"/>
              </w:rPr>
            </w:pPr>
            <w:r>
              <w:rPr>
                <w:rFonts w:cs="Arial"/>
              </w:rPr>
              <w:t>UPDRS III (OFF)</w:t>
            </w:r>
          </w:p>
        </w:tc>
        <w:tc>
          <w:tcPr>
            <w:tcW w:w="2495" w:type="dxa"/>
            <w:vAlign w:val="center"/>
          </w:tcPr>
          <w:p w14:paraId="01AE311F" w14:textId="77777777" w:rsidR="00D009DF" w:rsidRPr="00431CEE" w:rsidRDefault="00D009DF" w:rsidP="006E6D91">
            <w:pPr>
              <w:jc w:val="center"/>
              <w:rPr>
                <w:rFonts w:cs="Arial"/>
              </w:rPr>
            </w:pPr>
            <w:r>
              <w:rPr>
                <w:rFonts w:cs="Arial"/>
              </w:rPr>
              <w:t>44.44 ± 13.34</w:t>
            </w:r>
          </w:p>
        </w:tc>
      </w:tr>
      <w:tr w:rsidR="00D009DF" w:rsidRPr="00431CEE" w14:paraId="0B0261A0" w14:textId="77777777" w:rsidTr="00114F9F">
        <w:tc>
          <w:tcPr>
            <w:tcW w:w="0" w:type="auto"/>
            <w:vAlign w:val="center"/>
          </w:tcPr>
          <w:p w14:paraId="7D2FE413" w14:textId="77777777" w:rsidR="00D009DF" w:rsidRDefault="00D009DF" w:rsidP="008009D0">
            <w:pPr>
              <w:jc w:val="both"/>
              <w:rPr>
                <w:rFonts w:cs="Arial"/>
              </w:rPr>
            </w:pPr>
            <w:r>
              <w:rPr>
                <w:rFonts w:cs="Arial"/>
              </w:rPr>
              <w:t>UPDRS III (ON)</w:t>
            </w:r>
          </w:p>
        </w:tc>
        <w:tc>
          <w:tcPr>
            <w:tcW w:w="2495" w:type="dxa"/>
            <w:vAlign w:val="center"/>
          </w:tcPr>
          <w:p w14:paraId="314DA6BD" w14:textId="77777777" w:rsidR="00D009DF" w:rsidRPr="00431CEE" w:rsidRDefault="00D009DF" w:rsidP="006E6D91">
            <w:pPr>
              <w:jc w:val="center"/>
              <w:rPr>
                <w:rFonts w:cs="Arial"/>
              </w:rPr>
            </w:pPr>
            <w:r>
              <w:rPr>
                <w:rFonts w:cs="Arial"/>
              </w:rPr>
              <w:t>24.44 ± 8.17</w:t>
            </w:r>
          </w:p>
        </w:tc>
      </w:tr>
      <w:tr w:rsidR="00D009DF" w:rsidRPr="00431CEE" w14:paraId="2D759CDC" w14:textId="77777777" w:rsidTr="00114F9F">
        <w:tc>
          <w:tcPr>
            <w:tcW w:w="0" w:type="auto"/>
            <w:vAlign w:val="center"/>
          </w:tcPr>
          <w:p w14:paraId="7567FD1B" w14:textId="77777777" w:rsidR="00D009DF" w:rsidRPr="00431CEE" w:rsidRDefault="00D009DF" w:rsidP="008009D0">
            <w:pPr>
              <w:jc w:val="both"/>
              <w:rPr>
                <w:rFonts w:cs="Arial"/>
              </w:rPr>
            </w:pPr>
            <w:r>
              <w:rPr>
                <w:rFonts w:cs="Arial"/>
              </w:rPr>
              <w:t>More-affected side</w:t>
            </w:r>
          </w:p>
        </w:tc>
        <w:tc>
          <w:tcPr>
            <w:tcW w:w="2495" w:type="dxa"/>
            <w:vAlign w:val="center"/>
          </w:tcPr>
          <w:p w14:paraId="3165E7AD" w14:textId="77777777" w:rsidR="00D009DF" w:rsidRPr="00431CEE" w:rsidRDefault="00D009DF" w:rsidP="006E6D91">
            <w:pPr>
              <w:jc w:val="center"/>
              <w:rPr>
                <w:rFonts w:cs="Arial"/>
              </w:rPr>
            </w:pPr>
            <w:r>
              <w:rPr>
                <w:rFonts w:cs="Arial"/>
              </w:rPr>
              <w:t>Right = 9, Left = 7</w:t>
            </w:r>
          </w:p>
        </w:tc>
      </w:tr>
      <w:tr w:rsidR="00D009DF" w:rsidRPr="00431CEE" w14:paraId="4B7C1BAB" w14:textId="77777777" w:rsidTr="00114F9F">
        <w:tc>
          <w:tcPr>
            <w:tcW w:w="0" w:type="auto"/>
            <w:vAlign w:val="center"/>
          </w:tcPr>
          <w:p w14:paraId="140F6291" w14:textId="77777777" w:rsidR="00D009DF" w:rsidRDefault="00D009DF" w:rsidP="008009D0">
            <w:pPr>
              <w:jc w:val="both"/>
              <w:rPr>
                <w:rFonts w:cs="Arial"/>
              </w:rPr>
            </w:pPr>
            <w:r>
              <w:rPr>
                <w:rFonts w:cs="Arial"/>
              </w:rPr>
              <w:t>Time since diagnosis</w:t>
            </w:r>
          </w:p>
        </w:tc>
        <w:tc>
          <w:tcPr>
            <w:tcW w:w="2495" w:type="dxa"/>
            <w:vAlign w:val="center"/>
          </w:tcPr>
          <w:p w14:paraId="2D450275" w14:textId="77777777" w:rsidR="00D009DF" w:rsidRDefault="00D009DF" w:rsidP="006E6D91">
            <w:pPr>
              <w:jc w:val="center"/>
              <w:rPr>
                <w:rFonts w:cs="Arial"/>
              </w:rPr>
            </w:pPr>
            <w:r>
              <w:rPr>
                <w:rFonts w:cs="Arial"/>
              </w:rPr>
              <w:t>6.72 ± 5.79 yrs.</w:t>
            </w:r>
          </w:p>
        </w:tc>
      </w:tr>
      <w:tr w:rsidR="00D009DF" w:rsidRPr="00431CEE" w14:paraId="2497B77F" w14:textId="77777777" w:rsidTr="00114F9F">
        <w:tc>
          <w:tcPr>
            <w:tcW w:w="0" w:type="auto"/>
            <w:tcBorders>
              <w:bottom w:val="single" w:sz="4" w:space="0" w:color="auto"/>
            </w:tcBorders>
            <w:vAlign w:val="center"/>
          </w:tcPr>
          <w:p w14:paraId="733E4ECD" w14:textId="77777777" w:rsidR="00D009DF" w:rsidRDefault="00D009DF" w:rsidP="008009D0">
            <w:pPr>
              <w:jc w:val="both"/>
              <w:rPr>
                <w:rFonts w:cs="Arial"/>
              </w:rPr>
            </w:pPr>
            <w:r>
              <w:rPr>
                <w:rFonts w:cs="Arial"/>
              </w:rPr>
              <w:t>Levodopa Equivalent Dose</w:t>
            </w:r>
          </w:p>
        </w:tc>
        <w:tc>
          <w:tcPr>
            <w:tcW w:w="2495" w:type="dxa"/>
            <w:tcBorders>
              <w:bottom w:val="single" w:sz="4" w:space="0" w:color="auto"/>
            </w:tcBorders>
            <w:vAlign w:val="center"/>
          </w:tcPr>
          <w:p w14:paraId="38620CF4" w14:textId="77777777" w:rsidR="00D009DF" w:rsidRDefault="00D009DF" w:rsidP="006E6D91">
            <w:pPr>
              <w:jc w:val="center"/>
              <w:rPr>
                <w:rFonts w:cs="Arial"/>
              </w:rPr>
            </w:pPr>
            <w:r>
              <w:rPr>
                <w:rFonts w:cs="Arial"/>
              </w:rPr>
              <w:t>669.53 ± 230.57</w:t>
            </w:r>
          </w:p>
        </w:tc>
      </w:tr>
      <w:tr w:rsidR="00D009DF" w:rsidRPr="00431CEE" w14:paraId="744A7850" w14:textId="77777777" w:rsidTr="00114F9F">
        <w:tc>
          <w:tcPr>
            <w:tcW w:w="5580" w:type="dxa"/>
            <w:gridSpan w:val="2"/>
            <w:tcBorders>
              <w:top w:val="single" w:sz="4" w:space="0" w:color="auto"/>
            </w:tcBorders>
            <w:vAlign w:val="center"/>
          </w:tcPr>
          <w:p w14:paraId="6B674838" w14:textId="77777777" w:rsidR="00D009DF" w:rsidRDefault="00D009DF" w:rsidP="008009D0">
            <w:pPr>
              <w:jc w:val="both"/>
              <w:rPr>
                <w:rFonts w:cs="Arial"/>
              </w:rPr>
            </w:pPr>
            <w:r>
              <w:rPr>
                <w:rFonts w:cs="Arial"/>
              </w:rPr>
              <w:t>Note: UPDRS III = part III of the MSD-UPDRS, OFF = off-medication state, ON = on-medication state.</w:t>
            </w:r>
          </w:p>
        </w:tc>
      </w:tr>
    </w:tbl>
    <w:p w14:paraId="67F68B86" w14:textId="77777777" w:rsidR="00D009DF" w:rsidRDefault="00D009DF" w:rsidP="008009D0">
      <w:pPr>
        <w:jc w:val="both"/>
        <w:rPr>
          <w:rFonts w:cs="Arial"/>
        </w:rPr>
      </w:pPr>
    </w:p>
    <w:p w14:paraId="78537442" w14:textId="77777777" w:rsidR="00D009DF" w:rsidRPr="00823A47" w:rsidRDefault="00D009DF" w:rsidP="008009D0">
      <w:pPr>
        <w:jc w:val="both"/>
        <w:rPr>
          <w:rFonts w:cs="Arial"/>
        </w:rPr>
      </w:pPr>
    </w:p>
    <w:p w14:paraId="34A00D5A" w14:textId="77777777" w:rsidR="00D009DF" w:rsidRPr="00823A47" w:rsidRDefault="00D009DF" w:rsidP="008009D0">
      <w:pPr>
        <w:jc w:val="both"/>
        <w:rPr>
          <w:rFonts w:cs="Arial"/>
        </w:rPr>
      </w:pPr>
    </w:p>
    <w:p w14:paraId="7B2CF575" w14:textId="77777777" w:rsidR="00D009DF" w:rsidRPr="00823A47" w:rsidRDefault="00D009DF" w:rsidP="008009D0">
      <w:pPr>
        <w:jc w:val="both"/>
        <w:rPr>
          <w:rFonts w:cs="Arial"/>
        </w:rPr>
      </w:pPr>
    </w:p>
    <w:p w14:paraId="30654A75" w14:textId="33ABD139" w:rsidR="00D009DF" w:rsidRPr="00823A47" w:rsidRDefault="00D009DF" w:rsidP="008009D0">
      <w:pPr>
        <w:jc w:val="both"/>
        <w:rPr>
          <w:rFonts w:cs="Arial"/>
        </w:rPr>
      </w:pPr>
    </w:p>
    <w:p w14:paraId="725E81D5" w14:textId="03C05E5E" w:rsidR="00894815" w:rsidRPr="00321254" w:rsidRDefault="00227A0E" w:rsidP="008009D0">
      <w:pPr>
        <w:jc w:val="both"/>
        <w:rPr>
          <w:rFonts w:cs="Arial"/>
        </w:rPr>
      </w:pPr>
      <w:r>
        <w:rPr>
          <w:rFonts w:cs="Arial"/>
        </w:rPr>
        <w:br w:type="page"/>
      </w:r>
    </w:p>
    <w:tbl>
      <w:tblPr>
        <w:tblStyle w:val="TableGrid"/>
        <w:tblW w:w="101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5"/>
        <w:gridCol w:w="1890"/>
        <w:gridCol w:w="1842"/>
        <w:gridCol w:w="1778"/>
        <w:gridCol w:w="1778"/>
      </w:tblGrid>
      <w:tr w:rsidR="00252675" w:rsidRPr="00A8320F" w14:paraId="48F1E141" w14:textId="77777777" w:rsidTr="006B3A14">
        <w:tc>
          <w:tcPr>
            <w:tcW w:w="10163" w:type="dxa"/>
            <w:gridSpan w:val="5"/>
            <w:tcBorders>
              <w:bottom w:val="single" w:sz="4" w:space="0" w:color="auto"/>
            </w:tcBorders>
          </w:tcPr>
          <w:p w14:paraId="469122D3" w14:textId="11160C1D" w:rsidR="00252675" w:rsidRPr="00A8320F" w:rsidRDefault="00894815" w:rsidP="008009D0">
            <w:pPr>
              <w:spacing w:line="276" w:lineRule="auto"/>
              <w:jc w:val="both"/>
              <w:rPr>
                <w:rFonts w:cs="Arial"/>
                <w:sz w:val="22"/>
                <w:szCs w:val="22"/>
              </w:rPr>
            </w:pPr>
            <w:bookmarkStart w:id="28" w:name="_Toc527361778"/>
            <w:r>
              <w:lastRenderedPageBreak/>
              <w:t xml:space="preserve">Table </w:t>
            </w:r>
            <w:r w:rsidR="009B30EC">
              <w:rPr>
                <w:noProof/>
              </w:rPr>
              <w:fldChar w:fldCharType="begin"/>
            </w:r>
            <w:r w:rsidR="009B30EC">
              <w:rPr>
                <w:noProof/>
              </w:rPr>
              <w:instrText xml:space="preserve"> SEQ Table \* ARABIC </w:instrText>
            </w:r>
            <w:r w:rsidR="009B30EC">
              <w:rPr>
                <w:noProof/>
              </w:rPr>
              <w:fldChar w:fldCharType="separate"/>
            </w:r>
            <w:r w:rsidR="006C3AB1">
              <w:rPr>
                <w:noProof/>
              </w:rPr>
              <w:t>2</w:t>
            </w:r>
            <w:r w:rsidR="009B30EC">
              <w:rPr>
                <w:noProof/>
              </w:rPr>
              <w:fldChar w:fldCharType="end"/>
            </w:r>
            <w:r>
              <w:t xml:space="preserve">. </w:t>
            </w:r>
            <w:r w:rsidRPr="00894815">
              <w:t>The results of the data analysis, stratified by task and medication. Data are presented as mean ± SD.</w:t>
            </w:r>
            <w:bookmarkEnd w:id="28"/>
          </w:p>
        </w:tc>
      </w:tr>
      <w:tr w:rsidR="00252675" w:rsidRPr="00A8320F" w14:paraId="1EEC8003" w14:textId="77777777" w:rsidTr="006B3A14">
        <w:tc>
          <w:tcPr>
            <w:tcW w:w="2875" w:type="dxa"/>
            <w:vMerge w:val="restart"/>
            <w:tcBorders>
              <w:top w:val="single" w:sz="4" w:space="0" w:color="auto"/>
              <w:bottom w:val="single" w:sz="4" w:space="0" w:color="auto"/>
            </w:tcBorders>
            <w:vAlign w:val="center"/>
          </w:tcPr>
          <w:p w14:paraId="025B43F9" w14:textId="77777777" w:rsidR="00252675" w:rsidRPr="00A8320F" w:rsidRDefault="00252675" w:rsidP="008009D0">
            <w:pPr>
              <w:spacing w:line="276" w:lineRule="auto"/>
              <w:jc w:val="both"/>
              <w:rPr>
                <w:rFonts w:cs="Arial"/>
                <w:b/>
                <w:sz w:val="22"/>
                <w:szCs w:val="22"/>
              </w:rPr>
            </w:pPr>
            <w:r w:rsidRPr="00A8320F">
              <w:rPr>
                <w:rFonts w:cs="Arial"/>
                <w:b/>
                <w:sz w:val="22"/>
                <w:szCs w:val="22"/>
              </w:rPr>
              <w:t>Variable Name</w:t>
            </w:r>
          </w:p>
        </w:tc>
        <w:tc>
          <w:tcPr>
            <w:tcW w:w="7288" w:type="dxa"/>
            <w:gridSpan w:val="4"/>
            <w:tcBorders>
              <w:top w:val="single" w:sz="4" w:space="0" w:color="auto"/>
            </w:tcBorders>
          </w:tcPr>
          <w:p w14:paraId="024B5445" w14:textId="77777777" w:rsidR="00252675" w:rsidRPr="00A8320F" w:rsidRDefault="00252675" w:rsidP="008009D0">
            <w:pPr>
              <w:spacing w:line="276" w:lineRule="auto"/>
              <w:jc w:val="both"/>
              <w:rPr>
                <w:rFonts w:cs="Arial"/>
                <w:b/>
                <w:sz w:val="22"/>
                <w:szCs w:val="22"/>
              </w:rPr>
            </w:pPr>
            <w:r w:rsidRPr="00A8320F">
              <w:rPr>
                <w:rFonts w:cs="Arial"/>
                <w:b/>
                <w:sz w:val="22"/>
                <w:szCs w:val="22"/>
              </w:rPr>
              <w:t>Condition</w:t>
            </w:r>
          </w:p>
        </w:tc>
      </w:tr>
      <w:tr w:rsidR="00252675" w:rsidRPr="00A8320F" w14:paraId="5E1EB54F" w14:textId="77777777" w:rsidTr="006B3A14">
        <w:tc>
          <w:tcPr>
            <w:tcW w:w="2875" w:type="dxa"/>
            <w:vMerge/>
            <w:tcBorders>
              <w:bottom w:val="single" w:sz="4" w:space="0" w:color="auto"/>
            </w:tcBorders>
          </w:tcPr>
          <w:p w14:paraId="71F7AC41" w14:textId="77777777" w:rsidR="00252675" w:rsidRPr="00A8320F" w:rsidRDefault="00252675" w:rsidP="008009D0">
            <w:pPr>
              <w:spacing w:line="276" w:lineRule="auto"/>
              <w:jc w:val="both"/>
              <w:rPr>
                <w:rFonts w:cs="Arial"/>
                <w:b/>
                <w:sz w:val="22"/>
                <w:szCs w:val="22"/>
              </w:rPr>
            </w:pPr>
          </w:p>
        </w:tc>
        <w:tc>
          <w:tcPr>
            <w:tcW w:w="1890" w:type="dxa"/>
            <w:tcBorders>
              <w:bottom w:val="single" w:sz="4" w:space="0" w:color="auto"/>
            </w:tcBorders>
          </w:tcPr>
          <w:p w14:paraId="45982283" w14:textId="77777777" w:rsidR="00252675" w:rsidRPr="00A8320F" w:rsidRDefault="00252675" w:rsidP="008009D0">
            <w:pPr>
              <w:spacing w:line="276" w:lineRule="auto"/>
              <w:jc w:val="both"/>
              <w:rPr>
                <w:rFonts w:cs="Arial"/>
                <w:b/>
                <w:sz w:val="22"/>
                <w:szCs w:val="22"/>
              </w:rPr>
            </w:pPr>
            <w:r w:rsidRPr="00A8320F">
              <w:rPr>
                <w:rFonts w:cs="Arial"/>
                <w:b/>
                <w:sz w:val="22"/>
                <w:szCs w:val="22"/>
              </w:rPr>
              <w:t>ST-OFF</w:t>
            </w:r>
          </w:p>
        </w:tc>
        <w:tc>
          <w:tcPr>
            <w:tcW w:w="1842" w:type="dxa"/>
            <w:tcBorders>
              <w:bottom w:val="single" w:sz="4" w:space="0" w:color="auto"/>
            </w:tcBorders>
          </w:tcPr>
          <w:p w14:paraId="7870E0D1" w14:textId="77777777" w:rsidR="00252675" w:rsidRPr="00A8320F" w:rsidRDefault="00252675" w:rsidP="008009D0">
            <w:pPr>
              <w:spacing w:line="276" w:lineRule="auto"/>
              <w:jc w:val="both"/>
              <w:rPr>
                <w:rFonts w:cs="Arial"/>
                <w:b/>
                <w:sz w:val="22"/>
                <w:szCs w:val="22"/>
              </w:rPr>
            </w:pPr>
            <w:r w:rsidRPr="00A8320F">
              <w:rPr>
                <w:rFonts w:cs="Arial"/>
                <w:b/>
                <w:sz w:val="22"/>
                <w:szCs w:val="22"/>
              </w:rPr>
              <w:t>DT-OFF</w:t>
            </w:r>
          </w:p>
        </w:tc>
        <w:tc>
          <w:tcPr>
            <w:tcW w:w="1778" w:type="dxa"/>
            <w:tcBorders>
              <w:bottom w:val="single" w:sz="4" w:space="0" w:color="auto"/>
            </w:tcBorders>
          </w:tcPr>
          <w:p w14:paraId="1D6D9AFA" w14:textId="77777777" w:rsidR="00252675" w:rsidRPr="00A8320F" w:rsidRDefault="00252675" w:rsidP="008009D0">
            <w:pPr>
              <w:spacing w:line="276" w:lineRule="auto"/>
              <w:jc w:val="both"/>
              <w:rPr>
                <w:rFonts w:cs="Arial"/>
                <w:b/>
                <w:sz w:val="22"/>
                <w:szCs w:val="22"/>
              </w:rPr>
            </w:pPr>
            <w:r w:rsidRPr="00A8320F">
              <w:rPr>
                <w:rFonts w:cs="Arial"/>
                <w:b/>
                <w:sz w:val="22"/>
                <w:szCs w:val="22"/>
              </w:rPr>
              <w:t>ST-ON</w:t>
            </w:r>
          </w:p>
        </w:tc>
        <w:tc>
          <w:tcPr>
            <w:tcW w:w="1778" w:type="dxa"/>
            <w:tcBorders>
              <w:bottom w:val="single" w:sz="4" w:space="0" w:color="auto"/>
            </w:tcBorders>
          </w:tcPr>
          <w:p w14:paraId="10DF35C6" w14:textId="77777777" w:rsidR="00252675" w:rsidRPr="00A8320F" w:rsidRDefault="00252675" w:rsidP="008009D0">
            <w:pPr>
              <w:spacing w:line="276" w:lineRule="auto"/>
              <w:jc w:val="both"/>
              <w:rPr>
                <w:rFonts w:cs="Arial"/>
                <w:b/>
                <w:sz w:val="22"/>
                <w:szCs w:val="22"/>
              </w:rPr>
            </w:pPr>
            <w:r w:rsidRPr="00A8320F">
              <w:rPr>
                <w:rFonts w:cs="Arial"/>
                <w:b/>
                <w:sz w:val="22"/>
                <w:szCs w:val="22"/>
              </w:rPr>
              <w:t>DT-ON</w:t>
            </w:r>
          </w:p>
        </w:tc>
      </w:tr>
      <w:tr w:rsidR="00252675" w:rsidRPr="00A8320F" w14:paraId="18CA9D80" w14:textId="77777777" w:rsidTr="006B3A14">
        <w:tc>
          <w:tcPr>
            <w:tcW w:w="2875" w:type="dxa"/>
            <w:tcBorders>
              <w:top w:val="single" w:sz="4" w:space="0" w:color="auto"/>
            </w:tcBorders>
          </w:tcPr>
          <w:p w14:paraId="5B1E835F" w14:textId="77777777" w:rsidR="00252675" w:rsidRPr="00A8320F" w:rsidRDefault="00252675" w:rsidP="008009D0">
            <w:pPr>
              <w:spacing w:line="276" w:lineRule="auto"/>
              <w:jc w:val="both"/>
              <w:rPr>
                <w:rFonts w:cs="Arial"/>
                <w:sz w:val="22"/>
                <w:szCs w:val="22"/>
              </w:rPr>
            </w:pPr>
            <w:r w:rsidRPr="00A8320F">
              <w:rPr>
                <w:rFonts w:cs="Arial"/>
                <w:sz w:val="22"/>
                <w:szCs w:val="22"/>
              </w:rPr>
              <w:t>Velocity (m/s)</w:t>
            </w:r>
          </w:p>
        </w:tc>
        <w:tc>
          <w:tcPr>
            <w:tcW w:w="1890" w:type="dxa"/>
            <w:tcBorders>
              <w:top w:val="single" w:sz="4" w:space="0" w:color="auto"/>
            </w:tcBorders>
          </w:tcPr>
          <w:p w14:paraId="3CA2AE07" w14:textId="77777777" w:rsidR="00252675" w:rsidRPr="00A8320F" w:rsidRDefault="00252675" w:rsidP="006E6D91">
            <w:pPr>
              <w:spacing w:line="276" w:lineRule="auto"/>
              <w:jc w:val="center"/>
              <w:rPr>
                <w:rFonts w:cs="Arial"/>
                <w:sz w:val="22"/>
                <w:szCs w:val="22"/>
              </w:rPr>
            </w:pPr>
            <w:r w:rsidRPr="00A8320F">
              <w:rPr>
                <w:rFonts w:cs="Arial"/>
                <w:sz w:val="22"/>
                <w:szCs w:val="22"/>
              </w:rPr>
              <w:t>1.23 ± 0.18</w:t>
            </w:r>
          </w:p>
        </w:tc>
        <w:tc>
          <w:tcPr>
            <w:tcW w:w="1842" w:type="dxa"/>
            <w:tcBorders>
              <w:top w:val="single" w:sz="4" w:space="0" w:color="auto"/>
            </w:tcBorders>
          </w:tcPr>
          <w:p w14:paraId="47FB0634" w14:textId="77777777" w:rsidR="00252675" w:rsidRPr="00A8320F" w:rsidRDefault="00252675" w:rsidP="006E6D91">
            <w:pPr>
              <w:spacing w:line="276" w:lineRule="auto"/>
              <w:jc w:val="center"/>
              <w:rPr>
                <w:rFonts w:cs="Arial"/>
                <w:sz w:val="22"/>
                <w:szCs w:val="22"/>
              </w:rPr>
            </w:pPr>
            <w:r w:rsidRPr="00A8320F">
              <w:rPr>
                <w:rFonts w:cs="Arial"/>
                <w:sz w:val="22"/>
                <w:szCs w:val="22"/>
              </w:rPr>
              <w:t>1.20 ± 0.21</w:t>
            </w:r>
          </w:p>
        </w:tc>
        <w:tc>
          <w:tcPr>
            <w:tcW w:w="1778" w:type="dxa"/>
            <w:tcBorders>
              <w:top w:val="single" w:sz="4" w:space="0" w:color="auto"/>
            </w:tcBorders>
          </w:tcPr>
          <w:p w14:paraId="0429D38F" w14:textId="77777777" w:rsidR="00252675" w:rsidRPr="00A8320F" w:rsidRDefault="00252675" w:rsidP="006E6D91">
            <w:pPr>
              <w:spacing w:line="276" w:lineRule="auto"/>
              <w:jc w:val="center"/>
              <w:rPr>
                <w:rFonts w:cs="Arial"/>
                <w:sz w:val="22"/>
                <w:szCs w:val="22"/>
              </w:rPr>
            </w:pPr>
            <w:r w:rsidRPr="00A8320F">
              <w:rPr>
                <w:rFonts w:cs="Arial"/>
                <w:sz w:val="22"/>
                <w:szCs w:val="22"/>
              </w:rPr>
              <w:t>1.31 ± 0.14*</w:t>
            </w:r>
          </w:p>
        </w:tc>
        <w:tc>
          <w:tcPr>
            <w:tcW w:w="1778" w:type="dxa"/>
            <w:tcBorders>
              <w:top w:val="single" w:sz="4" w:space="0" w:color="auto"/>
            </w:tcBorders>
          </w:tcPr>
          <w:p w14:paraId="53A5C02F" w14:textId="77777777" w:rsidR="00252675" w:rsidRPr="00A8320F" w:rsidRDefault="00252675" w:rsidP="006E6D91">
            <w:pPr>
              <w:spacing w:line="276" w:lineRule="auto"/>
              <w:jc w:val="center"/>
              <w:rPr>
                <w:rFonts w:cs="Arial"/>
                <w:sz w:val="22"/>
                <w:szCs w:val="22"/>
              </w:rPr>
            </w:pPr>
            <w:r w:rsidRPr="00A8320F">
              <w:rPr>
                <w:rFonts w:cs="Arial"/>
                <w:sz w:val="22"/>
                <w:szCs w:val="22"/>
              </w:rPr>
              <w:t>1.26 ± 0.16*</w:t>
            </w:r>
          </w:p>
        </w:tc>
      </w:tr>
      <w:tr w:rsidR="00252675" w:rsidRPr="00A8320F" w14:paraId="4A26F3CE" w14:textId="77777777" w:rsidTr="006B3A14">
        <w:tc>
          <w:tcPr>
            <w:tcW w:w="2875" w:type="dxa"/>
          </w:tcPr>
          <w:p w14:paraId="3008E37C" w14:textId="77777777" w:rsidR="00252675" w:rsidRPr="00A8320F" w:rsidRDefault="00252675" w:rsidP="008009D0">
            <w:pPr>
              <w:spacing w:line="276" w:lineRule="auto"/>
              <w:jc w:val="both"/>
              <w:rPr>
                <w:rFonts w:cs="Arial"/>
                <w:sz w:val="22"/>
                <w:szCs w:val="22"/>
              </w:rPr>
            </w:pPr>
            <w:r w:rsidRPr="00A8320F">
              <w:rPr>
                <w:rFonts w:cs="Arial"/>
                <w:sz w:val="22"/>
                <w:szCs w:val="22"/>
              </w:rPr>
              <w:t>Cadence (steps/min)</w:t>
            </w:r>
          </w:p>
        </w:tc>
        <w:tc>
          <w:tcPr>
            <w:tcW w:w="1890" w:type="dxa"/>
          </w:tcPr>
          <w:p w14:paraId="600BD76C" w14:textId="77777777" w:rsidR="00252675" w:rsidRPr="00A8320F" w:rsidRDefault="00252675" w:rsidP="006E6D91">
            <w:pPr>
              <w:spacing w:line="276" w:lineRule="auto"/>
              <w:jc w:val="center"/>
              <w:rPr>
                <w:rFonts w:cs="Arial"/>
                <w:sz w:val="22"/>
                <w:szCs w:val="22"/>
              </w:rPr>
            </w:pPr>
            <w:r w:rsidRPr="00A8320F">
              <w:rPr>
                <w:rFonts w:cs="Arial"/>
                <w:sz w:val="22"/>
                <w:szCs w:val="22"/>
              </w:rPr>
              <w:t>114.46 ± 10.05</w:t>
            </w:r>
          </w:p>
        </w:tc>
        <w:tc>
          <w:tcPr>
            <w:tcW w:w="1842" w:type="dxa"/>
          </w:tcPr>
          <w:p w14:paraId="41544019" w14:textId="77777777" w:rsidR="00252675" w:rsidRPr="00A8320F" w:rsidRDefault="00252675" w:rsidP="006E6D91">
            <w:pPr>
              <w:spacing w:line="276" w:lineRule="auto"/>
              <w:jc w:val="center"/>
              <w:rPr>
                <w:rFonts w:cs="Arial"/>
                <w:sz w:val="22"/>
                <w:szCs w:val="22"/>
              </w:rPr>
            </w:pPr>
            <w:r w:rsidRPr="00A8320F">
              <w:rPr>
                <w:rFonts w:cs="Arial"/>
                <w:sz w:val="22"/>
                <w:szCs w:val="22"/>
              </w:rPr>
              <w:t>119.54 ± 11.84</w:t>
            </w:r>
            <w:r w:rsidRPr="006C2A15">
              <w:rPr>
                <w:rFonts w:cs="Arial"/>
                <w:sz w:val="22"/>
                <w:szCs w:val="22"/>
              </w:rPr>
              <w:t>†</w:t>
            </w:r>
          </w:p>
        </w:tc>
        <w:tc>
          <w:tcPr>
            <w:tcW w:w="1778" w:type="dxa"/>
          </w:tcPr>
          <w:p w14:paraId="582BCE35" w14:textId="77777777" w:rsidR="00252675" w:rsidRPr="00A8320F" w:rsidRDefault="00252675" w:rsidP="006E6D91">
            <w:pPr>
              <w:spacing w:line="276" w:lineRule="auto"/>
              <w:jc w:val="center"/>
              <w:rPr>
                <w:rFonts w:cs="Arial"/>
                <w:sz w:val="22"/>
                <w:szCs w:val="22"/>
              </w:rPr>
            </w:pPr>
            <w:r w:rsidRPr="00A8320F">
              <w:rPr>
                <w:rFonts w:cs="Arial"/>
                <w:sz w:val="22"/>
                <w:szCs w:val="22"/>
              </w:rPr>
              <w:t>117.74 ± 8.44</w:t>
            </w:r>
          </w:p>
        </w:tc>
        <w:tc>
          <w:tcPr>
            <w:tcW w:w="1778" w:type="dxa"/>
          </w:tcPr>
          <w:p w14:paraId="239299E7" w14:textId="77777777" w:rsidR="00252675" w:rsidRPr="00A8320F" w:rsidRDefault="00252675" w:rsidP="006E6D91">
            <w:pPr>
              <w:spacing w:line="276" w:lineRule="auto"/>
              <w:jc w:val="center"/>
              <w:rPr>
                <w:rFonts w:cs="Arial"/>
                <w:sz w:val="22"/>
                <w:szCs w:val="22"/>
              </w:rPr>
            </w:pPr>
            <w:r w:rsidRPr="00A8320F">
              <w:rPr>
                <w:rFonts w:cs="Arial"/>
                <w:sz w:val="22"/>
                <w:szCs w:val="22"/>
              </w:rPr>
              <w:t>118.74 ± 9.65</w:t>
            </w:r>
          </w:p>
        </w:tc>
      </w:tr>
      <w:tr w:rsidR="00252675" w:rsidRPr="00A8320F" w14:paraId="42CCF3C2" w14:textId="77777777" w:rsidTr="006B3A14">
        <w:tc>
          <w:tcPr>
            <w:tcW w:w="2875" w:type="dxa"/>
          </w:tcPr>
          <w:p w14:paraId="53640B37" w14:textId="77777777" w:rsidR="00252675" w:rsidRPr="00A8320F" w:rsidRDefault="00252675" w:rsidP="008009D0">
            <w:pPr>
              <w:spacing w:line="276" w:lineRule="auto"/>
              <w:jc w:val="both"/>
              <w:rPr>
                <w:rFonts w:cs="Arial"/>
                <w:sz w:val="22"/>
                <w:szCs w:val="22"/>
              </w:rPr>
            </w:pPr>
            <w:r w:rsidRPr="00A8320F">
              <w:rPr>
                <w:rFonts w:cs="Arial"/>
                <w:sz w:val="22"/>
                <w:szCs w:val="22"/>
              </w:rPr>
              <w:t>Stride Length (m/stride)</w:t>
            </w:r>
          </w:p>
        </w:tc>
        <w:tc>
          <w:tcPr>
            <w:tcW w:w="1890" w:type="dxa"/>
          </w:tcPr>
          <w:p w14:paraId="400F0D9B" w14:textId="77777777" w:rsidR="00252675" w:rsidRPr="00A8320F" w:rsidRDefault="00252675" w:rsidP="006E6D91">
            <w:pPr>
              <w:spacing w:line="276" w:lineRule="auto"/>
              <w:jc w:val="center"/>
              <w:rPr>
                <w:rFonts w:cs="Arial"/>
                <w:sz w:val="22"/>
                <w:szCs w:val="22"/>
              </w:rPr>
            </w:pPr>
            <w:r w:rsidRPr="00A8320F">
              <w:rPr>
                <w:rFonts w:cs="Arial"/>
                <w:sz w:val="22"/>
                <w:szCs w:val="22"/>
              </w:rPr>
              <w:t>1.29 ± 0.16</w:t>
            </w:r>
          </w:p>
        </w:tc>
        <w:tc>
          <w:tcPr>
            <w:tcW w:w="1842" w:type="dxa"/>
          </w:tcPr>
          <w:p w14:paraId="1C89B7DF" w14:textId="77777777" w:rsidR="00252675" w:rsidRPr="00A8320F" w:rsidRDefault="00252675" w:rsidP="006E6D91">
            <w:pPr>
              <w:spacing w:line="276" w:lineRule="auto"/>
              <w:jc w:val="center"/>
              <w:rPr>
                <w:rFonts w:cs="Arial"/>
                <w:sz w:val="22"/>
                <w:szCs w:val="22"/>
              </w:rPr>
            </w:pPr>
            <w:r w:rsidRPr="00A8320F">
              <w:rPr>
                <w:rFonts w:cs="Arial"/>
                <w:sz w:val="22"/>
                <w:szCs w:val="22"/>
              </w:rPr>
              <w:t>1.21 ± 0.15</w:t>
            </w:r>
            <w:r w:rsidRPr="006C2A15">
              <w:rPr>
                <w:rFonts w:cs="Arial"/>
                <w:sz w:val="22"/>
                <w:szCs w:val="22"/>
              </w:rPr>
              <w:t>†</w:t>
            </w:r>
          </w:p>
        </w:tc>
        <w:tc>
          <w:tcPr>
            <w:tcW w:w="1778" w:type="dxa"/>
          </w:tcPr>
          <w:p w14:paraId="6A5FA134" w14:textId="77777777" w:rsidR="00252675" w:rsidRPr="00A8320F" w:rsidRDefault="00252675" w:rsidP="006E6D91">
            <w:pPr>
              <w:spacing w:line="276" w:lineRule="auto"/>
              <w:jc w:val="center"/>
              <w:rPr>
                <w:rFonts w:cs="Arial"/>
                <w:sz w:val="22"/>
                <w:szCs w:val="22"/>
              </w:rPr>
            </w:pPr>
            <w:r w:rsidRPr="00A8320F">
              <w:rPr>
                <w:rFonts w:cs="Arial"/>
                <w:sz w:val="22"/>
                <w:szCs w:val="22"/>
              </w:rPr>
              <w:t>1.33 ± 0.13</w:t>
            </w:r>
          </w:p>
        </w:tc>
        <w:tc>
          <w:tcPr>
            <w:tcW w:w="1778" w:type="dxa"/>
          </w:tcPr>
          <w:p w14:paraId="71B834C2" w14:textId="77777777" w:rsidR="00252675" w:rsidRPr="00A8320F" w:rsidRDefault="00252675" w:rsidP="006E6D91">
            <w:pPr>
              <w:spacing w:line="276" w:lineRule="auto"/>
              <w:jc w:val="center"/>
              <w:rPr>
                <w:rFonts w:cs="Arial"/>
                <w:sz w:val="22"/>
                <w:szCs w:val="22"/>
              </w:rPr>
            </w:pPr>
            <w:r w:rsidRPr="00A8320F">
              <w:rPr>
                <w:rFonts w:cs="Arial"/>
                <w:sz w:val="22"/>
                <w:szCs w:val="22"/>
              </w:rPr>
              <w:t>1.27 ± 0.12*</w:t>
            </w:r>
            <w:r w:rsidRPr="006C2A15">
              <w:rPr>
                <w:rFonts w:cs="Arial"/>
                <w:sz w:val="22"/>
                <w:szCs w:val="22"/>
              </w:rPr>
              <w:t>†</w:t>
            </w:r>
          </w:p>
        </w:tc>
      </w:tr>
      <w:tr w:rsidR="00252675" w:rsidRPr="00A8320F" w14:paraId="578055AB" w14:textId="77777777" w:rsidTr="006B3A14">
        <w:tc>
          <w:tcPr>
            <w:tcW w:w="2875" w:type="dxa"/>
          </w:tcPr>
          <w:p w14:paraId="4BB027ED" w14:textId="77777777" w:rsidR="00252675" w:rsidRPr="00A8320F" w:rsidRDefault="00252675" w:rsidP="008009D0">
            <w:pPr>
              <w:spacing w:line="276" w:lineRule="auto"/>
              <w:ind w:left="338" w:hanging="338"/>
              <w:jc w:val="both"/>
              <w:rPr>
                <w:rFonts w:cs="Arial"/>
                <w:sz w:val="22"/>
                <w:szCs w:val="22"/>
              </w:rPr>
            </w:pPr>
            <w:r>
              <w:rPr>
                <w:rFonts w:cs="Arial"/>
                <w:sz w:val="22"/>
                <w:szCs w:val="22"/>
              </w:rPr>
              <w:t>More-affected</w:t>
            </w:r>
            <w:r w:rsidRPr="00A8320F">
              <w:rPr>
                <w:rFonts w:cs="Arial"/>
                <w:sz w:val="22"/>
                <w:szCs w:val="22"/>
              </w:rPr>
              <w:t xml:space="preserve"> (degrees) Hip</w:t>
            </w:r>
          </w:p>
          <w:p w14:paraId="3FF88FC1"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3DAFC517"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1B28E55D"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0AF3EABE" w14:textId="6211D1EC" w:rsidR="00252675" w:rsidRPr="00A8320F" w:rsidRDefault="00252675" w:rsidP="008009D0">
            <w:pPr>
              <w:spacing w:line="276" w:lineRule="auto"/>
              <w:ind w:firstLine="338"/>
              <w:jc w:val="both"/>
              <w:rPr>
                <w:rFonts w:cs="Arial"/>
                <w:sz w:val="22"/>
                <w:szCs w:val="22"/>
              </w:rPr>
            </w:pPr>
            <w:r w:rsidRPr="00A8320F">
              <w:rPr>
                <w:rFonts w:cs="Arial"/>
                <w:sz w:val="22"/>
                <w:szCs w:val="22"/>
              </w:rPr>
              <w:t>Knee</w:t>
            </w:r>
          </w:p>
          <w:p w14:paraId="4A813937"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5A7CC3AD"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7F6BB5BC"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6227F118" w14:textId="60AF2878" w:rsidR="00252675" w:rsidRPr="00A8320F" w:rsidRDefault="00252675" w:rsidP="008009D0">
            <w:pPr>
              <w:spacing w:line="276" w:lineRule="auto"/>
              <w:ind w:firstLine="338"/>
              <w:jc w:val="both"/>
              <w:rPr>
                <w:rFonts w:cs="Arial"/>
                <w:sz w:val="22"/>
                <w:szCs w:val="22"/>
              </w:rPr>
            </w:pPr>
            <w:r w:rsidRPr="00A8320F">
              <w:rPr>
                <w:rFonts w:cs="Arial"/>
                <w:sz w:val="22"/>
                <w:szCs w:val="22"/>
              </w:rPr>
              <w:t>Shoulder</w:t>
            </w:r>
          </w:p>
          <w:p w14:paraId="3159130A"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413C40FF"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3F9652B9"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04F0661E" w14:textId="77777777" w:rsidR="00252675" w:rsidRPr="00A8320F" w:rsidRDefault="00252675" w:rsidP="008009D0">
            <w:pPr>
              <w:spacing w:line="276" w:lineRule="auto"/>
              <w:jc w:val="both"/>
              <w:rPr>
                <w:rFonts w:cs="Arial"/>
                <w:sz w:val="22"/>
                <w:szCs w:val="22"/>
              </w:rPr>
            </w:pPr>
          </w:p>
        </w:tc>
        <w:tc>
          <w:tcPr>
            <w:tcW w:w="1890" w:type="dxa"/>
          </w:tcPr>
          <w:p w14:paraId="158A3763" w14:textId="77777777" w:rsidR="00252675" w:rsidRPr="00A8320F" w:rsidRDefault="00252675" w:rsidP="006E6D91">
            <w:pPr>
              <w:spacing w:line="276" w:lineRule="auto"/>
              <w:jc w:val="center"/>
              <w:rPr>
                <w:rFonts w:cs="Arial"/>
                <w:sz w:val="22"/>
                <w:szCs w:val="22"/>
              </w:rPr>
            </w:pPr>
          </w:p>
          <w:p w14:paraId="727B8410" w14:textId="77777777" w:rsidR="00252675" w:rsidRPr="00A8320F" w:rsidRDefault="00252675" w:rsidP="006E6D91">
            <w:pPr>
              <w:spacing w:line="276" w:lineRule="auto"/>
              <w:jc w:val="center"/>
              <w:rPr>
                <w:rFonts w:cs="Arial"/>
                <w:sz w:val="22"/>
                <w:szCs w:val="22"/>
              </w:rPr>
            </w:pPr>
          </w:p>
          <w:p w14:paraId="0786555F" w14:textId="77777777" w:rsidR="00252675" w:rsidRPr="00A8320F" w:rsidRDefault="00252675" w:rsidP="006E6D91">
            <w:pPr>
              <w:spacing w:line="276" w:lineRule="auto"/>
              <w:jc w:val="center"/>
              <w:rPr>
                <w:rFonts w:cs="Arial"/>
                <w:sz w:val="22"/>
                <w:szCs w:val="22"/>
              </w:rPr>
            </w:pPr>
            <w:r w:rsidRPr="00A8320F">
              <w:rPr>
                <w:rFonts w:cs="Arial"/>
                <w:sz w:val="22"/>
                <w:szCs w:val="22"/>
              </w:rPr>
              <w:t>37.09 ± 5.45</w:t>
            </w:r>
          </w:p>
          <w:p w14:paraId="4785E538" w14:textId="77777777" w:rsidR="00252675" w:rsidRPr="00A8320F" w:rsidRDefault="00252675" w:rsidP="006E6D91">
            <w:pPr>
              <w:spacing w:line="276" w:lineRule="auto"/>
              <w:jc w:val="center"/>
              <w:rPr>
                <w:rFonts w:cs="Arial"/>
                <w:sz w:val="22"/>
                <w:szCs w:val="22"/>
              </w:rPr>
            </w:pPr>
            <w:r w:rsidRPr="00A8320F">
              <w:rPr>
                <w:rFonts w:cs="Arial"/>
                <w:sz w:val="22"/>
                <w:szCs w:val="22"/>
              </w:rPr>
              <w:t>40.43 ± 5.33</w:t>
            </w:r>
          </w:p>
          <w:p w14:paraId="76B768A9" w14:textId="77777777" w:rsidR="00252675" w:rsidRPr="00A8320F" w:rsidRDefault="00252675" w:rsidP="006E6D91">
            <w:pPr>
              <w:spacing w:line="276" w:lineRule="auto"/>
              <w:jc w:val="center"/>
              <w:rPr>
                <w:rFonts w:cs="Arial"/>
                <w:sz w:val="22"/>
                <w:szCs w:val="22"/>
              </w:rPr>
            </w:pPr>
            <w:r w:rsidRPr="00A8320F">
              <w:rPr>
                <w:rFonts w:cs="Arial"/>
                <w:sz w:val="22"/>
                <w:szCs w:val="22"/>
              </w:rPr>
              <w:t>1.74 ± 2.15</w:t>
            </w:r>
          </w:p>
          <w:p w14:paraId="75371AFF" w14:textId="77777777" w:rsidR="00252675" w:rsidRPr="00A8320F" w:rsidRDefault="00252675" w:rsidP="006E6D91">
            <w:pPr>
              <w:spacing w:line="276" w:lineRule="auto"/>
              <w:jc w:val="center"/>
              <w:rPr>
                <w:rFonts w:cs="Arial"/>
                <w:sz w:val="22"/>
                <w:szCs w:val="22"/>
              </w:rPr>
            </w:pPr>
          </w:p>
          <w:p w14:paraId="5E138F5D" w14:textId="77777777" w:rsidR="00252675" w:rsidRPr="00A8320F" w:rsidRDefault="00252675" w:rsidP="006E6D91">
            <w:pPr>
              <w:spacing w:line="276" w:lineRule="auto"/>
              <w:jc w:val="center"/>
              <w:rPr>
                <w:rFonts w:cs="Arial"/>
                <w:sz w:val="22"/>
                <w:szCs w:val="22"/>
              </w:rPr>
            </w:pPr>
            <w:r w:rsidRPr="00A8320F">
              <w:rPr>
                <w:rFonts w:cs="Arial"/>
                <w:sz w:val="22"/>
                <w:szCs w:val="22"/>
              </w:rPr>
              <w:t>60.55 ± 4.55</w:t>
            </w:r>
          </w:p>
          <w:p w14:paraId="2F6FBDD3" w14:textId="77777777" w:rsidR="00252675" w:rsidRPr="00A8320F" w:rsidRDefault="00252675" w:rsidP="006E6D91">
            <w:pPr>
              <w:spacing w:line="276" w:lineRule="auto"/>
              <w:jc w:val="center"/>
              <w:rPr>
                <w:rFonts w:cs="Arial"/>
                <w:sz w:val="22"/>
                <w:szCs w:val="22"/>
              </w:rPr>
            </w:pPr>
            <w:r w:rsidRPr="00A8320F">
              <w:rPr>
                <w:rFonts w:cs="Arial"/>
                <w:sz w:val="22"/>
                <w:szCs w:val="22"/>
              </w:rPr>
              <w:t>64.61 ± 3.98</w:t>
            </w:r>
          </w:p>
          <w:p w14:paraId="6CD215BA" w14:textId="77777777" w:rsidR="00252675" w:rsidRPr="00A8320F" w:rsidRDefault="00252675" w:rsidP="006E6D91">
            <w:pPr>
              <w:spacing w:line="276" w:lineRule="auto"/>
              <w:jc w:val="center"/>
              <w:rPr>
                <w:rFonts w:cs="Arial"/>
                <w:sz w:val="22"/>
                <w:szCs w:val="22"/>
              </w:rPr>
            </w:pPr>
            <w:r w:rsidRPr="00A8320F">
              <w:rPr>
                <w:rFonts w:cs="Arial"/>
                <w:sz w:val="22"/>
                <w:szCs w:val="22"/>
              </w:rPr>
              <w:t>1.68 ± 0.80</w:t>
            </w:r>
          </w:p>
          <w:p w14:paraId="529864C0" w14:textId="77777777" w:rsidR="00252675" w:rsidRPr="00A8320F" w:rsidRDefault="00252675" w:rsidP="006E6D91">
            <w:pPr>
              <w:spacing w:line="276" w:lineRule="auto"/>
              <w:jc w:val="center"/>
              <w:rPr>
                <w:rFonts w:cs="Arial"/>
                <w:sz w:val="22"/>
                <w:szCs w:val="22"/>
              </w:rPr>
            </w:pPr>
          </w:p>
          <w:p w14:paraId="3B5DEE0C" w14:textId="77777777" w:rsidR="00252675" w:rsidRPr="00A8320F" w:rsidRDefault="00252675" w:rsidP="006E6D91">
            <w:pPr>
              <w:spacing w:line="276" w:lineRule="auto"/>
              <w:jc w:val="center"/>
              <w:rPr>
                <w:rFonts w:cs="Arial"/>
                <w:sz w:val="22"/>
                <w:szCs w:val="22"/>
              </w:rPr>
            </w:pPr>
            <w:r w:rsidRPr="00A8320F">
              <w:rPr>
                <w:rFonts w:cs="Arial"/>
                <w:sz w:val="22"/>
                <w:szCs w:val="22"/>
              </w:rPr>
              <w:t>13.08 ± 11.71</w:t>
            </w:r>
          </w:p>
          <w:p w14:paraId="1D82031A" w14:textId="77777777" w:rsidR="00252675" w:rsidRPr="00A8320F" w:rsidRDefault="00252675" w:rsidP="006E6D91">
            <w:pPr>
              <w:spacing w:line="276" w:lineRule="auto"/>
              <w:jc w:val="center"/>
              <w:rPr>
                <w:rFonts w:cs="Arial"/>
                <w:sz w:val="22"/>
                <w:szCs w:val="22"/>
              </w:rPr>
            </w:pPr>
            <w:r w:rsidRPr="00A8320F">
              <w:rPr>
                <w:rFonts w:cs="Arial"/>
                <w:sz w:val="22"/>
                <w:szCs w:val="22"/>
              </w:rPr>
              <w:t>18.89 ± 13.56</w:t>
            </w:r>
          </w:p>
          <w:p w14:paraId="1FBDAD87" w14:textId="77777777" w:rsidR="00252675" w:rsidRPr="00A8320F" w:rsidRDefault="00252675" w:rsidP="006E6D91">
            <w:pPr>
              <w:spacing w:line="276" w:lineRule="auto"/>
              <w:jc w:val="center"/>
              <w:rPr>
                <w:rFonts w:cs="Arial"/>
                <w:sz w:val="22"/>
                <w:szCs w:val="22"/>
              </w:rPr>
            </w:pPr>
            <w:r w:rsidRPr="00A8320F">
              <w:rPr>
                <w:rFonts w:cs="Arial"/>
                <w:sz w:val="22"/>
                <w:szCs w:val="22"/>
              </w:rPr>
              <w:t>2.27 ± 0.97</w:t>
            </w:r>
          </w:p>
        </w:tc>
        <w:tc>
          <w:tcPr>
            <w:tcW w:w="1842" w:type="dxa"/>
          </w:tcPr>
          <w:p w14:paraId="4AB6C68B" w14:textId="77777777" w:rsidR="00252675" w:rsidRPr="00A8320F" w:rsidRDefault="00252675" w:rsidP="006E6D91">
            <w:pPr>
              <w:spacing w:line="276" w:lineRule="auto"/>
              <w:jc w:val="center"/>
              <w:rPr>
                <w:rFonts w:cs="Arial"/>
                <w:sz w:val="22"/>
                <w:szCs w:val="22"/>
              </w:rPr>
            </w:pPr>
          </w:p>
          <w:p w14:paraId="60EBACAB" w14:textId="77777777" w:rsidR="00252675" w:rsidRPr="00A8320F" w:rsidRDefault="00252675" w:rsidP="006E6D91">
            <w:pPr>
              <w:spacing w:line="276" w:lineRule="auto"/>
              <w:jc w:val="center"/>
              <w:rPr>
                <w:rFonts w:cs="Arial"/>
                <w:sz w:val="22"/>
                <w:szCs w:val="22"/>
              </w:rPr>
            </w:pPr>
          </w:p>
          <w:p w14:paraId="4C4C04B8" w14:textId="77777777" w:rsidR="00252675" w:rsidRPr="00A8320F" w:rsidRDefault="00252675" w:rsidP="006E6D91">
            <w:pPr>
              <w:spacing w:line="276" w:lineRule="auto"/>
              <w:jc w:val="center"/>
              <w:rPr>
                <w:rFonts w:cs="Arial"/>
                <w:sz w:val="22"/>
                <w:szCs w:val="22"/>
              </w:rPr>
            </w:pPr>
            <w:r w:rsidRPr="00A8320F">
              <w:rPr>
                <w:rFonts w:cs="Arial"/>
                <w:sz w:val="22"/>
                <w:szCs w:val="22"/>
              </w:rPr>
              <w:t>36.12 ± 5.16</w:t>
            </w:r>
          </w:p>
          <w:p w14:paraId="1B5DF690" w14:textId="77777777" w:rsidR="00252675" w:rsidRPr="00A8320F" w:rsidRDefault="00252675" w:rsidP="006E6D91">
            <w:pPr>
              <w:spacing w:line="276" w:lineRule="auto"/>
              <w:jc w:val="center"/>
              <w:rPr>
                <w:rFonts w:cs="Arial"/>
                <w:sz w:val="22"/>
                <w:szCs w:val="22"/>
              </w:rPr>
            </w:pPr>
            <w:r w:rsidRPr="00A8320F">
              <w:rPr>
                <w:rFonts w:cs="Arial"/>
                <w:sz w:val="22"/>
                <w:szCs w:val="22"/>
              </w:rPr>
              <w:t>39.46 ± 5.11</w:t>
            </w:r>
          </w:p>
          <w:p w14:paraId="7EC8C57B" w14:textId="77777777" w:rsidR="00252675" w:rsidRPr="00A8320F" w:rsidRDefault="00252675" w:rsidP="006E6D91">
            <w:pPr>
              <w:spacing w:line="276" w:lineRule="auto"/>
              <w:jc w:val="center"/>
              <w:rPr>
                <w:rFonts w:cs="Arial"/>
                <w:sz w:val="22"/>
                <w:szCs w:val="22"/>
              </w:rPr>
            </w:pPr>
            <w:r w:rsidRPr="00A8320F">
              <w:rPr>
                <w:rFonts w:cs="Arial"/>
                <w:sz w:val="22"/>
                <w:szCs w:val="22"/>
              </w:rPr>
              <w:t>1.43 ± 0.91</w:t>
            </w:r>
          </w:p>
          <w:p w14:paraId="774CF159" w14:textId="77777777" w:rsidR="00252675" w:rsidRPr="00A8320F" w:rsidRDefault="00252675" w:rsidP="006E6D91">
            <w:pPr>
              <w:spacing w:line="276" w:lineRule="auto"/>
              <w:jc w:val="center"/>
              <w:rPr>
                <w:rFonts w:cs="Arial"/>
                <w:sz w:val="22"/>
                <w:szCs w:val="22"/>
              </w:rPr>
            </w:pPr>
          </w:p>
          <w:p w14:paraId="5DD3D24D" w14:textId="77777777" w:rsidR="00252675" w:rsidRPr="00A8320F" w:rsidRDefault="00252675" w:rsidP="006E6D91">
            <w:pPr>
              <w:spacing w:line="276" w:lineRule="auto"/>
              <w:jc w:val="center"/>
              <w:rPr>
                <w:rFonts w:cs="Arial"/>
                <w:sz w:val="22"/>
                <w:szCs w:val="22"/>
              </w:rPr>
            </w:pPr>
            <w:r w:rsidRPr="00A8320F">
              <w:rPr>
                <w:rFonts w:cs="Arial"/>
                <w:sz w:val="22"/>
                <w:szCs w:val="22"/>
              </w:rPr>
              <w:t>59.38 ± 5.45</w:t>
            </w:r>
          </w:p>
          <w:p w14:paraId="2237AE43" w14:textId="77777777" w:rsidR="00252675" w:rsidRPr="00A8320F" w:rsidRDefault="00252675" w:rsidP="006E6D91">
            <w:pPr>
              <w:spacing w:line="276" w:lineRule="auto"/>
              <w:jc w:val="center"/>
              <w:rPr>
                <w:rFonts w:cs="Arial"/>
                <w:sz w:val="22"/>
                <w:szCs w:val="22"/>
              </w:rPr>
            </w:pPr>
            <w:r w:rsidRPr="00A8320F">
              <w:rPr>
                <w:rFonts w:cs="Arial"/>
                <w:sz w:val="22"/>
                <w:szCs w:val="22"/>
              </w:rPr>
              <w:t>63.59 ± 4.01</w:t>
            </w:r>
            <w:r w:rsidRPr="006C2A15">
              <w:rPr>
                <w:rFonts w:cs="Arial"/>
                <w:sz w:val="22"/>
                <w:szCs w:val="22"/>
              </w:rPr>
              <w:t>†</w:t>
            </w:r>
          </w:p>
          <w:p w14:paraId="4D251575" w14:textId="77777777" w:rsidR="00252675" w:rsidRPr="00A8320F" w:rsidRDefault="00252675" w:rsidP="006E6D91">
            <w:pPr>
              <w:spacing w:line="276" w:lineRule="auto"/>
              <w:jc w:val="center"/>
              <w:rPr>
                <w:rFonts w:cs="Arial"/>
                <w:sz w:val="22"/>
                <w:szCs w:val="22"/>
              </w:rPr>
            </w:pPr>
            <w:r w:rsidRPr="00A8320F">
              <w:rPr>
                <w:rFonts w:cs="Arial"/>
                <w:sz w:val="22"/>
                <w:szCs w:val="22"/>
              </w:rPr>
              <w:t>1.74 ± 0.75</w:t>
            </w:r>
          </w:p>
          <w:p w14:paraId="22B51088" w14:textId="77777777" w:rsidR="00252675" w:rsidRPr="00A8320F" w:rsidRDefault="00252675" w:rsidP="006E6D91">
            <w:pPr>
              <w:spacing w:line="276" w:lineRule="auto"/>
              <w:jc w:val="center"/>
              <w:rPr>
                <w:rFonts w:cs="Arial"/>
                <w:sz w:val="22"/>
                <w:szCs w:val="22"/>
              </w:rPr>
            </w:pPr>
          </w:p>
          <w:p w14:paraId="174801E2" w14:textId="068E99BD" w:rsidR="00252675" w:rsidRPr="00A8320F" w:rsidRDefault="00252675" w:rsidP="006E6D91">
            <w:pPr>
              <w:spacing w:line="276" w:lineRule="auto"/>
              <w:jc w:val="center"/>
              <w:rPr>
                <w:rFonts w:cs="Arial"/>
                <w:sz w:val="22"/>
                <w:szCs w:val="22"/>
              </w:rPr>
            </w:pPr>
            <w:r w:rsidRPr="00A8320F">
              <w:rPr>
                <w:rFonts w:cs="Arial"/>
                <w:sz w:val="22"/>
                <w:szCs w:val="22"/>
              </w:rPr>
              <w:t>10.14 ± 8.34</w:t>
            </w:r>
          </w:p>
          <w:p w14:paraId="407CF1B9" w14:textId="77777777" w:rsidR="00252675" w:rsidRPr="00A8320F" w:rsidRDefault="00252675" w:rsidP="006E6D91">
            <w:pPr>
              <w:spacing w:line="276" w:lineRule="auto"/>
              <w:jc w:val="center"/>
              <w:rPr>
                <w:rFonts w:cs="Arial"/>
                <w:sz w:val="22"/>
                <w:szCs w:val="22"/>
              </w:rPr>
            </w:pPr>
            <w:r w:rsidRPr="00A8320F">
              <w:rPr>
                <w:rFonts w:cs="Arial"/>
                <w:sz w:val="22"/>
                <w:szCs w:val="22"/>
              </w:rPr>
              <w:t>17.13 ± 12.29</w:t>
            </w:r>
          </w:p>
          <w:p w14:paraId="14523002" w14:textId="77777777" w:rsidR="00252675" w:rsidRPr="00A8320F" w:rsidRDefault="00252675" w:rsidP="006E6D91">
            <w:pPr>
              <w:spacing w:line="276" w:lineRule="auto"/>
              <w:jc w:val="center"/>
              <w:rPr>
                <w:rFonts w:cs="Arial"/>
                <w:sz w:val="22"/>
                <w:szCs w:val="22"/>
              </w:rPr>
            </w:pPr>
            <w:r w:rsidRPr="00A8320F">
              <w:rPr>
                <w:rFonts w:cs="Arial"/>
                <w:sz w:val="22"/>
                <w:szCs w:val="22"/>
              </w:rPr>
              <w:t>2.21 ± 1.53</w:t>
            </w:r>
          </w:p>
        </w:tc>
        <w:tc>
          <w:tcPr>
            <w:tcW w:w="1778" w:type="dxa"/>
          </w:tcPr>
          <w:p w14:paraId="3008827C" w14:textId="77777777" w:rsidR="00252675" w:rsidRPr="00A8320F" w:rsidRDefault="00252675" w:rsidP="006E6D91">
            <w:pPr>
              <w:spacing w:line="276" w:lineRule="auto"/>
              <w:jc w:val="center"/>
              <w:rPr>
                <w:rFonts w:cs="Arial"/>
                <w:sz w:val="22"/>
                <w:szCs w:val="22"/>
              </w:rPr>
            </w:pPr>
          </w:p>
          <w:p w14:paraId="5182AD02" w14:textId="77777777" w:rsidR="00252675" w:rsidRPr="00A8320F" w:rsidRDefault="00252675" w:rsidP="006E6D91">
            <w:pPr>
              <w:spacing w:line="276" w:lineRule="auto"/>
              <w:jc w:val="center"/>
              <w:rPr>
                <w:rFonts w:cs="Arial"/>
                <w:sz w:val="22"/>
                <w:szCs w:val="22"/>
              </w:rPr>
            </w:pPr>
          </w:p>
          <w:p w14:paraId="1D33F707" w14:textId="7CD7BBB5" w:rsidR="00252675" w:rsidRPr="00A8320F" w:rsidRDefault="00252675" w:rsidP="006E6D91">
            <w:pPr>
              <w:spacing w:line="276" w:lineRule="auto"/>
              <w:jc w:val="center"/>
              <w:rPr>
                <w:rFonts w:cs="Arial"/>
                <w:sz w:val="22"/>
                <w:szCs w:val="22"/>
              </w:rPr>
            </w:pPr>
            <w:r w:rsidRPr="00A8320F">
              <w:rPr>
                <w:rFonts w:cs="Arial"/>
                <w:sz w:val="22"/>
                <w:szCs w:val="22"/>
              </w:rPr>
              <w:t>39.10 ± 6.08</w:t>
            </w:r>
            <w:r w:rsidR="00233874">
              <w:rPr>
                <w:rFonts w:cs="Arial"/>
                <w:sz w:val="22"/>
                <w:szCs w:val="22"/>
              </w:rPr>
              <w:t>*</w:t>
            </w:r>
          </w:p>
          <w:p w14:paraId="6D987E17" w14:textId="77777777" w:rsidR="00252675" w:rsidRPr="00A8320F" w:rsidRDefault="00252675" w:rsidP="006E6D91">
            <w:pPr>
              <w:spacing w:line="276" w:lineRule="auto"/>
              <w:jc w:val="center"/>
              <w:rPr>
                <w:rFonts w:cs="Arial"/>
                <w:sz w:val="22"/>
                <w:szCs w:val="22"/>
              </w:rPr>
            </w:pPr>
            <w:r w:rsidRPr="00A8320F">
              <w:rPr>
                <w:rFonts w:cs="Arial"/>
                <w:sz w:val="22"/>
                <w:szCs w:val="22"/>
              </w:rPr>
              <w:t>42.83 ± 6.53</w:t>
            </w:r>
            <w:r>
              <w:rPr>
                <w:rFonts w:cs="Arial"/>
                <w:sz w:val="22"/>
                <w:szCs w:val="22"/>
              </w:rPr>
              <w:t>*</w:t>
            </w:r>
          </w:p>
          <w:p w14:paraId="0E2A1B30" w14:textId="77777777" w:rsidR="00252675" w:rsidRPr="00A8320F" w:rsidRDefault="00252675" w:rsidP="006E6D91">
            <w:pPr>
              <w:spacing w:line="276" w:lineRule="auto"/>
              <w:jc w:val="center"/>
              <w:rPr>
                <w:rFonts w:cs="Arial"/>
                <w:sz w:val="22"/>
                <w:szCs w:val="22"/>
              </w:rPr>
            </w:pPr>
            <w:r w:rsidRPr="00A8320F">
              <w:rPr>
                <w:rFonts w:cs="Arial"/>
                <w:sz w:val="22"/>
                <w:szCs w:val="22"/>
              </w:rPr>
              <w:t>1.75 ± 1.03</w:t>
            </w:r>
          </w:p>
          <w:p w14:paraId="0061CA65" w14:textId="77777777" w:rsidR="00252675" w:rsidRPr="00A8320F" w:rsidRDefault="00252675" w:rsidP="006E6D91">
            <w:pPr>
              <w:spacing w:line="276" w:lineRule="auto"/>
              <w:jc w:val="center"/>
              <w:rPr>
                <w:rFonts w:cs="Arial"/>
                <w:sz w:val="22"/>
                <w:szCs w:val="22"/>
              </w:rPr>
            </w:pPr>
          </w:p>
          <w:p w14:paraId="429E42E2" w14:textId="26F77D83" w:rsidR="00252675" w:rsidRPr="00A8320F" w:rsidRDefault="00252675" w:rsidP="006E6D91">
            <w:pPr>
              <w:spacing w:line="276" w:lineRule="auto"/>
              <w:jc w:val="center"/>
              <w:rPr>
                <w:rFonts w:cs="Arial"/>
                <w:sz w:val="22"/>
                <w:szCs w:val="22"/>
              </w:rPr>
            </w:pPr>
            <w:r w:rsidRPr="00A8320F">
              <w:rPr>
                <w:rFonts w:cs="Arial"/>
                <w:sz w:val="22"/>
                <w:szCs w:val="22"/>
              </w:rPr>
              <w:t>61.46 ± 6.16</w:t>
            </w:r>
          </w:p>
          <w:p w14:paraId="4C78A8CD" w14:textId="77777777" w:rsidR="00252675" w:rsidRPr="00A8320F" w:rsidRDefault="00252675" w:rsidP="006E6D91">
            <w:pPr>
              <w:spacing w:line="276" w:lineRule="auto"/>
              <w:jc w:val="center"/>
              <w:rPr>
                <w:rFonts w:cs="Arial"/>
                <w:sz w:val="22"/>
                <w:szCs w:val="22"/>
              </w:rPr>
            </w:pPr>
            <w:r w:rsidRPr="00A8320F">
              <w:rPr>
                <w:rFonts w:cs="Arial"/>
                <w:sz w:val="22"/>
                <w:szCs w:val="22"/>
              </w:rPr>
              <w:t>65.38 ± 5.20</w:t>
            </w:r>
          </w:p>
          <w:p w14:paraId="4BF09A63" w14:textId="77777777" w:rsidR="00252675" w:rsidRPr="00A8320F" w:rsidRDefault="00252675" w:rsidP="006E6D91">
            <w:pPr>
              <w:spacing w:line="276" w:lineRule="auto"/>
              <w:jc w:val="center"/>
              <w:rPr>
                <w:rFonts w:cs="Arial"/>
                <w:sz w:val="22"/>
                <w:szCs w:val="22"/>
              </w:rPr>
            </w:pPr>
            <w:r w:rsidRPr="00A8320F">
              <w:rPr>
                <w:rFonts w:cs="Arial"/>
                <w:sz w:val="22"/>
                <w:szCs w:val="22"/>
              </w:rPr>
              <w:t>1.80 ± 0.81</w:t>
            </w:r>
          </w:p>
          <w:p w14:paraId="685FA09A" w14:textId="77777777" w:rsidR="00252675" w:rsidRPr="00A8320F" w:rsidRDefault="00252675" w:rsidP="006E6D91">
            <w:pPr>
              <w:spacing w:line="276" w:lineRule="auto"/>
              <w:jc w:val="center"/>
              <w:rPr>
                <w:rFonts w:cs="Arial"/>
                <w:sz w:val="22"/>
                <w:szCs w:val="22"/>
              </w:rPr>
            </w:pPr>
          </w:p>
          <w:p w14:paraId="37A12F94" w14:textId="77777777" w:rsidR="00252675" w:rsidRPr="00A8320F" w:rsidRDefault="00252675" w:rsidP="006E6D91">
            <w:pPr>
              <w:spacing w:line="276" w:lineRule="auto"/>
              <w:jc w:val="center"/>
              <w:rPr>
                <w:rFonts w:cs="Arial"/>
                <w:sz w:val="22"/>
                <w:szCs w:val="22"/>
              </w:rPr>
            </w:pPr>
            <w:r w:rsidRPr="00A8320F">
              <w:rPr>
                <w:rFonts w:cs="Arial"/>
                <w:sz w:val="22"/>
                <w:szCs w:val="22"/>
              </w:rPr>
              <w:t>14.26 ± 10.23</w:t>
            </w:r>
          </w:p>
          <w:p w14:paraId="3DAB0F5E" w14:textId="77777777" w:rsidR="00252675" w:rsidRPr="00A8320F" w:rsidRDefault="00252675" w:rsidP="006E6D91">
            <w:pPr>
              <w:spacing w:line="276" w:lineRule="auto"/>
              <w:jc w:val="center"/>
              <w:rPr>
                <w:rFonts w:cs="Arial"/>
                <w:sz w:val="22"/>
                <w:szCs w:val="22"/>
              </w:rPr>
            </w:pPr>
            <w:r w:rsidRPr="00A8320F">
              <w:rPr>
                <w:rFonts w:cs="Arial"/>
                <w:sz w:val="22"/>
                <w:szCs w:val="22"/>
              </w:rPr>
              <w:t>22.85 ± 13.65</w:t>
            </w:r>
          </w:p>
          <w:p w14:paraId="66795161" w14:textId="77777777" w:rsidR="00252675" w:rsidRPr="00A8320F" w:rsidRDefault="00252675" w:rsidP="006E6D91">
            <w:pPr>
              <w:spacing w:line="276" w:lineRule="auto"/>
              <w:jc w:val="center"/>
              <w:rPr>
                <w:rFonts w:cs="Arial"/>
                <w:sz w:val="22"/>
                <w:szCs w:val="22"/>
              </w:rPr>
            </w:pPr>
            <w:r w:rsidRPr="00A8320F">
              <w:rPr>
                <w:rFonts w:cs="Arial"/>
                <w:sz w:val="22"/>
                <w:szCs w:val="22"/>
              </w:rPr>
              <w:t>3.36 ± 2.95</w:t>
            </w:r>
          </w:p>
        </w:tc>
        <w:tc>
          <w:tcPr>
            <w:tcW w:w="1778" w:type="dxa"/>
          </w:tcPr>
          <w:p w14:paraId="5733D3F9" w14:textId="77777777" w:rsidR="00252675" w:rsidRPr="00A8320F" w:rsidRDefault="00252675" w:rsidP="006E6D91">
            <w:pPr>
              <w:spacing w:line="276" w:lineRule="auto"/>
              <w:jc w:val="center"/>
              <w:rPr>
                <w:rFonts w:cs="Arial"/>
                <w:sz w:val="22"/>
                <w:szCs w:val="22"/>
              </w:rPr>
            </w:pPr>
          </w:p>
          <w:p w14:paraId="7A57DA36" w14:textId="77777777" w:rsidR="00252675" w:rsidRPr="00A8320F" w:rsidRDefault="00252675" w:rsidP="006E6D91">
            <w:pPr>
              <w:spacing w:line="276" w:lineRule="auto"/>
              <w:jc w:val="center"/>
              <w:rPr>
                <w:rFonts w:cs="Arial"/>
                <w:sz w:val="22"/>
                <w:szCs w:val="22"/>
              </w:rPr>
            </w:pPr>
          </w:p>
          <w:p w14:paraId="175B32E5" w14:textId="1317A109" w:rsidR="00252675" w:rsidRPr="00A8320F" w:rsidRDefault="00252675" w:rsidP="006E6D91">
            <w:pPr>
              <w:spacing w:line="276" w:lineRule="auto"/>
              <w:jc w:val="center"/>
              <w:rPr>
                <w:rFonts w:cs="Arial"/>
                <w:sz w:val="22"/>
                <w:szCs w:val="22"/>
              </w:rPr>
            </w:pPr>
            <w:r w:rsidRPr="00A8320F">
              <w:rPr>
                <w:rFonts w:cs="Arial"/>
                <w:sz w:val="22"/>
                <w:szCs w:val="22"/>
              </w:rPr>
              <w:t>37.71 ± 5.46</w:t>
            </w:r>
          </w:p>
          <w:p w14:paraId="20BC369D" w14:textId="77777777" w:rsidR="00252675" w:rsidRPr="00A8320F" w:rsidRDefault="00252675" w:rsidP="006E6D91">
            <w:pPr>
              <w:spacing w:line="276" w:lineRule="auto"/>
              <w:jc w:val="center"/>
              <w:rPr>
                <w:rFonts w:cs="Arial"/>
                <w:sz w:val="22"/>
                <w:szCs w:val="22"/>
              </w:rPr>
            </w:pPr>
            <w:r w:rsidRPr="00A8320F">
              <w:rPr>
                <w:rFonts w:cs="Arial"/>
                <w:sz w:val="22"/>
                <w:szCs w:val="22"/>
              </w:rPr>
              <w:t>41.63 ± 5.96</w:t>
            </w:r>
            <w:r>
              <w:rPr>
                <w:rFonts w:cs="Arial"/>
                <w:sz w:val="22"/>
                <w:szCs w:val="22"/>
              </w:rPr>
              <w:t>*</w:t>
            </w:r>
          </w:p>
          <w:p w14:paraId="6F87DA15" w14:textId="77777777" w:rsidR="00252675" w:rsidRPr="00A8320F" w:rsidRDefault="00252675" w:rsidP="006E6D91">
            <w:pPr>
              <w:spacing w:line="276" w:lineRule="auto"/>
              <w:jc w:val="center"/>
              <w:rPr>
                <w:rFonts w:cs="Arial"/>
                <w:sz w:val="22"/>
                <w:szCs w:val="22"/>
              </w:rPr>
            </w:pPr>
            <w:r w:rsidRPr="00A8320F">
              <w:rPr>
                <w:rFonts w:cs="Arial"/>
                <w:sz w:val="22"/>
                <w:szCs w:val="22"/>
              </w:rPr>
              <w:t>1.52 ± 0.83</w:t>
            </w:r>
          </w:p>
          <w:p w14:paraId="49C6488C" w14:textId="77777777" w:rsidR="00252675" w:rsidRPr="00A8320F" w:rsidRDefault="00252675" w:rsidP="006E6D91">
            <w:pPr>
              <w:spacing w:line="276" w:lineRule="auto"/>
              <w:jc w:val="center"/>
              <w:rPr>
                <w:rFonts w:cs="Arial"/>
                <w:sz w:val="22"/>
                <w:szCs w:val="22"/>
              </w:rPr>
            </w:pPr>
          </w:p>
          <w:p w14:paraId="56D9F282" w14:textId="41DC7AC5" w:rsidR="00252675" w:rsidRPr="00A8320F" w:rsidRDefault="00252675" w:rsidP="006E6D91">
            <w:pPr>
              <w:spacing w:line="276" w:lineRule="auto"/>
              <w:jc w:val="center"/>
              <w:rPr>
                <w:rFonts w:cs="Arial"/>
                <w:sz w:val="22"/>
                <w:szCs w:val="22"/>
              </w:rPr>
            </w:pPr>
            <w:r w:rsidRPr="00A8320F">
              <w:rPr>
                <w:rFonts w:cs="Arial"/>
                <w:sz w:val="22"/>
                <w:szCs w:val="22"/>
              </w:rPr>
              <w:t>61.27 ± 5.80</w:t>
            </w:r>
            <w:r w:rsidR="00433ECF">
              <w:rPr>
                <w:rFonts w:cs="Arial"/>
                <w:sz w:val="22"/>
                <w:szCs w:val="22"/>
              </w:rPr>
              <w:t>*</w:t>
            </w:r>
          </w:p>
          <w:p w14:paraId="0239424B" w14:textId="72036FDC" w:rsidR="00252675" w:rsidRPr="00A8320F" w:rsidRDefault="00252675" w:rsidP="006E6D91">
            <w:pPr>
              <w:spacing w:line="276" w:lineRule="auto"/>
              <w:jc w:val="center"/>
              <w:rPr>
                <w:rFonts w:cs="Arial"/>
                <w:sz w:val="22"/>
                <w:szCs w:val="22"/>
              </w:rPr>
            </w:pPr>
            <w:r w:rsidRPr="00A8320F">
              <w:rPr>
                <w:rFonts w:cs="Arial"/>
                <w:sz w:val="22"/>
                <w:szCs w:val="22"/>
              </w:rPr>
              <w:t>64.9 ± 5.19</w:t>
            </w:r>
            <w:r w:rsidR="007F5BA7">
              <w:rPr>
                <w:rFonts w:cs="Arial"/>
                <w:sz w:val="22"/>
                <w:szCs w:val="22"/>
              </w:rPr>
              <w:t>*</w:t>
            </w:r>
          </w:p>
          <w:p w14:paraId="69B0DB49" w14:textId="77777777" w:rsidR="00252675" w:rsidRPr="00A8320F" w:rsidRDefault="00252675" w:rsidP="006E6D91">
            <w:pPr>
              <w:spacing w:line="276" w:lineRule="auto"/>
              <w:jc w:val="center"/>
              <w:rPr>
                <w:rFonts w:cs="Arial"/>
                <w:sz w:val="22"/>
                <w:szCs w:val="22"/>
              </w:rPr>
            </w:pPr>
            <w:r w:rsidRPr="00A8320F">
              <w:rPr>
                <w:rFonts w:cs="Arial"/>
                <w:sz w:val="22"/>
                <w:szCs w:val="22"/>
              </w:rPr>
              <w:t>1.71 ± 0.75</w:t>
            </w:r>
          </w:p>
          <w:p w14:paraId="40D96786" w14:textId="77777777" w:rsidR="00252675" w:rsidRPr="00A8320F" w:rsidRDefault="00252675" w:rsidP="006E6D91">
            <w:pPr>
              <w:spacing w:line="276" w:lineRule="auto"/>
              <w:jc w:val="center"/>
              <w:rPr>
                <w:rFonts w:cs="Arial"/>
                <w:sz w:val="22"/>
                <w:szCs w:val="22"/>
              </w:rPr>
            </w:pPr>
          </w:p>
          <w:p w14:paraId="6F654EA7" w14:textId="77777777" w:rsidR="00252675" w:rsidRPr="00A8320F" w:rsidRDefault="00252675" w:rsidP="006E6D91">
            <w:pPr>
              <w:spacing w:line="276" w:lineRule="auto"/>
              <w:jc w:val="center"/>
              <w:rPr>
                <w:rFonts w:cs="Arial"/>
                <w:sz w:val="22"/>
                <w:szCs w:val="22"/>
              </w:rPr>
            </w:pPr>
            <w:r w:rsidRPr="00A8320F">
              <w:rPr>
                <w:rFonts w:cs="Arial"/>
                <w:sz w:val="22"/>
                <w:szCs w:val="22"/>
              </w:rPr>
              <w:t>11.32 ± 9.59</w:t>
            </w:r>
            <w:r w:rsidRPr="006C2A15">
              <w:rPr>
                <w:rFonts w:cs="Arial"/>
                <w:sz w:val="22"/>
                <w:szCs w:val="22"/>
              </w:rPr>
              <w:t>†</w:t>
            </w:r>
          </w:p>
          <w:p w14:paraId="1C8747BE" w14:textId="77777777" w:rsidR="00252675" w:rsidRPr="00A8320F" w:rsidRDefault="00252675" w:rsidP="006E6D91">
            <w:pPr>
              <w:spacing w:line="276" w:lineRule="auto"/>
              <w:jc w:val="center"/>
              <w:rPr>
                <w:rFonts w:cs="Arial"/>
                <w:sz w:val="22"/>
                <w:szCs w:val="22"/>
              </w:rPr>
            </w:pPr>
            <w:r w:rsidRPr="00A8320F">
              <w:rPr>
                <w:rFonts w:cs="Arial"/>
                <w:sz w:val="22"/>
                <w:szCs w:val="22"/>
              </w:rPr>
              <w:t>18.99 ± 12.88</w:t>
            </w:r>
          </w:p>
          <w:p w14:paraId="0CD80D3B" w14:textId="77777777" w:rsidR="00252675" w:rsidRPr="00A8320F" w:rsidRDefault="00252675" w:rsidP="006E6D91">
            <w:pPr>
              <w:spacing w:line="276" w:lineRule="auto"/>
              <w:jc w:val="center"/>
              <w:rPr>
                <w:rFonts w:cs="Arial"/>
                <w:sz w:val="22"/>
                <w:szCs w:val="22"/>
              </w:rPr>
            </w:pPr>
            <w:r w:rsidRPr="00A8320F">
              <w:rPr>
                <w:rFonts w:cs="Arial"/>
                <w:sz w:val="22"/>
                <w:szCs w:val="22"/>
              </w:rPr>
              <w:t>3.11 ± 3.04</w:t>
            </w:r>
          </w:p>
        </w:tc>
      </w:tr>
      <w:tr w:rsidR="00252675" w:rsidRPr="00A8320F" w14:paraId="61CED94D" w14:textId="77777777" w:rsidTr="006B3A14">
        <w:tc>
          <w:tcPr>
            <w:tcW w:w="2875" w:type="dxa"/>
          </w:tcPr>
          <w:p w14:paraId="716354AA" w14:textId="77777777" w:rsidR="00252675" w:rsidRPr="00A8320F" w:rsidRDefault="00252675" w:rsidP="008009D0">
            <w:pPr>
              <w:spacing w:line="276" w:lineRule="auto"/>
              <w:jc w:val="both"/>
              <w:rPr>
                <w:rFonts w:cs="Arial"/>
                <w:sz w:val="22"/>
                <w:szCs w:val="22"/>
              </w:rPr>
            </w:pPr>
            <w:r>
              <w:rPr>
                <w:rFonts w:cs="Arial"/>
                <w:sz w:val="22"/>
                <w:szCs w:val="22"/>
              </w:rPr>
              <w:t>Less-affected</w:t>
            </w:r>
            <w:r w:rsidRPr="00A8320F">
              <w:rPr>
                <w:rFonts w:cs="Arial"/>
                <w:sz w:val="22"/>
                <w:szCs w:val="22"/>
              </w:rPr>
              <w:t xml:space="preserve"> (degrees)</w:t>
            </w:r>
          </w:p>
          <w:p w14:paraId="0AB3EBE8" w14:textId="0F3B12A3" w:rsidR="00252675" w:rsidRPr="00A8320F" w:rsidRDefault="00252675" w:rsidP="008009D0">
            <w:pPr>
              <w:spacing w:line="276" w:lineRule="auto"/>
              <w:ind w:left="-22" w:firstLine="360"/>
              <w:jc w:val="both"/>
              <w:rPr>
                <w:rFonts w:cs="Arial"/>
                <w:sz w:val="22"/>
                <w:szCs w:val="22"/>
              </w:rPr>
            </w:pPr>
            <w:r w:rsidRPr="00A8320F">
              <w:rPr>
                <w:rFonts w:cs="Arial"/>
                <w:sz w:val="22"/>
                <w:szCs w:val="22"/>
              </w:rPr>
              <w:t>Hip</w:t>
            </w:r>
          </w:p>
          <w:p w14:paraId="336DD75C"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17EBA11E"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4590B452"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5B627F03" w14:textId="726D3186" w:rsidR="00252675" w:rsidRPr="00A8320F" w:rsidRDefault="00252675" w:rsidP="008009D0">
            <w:pPr>
              <w:spacing w:line="276" w:lineRule="auto"/>
              <w:ind w:firstLine="338"/>
              <w:jc w:val="both"/>
              <w:rPr>
                <w:rFonts w:cs="Arial"/>
                <w:sz w:val="22"/>
                <w:szCs w:val="22"/>
              </w:rPr>
            </w:pPr>
            <w:r w:rsidRPr="00A8320F">
              <w:rPr>
                <w:rFonts w:cs="Arial"/>
                <w:sz w:val="22"/>
                <w:szCs w:val="22"/>
              </w:rPr>
              <w:t>Knee</w:t>
            </w:r>
          </w:p>
          <w:p w14:paraId="6CAF6C08"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20D055DC"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737AA293"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42BBD072" w14:textId="6846AA77" w:rsidR="00252675" w:rsidRPr="00A8320F" w:rsidRDefault="00252675" w:rsidP="008009D0">
            <w:pPr>
              <w:spacing w:line="276" w:lineRule="auto"/>
              <w:ind w:firstLine="338"/>
              <w:jc w:val="both"/>
              <w:rPr>
                <w:rFonts w:cs="Arial"/>
                <w:sz w:val="22"/>
                <w:szCs w:val="22"/>
              </w:rPr>
            </w:pPr>
            <w:r w:rsidRPr="00A8320F">
              <w:rPr>
                <w:rFonts w:cs="Arial"/>
                <w:sz w:val="22"/>
                <w:szCs w:val="22"/>
              </w:rPr>
              <w:t>Shoulder</w:t>
            </w:r>
          </w:p>
          <w:p w14:paraId="3A3886BF"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Mean</w:t>
            </w:r>
          </w:p>
          <w:p w14:paraId="2596255B"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Max</w:t>
            </w:r>
          </w:p>
          <w:p w14:paraId="0C23D0FB" w14:textId="77777777" w:rsidR="00252675" w:rsidRPr="00A8320F" w:rsidRDefault="00252675" w:rsidP="008009D0">
            <w:pPr>
              <w:spacing w:line="276" w:lineRule="auto"/>
              <w:ind w:left="693"/>
              <w:jc w:val="both"/>
              <w:rPr>
                <w:rFonts w:cs="Arial"/>
                <w:sz w:val="22"/>
                <w:szCs w:val="22"/>
              </w:rPr>
            </w:pPr>
            <w:r w:rsidRPr="00A8320F">
              <w:rPr>
                <w:rFonts w:cs="Arial"/>
                <w:sz w:val="22"/>
                <w:szCs w:val="22"/>
              </w:rPr>
              <w:t>SD</w:t>
            </w:r>
          </w:p>
          <w:p w14:paraId="5514D425" w14:textId="77777777" w:rsidR="00252675" w:rsidRPr="00A8320F" w:rsidRDefault="00252675" w:rsidP="008009D0">
            <w:pPr>
              <w:spacing w:line="276" w:lineRule="auto"/>
              <w:jc w:val="both"/>
              <w:rPr>
                <w:rFonts w:cs="Arial"/>
                <w:sz w:val="22"/>
                <w:szCs w:val="22"/>
              </w:rPr>
            </w:pPr>
          </w:p>
        </w:tc>
        <w:tc>
          <w:tcPr>
            <w:tcW w:w="1890" w:type="dxa"/>
          </w:tcPr>
          <w:p w14:paraId="1B1B7AAB" w14:textId="77777777" w:rsidR="00252675" w:rsidRPr="00A8320F" w:rsidRDefault="00252675" w:rsidP="006E6D91">
            <w:pPr>
              <w:spacing w:line="276" w:lineRule="auto"/>
              <w:jc w:val="center"/>
              <w:rPr>
                <w:rFonts w:cs="Arial"/>
                <w:sz w:val="22"/>
                <w:szCs w:val="22"/>
              </w:rPr>
            </w:pPr>
          </w:p>
          <w:p w14:paraId="083DA2D4" w14:textId="77777777" w:rsidR="00252675" w:rsidRPr="00A8320F" w:rsidRDefault="00252675" w:rsidP="006E6D91">
            <w:pPr>
              <w:spacing w:line="276" w:lineRule="auto"/>
              <w:jc w:val="center"/>
              <w:rPr>
                <w:rFonts w:cs="Arial"/>
                <w:sz w:val="22"/>
                <w:szCs w:val="22"/>
              </w:rPr>
            </w:pPr>
          </w:p>
          <w:p w14:paraId="3F9C550A" w14:textId="77777777" w:rsidR="00252675" w:rsidRPr="00A8320F" w:rsidRDefault="00252675" w:rsidP="006E6D91">
            <w:pPr>
              <w:spacing w:line="276" w:lineRule="auto"/>
              <w:jc w:val="center"/>
              <w:rPr>
                <w:rFonts w:cs="Arial"/>
                <w:sz w:val="22"/>
                <w:szCs w:val="22"/>
              </w:rPr>
            </w:pPr>
            <w:r w:rsidRPr="00A8320F">
              <w:rPr>
                <w:rFonts w:cs="Arial"/>
                <w:sz w:val="22"/>
                <w:szCs w:val="22"/>
              </w:rPr>
              <w:t>37.21 ± 5.65</w:t>
            </w:r>
          </w:p>
          <w:p w14:paraId="6B77390C" w14:textId="77777777" w:rsidR="00252675" w:rsidRPr="00A8320F" w:rsidRDefault="00252675" w:rsidP="006E6D91">
            <w:pPr>
              <w:spacing w:line="276" w:lineRule="auto"/>
              <w:jc w:val="center"/>
              <w:rPr>
                <w:rFonts w:cs="Arial"/>
                <w:sz w:val="22"/>
                <w:szCs w:val="22"/>
              </w:rPr>
            </w:pPr>
            <w:r w:rsidRPr="00A8320F">
              <w:rPr>
                <w:rFonts w:cs="Arial"/>
                <w:sz w:val="22"/>
                <w:szCs w:val="22"/>
              </w:rPr>
              <w:t>40.82 ± 6.54</w:t>
            </w:r>
          </w:p>
          <w:p w14:paraId="57D46816" w14:textId="77777777" w:rsidR="00252675" w:rsidRPr="00A8320F" w:rsidRDefault="00252675" w:rsidP="006E6D91">
            <w:pPr>
              <w:spacing w:line="276" w:lineRule="auto"/>
              <w:jc w:val="center"/>
              <w:rPr>
                <w:rFonts w:cs="Arial"/>
                <w:sz w:val="22"/>
                <w:szCs w:val="22"/>
              </w:rPr>
            </w:pPr>
            <w:r w:rsidRPr="00A8320F">
              <w:rPr>
                <w:rFonts w:cs="Arial"/>
                <w:sz w:val="22"/>
                <w:szCs w:val="22"/>
              </w:rPr>
              <w:t>1.47 ± 0.94</w:t>
            </w:r>
          </w:p>
          <w:p w14:paraId="0AA9EF09" w14:textId="77777777" w:rsidR="00252675" w:rsidRPr="00A8320F" w:rsidRDefault="00252675" w:rsidP="006E6D91">
            <w:pPr>
              <w:spacing w:line="276" w:lineRule="auto"/>
              <w:jc w:val="center"/>
              <w:rPr>
                <w:rFonts w:cs="Arial"/>
                <w:sz w:val="22"/>
                <w:szCs w:val="22"/>
              </w:rPr>
            </w:pPr>
          </w:p>
          <w:p w14:paraId="3443D3FC" w14:textId="77777777" w:rsidR="00252675" w:rsidRPr="00A8320F" w:rsidRDefault="00252675" w:rsidP="006E6D91">
            <w:pPr>
              <w:spacing w:line="276" w:lineRule="auto"/>
              <w:jc w:val="center"/>
              <w:rPr>
                <w:rFonts w:cs="Arial"/>
                <w:sz w:val="22"/>
                <w:szCs w:val="22"/>
              </w:rPr>
            </w:pPr>
            <w:r w:rsidRPr="00A8320F">
              <w:rPr>
                <w:rFonts w:cs="Arial"/>
                <w:sz w:val="22"/>
                <w:szCs w:val="22"/>
              </w:rPr>
              <w:t>61.57 ± 4.41</w:t>
            </w:r>
          </w:p>
          <w:p w14:paraId="2928285D" w14:textId="77777777" w:rsidR="00252675" w:rsidRPr="00A8320F" w:rsidRDefault="00252675" w:rsidP="006E6D91">
            <w:pPr>
              <w:spacing w:line="276" w:lineRule="auto"/>
              <w:jc w:val="center"/>
              <w:rPr>
                <w:rFonts w:cs="Arial"/>
                <w:sz w:val="22"/>
                <w:szCs w:val="22"/>
              </w:rPr>
            </w:pPr>
            <w:r w:rsidRPr="00A8320F">
              <w:rPr>
                <w:rFonts w:cs="Arial"/>
                <w:sz w:val="22"/>
                <w:szCs w:val="22"/>
              </w:rPr>
              <w:t>65.29 ± 4.67</w:t>
            </w:r>
          </w:p>
          <w:p w14:paraId="04A14C02" w14:textId="77777777" w:rsidR="00252675" w:rsidRPr="00A8320F" w:rsidRDefault="00252675" w:rsidP="006E6D91">
            <w:pPr>
              <w:spacing w:line="276" w:lineRule="auto"/>
              <w:jc w:val="center"/>
              <w:rPr>
                <w:rFonts w:cs="Arial"/>
                <w:sz w:val="22"/>
                <w:szCs w:val="22"/>
              </w:rPr>
            </w:pPr>
            <w:r w:rsidRPr="00A8320F">
              <w:rPr>
                <w:rFonts w:cs="Arial"/>
                <w:sz w:val="22"/>
                <w:szCs w:val="22"/>
              </w:rPr>
              <w:t>1.68 ± 0.80</w:t>
            </w:r>
          </w:p>
          <w:p w14:paraId="3AEDA27F" w14:textId="77777777" w:rsidR="00252675" w:rsidRPr="00A8320F" w:rsidRDefault="00252675" w:rsidP="006E6D91">
            <w:pPr>
              <w:spacing w:line="276" w:lineRule="auto"/>
              <w:jc w:val="center"/>
              <w:rPr>
                <w:rFonts w:cs="Arial"/>
                <w:sz w:val="22"/>
                <w:szCs w:val="22"/>
              </w:rPr>
            </w:pPr>
          </w:p>
          <w:p w14:paraId="497FBDB3" w14:textId="77777777" w:rsidR="00252675" w:rsidRPr="00A8320F" w:rsidRDefault="00252675" w:rsidP="006E6D91">
            <w:pPr>
              <w:spacing w:line="276" w:lineRule="auto"/>
              <w:jc w:val="center"/>
              <w:rPr>
                <w:rFonts w:cs="Arial"/>
                <w:sz w:val="22"/>
                <w:szCs w:val="22"/>
              </w:rPr>
            </w:pPr>
            <w:r w:rsidRPr="00A8320F">
              <w:rPr>
                <w:rFonts w:cs="Arial"/>
                <w:sz w:val="22"/>
                <w:szCs w:val="22"/>
              </w:rPr>
              <w:t>18.02 ± 11.23</w:t>
            </w:r>
          </w:p>
          <w:p w14:paraId="449D5485" w14:textId="77777777" w:rsidR="00252675" w:rsidRPr="00A8320F" w:rsidRDefault="00252675" w:rsidP="006E6D91">
            <w:pPr>
              <w:spacing w:line="276" w:lineRule="auto"/>
              <w:jc w:val="center"/>
              <w:rPr>
                <w:rFonts w:cs="Arial"/>
                <w:sz w:val="22"/>
                <w:szCs w:val="22"/>
              </w:rPr>
            </w:pPr>
            <w:r w:rsidRPr="00A8320F">
              <w:rPr>
                <w:rFonts w:cs="Arial"/>
                <w:sz w:val="22"/>
                <w:szCs w:val="22"/>
              </w:rPr>
              <w:t>24.29 ± 12.53</w:t>
            </w:r>
          </w:p>
          <w:p w14:paraId="62C039A5" w14:textId="77777777" w:rsidR="00252675" w:rsidRPr="00A8320F" w:rsidRDefault="00252675" w:rsidP="006E6D91">
            <w:pPr>
              <w:spacing w:line="276" w:lineRule="auto"/>
              <w:jc w:val="center"/>
              <w:rPr>
                <w:rFonts w:cs="Arial"/>
                <w:sz w:val="22"/>
                <w:szCs w:val="22"/>
              </w:rPr>
            </w:pPr>
            <w:r w:rsidRPr="00A8320F">
              <w:rPr>
                <w:rFonts w:cs="Arial"/>
                <w:sz w:val="22"/>
                <w:szCs w:val="22"/>
              </w:rPr>
              <w:t>2.50 ± 0.90</w:t>
            </w:r>
          </w:p>
        </w:tc>
        <w:tc>
          <w:tcPr>
            <w:tcW w:w="1842" w:type="dxa"/>
          </w:tcPr>
          <w:p w14:paraId="03706C27" w14:textId="77777777" w:rsidR="00252675" w:rsidRPr="00A8320F" w:rsidRDefault="00252675" w:rsidP="006E6D91">
            <w:pPr>
              <w:spacing w:line="276" w:lineRule="auto"/>
              <w:jc w:val="center"/>
              <w:rPr>
                <w:rFonts w:cs="Arial"/>
                <w:sz w:val="22"/>
                <w:szCs w:val="22"/>
              </w:rPr>
            </w:pPr>
          </w:p>
          <w:p w14:paraId="0AF1B54A" w14:textId="77777777" w:rsidR="00252675" w:rsidRPr="00A8320F" w:rsidRDefault="00252675" w:rsidP="006E6D91">
            <w:pPr>
              <w:spacing w:line="276" w:lineRule="auto"/>
              <w:jc w:val="center"/>
              <w:rPr>
                <w:rFonts w:cs="Arial"/>
                <w:sz w:val="22"/>
                <w:szCs w:val="22"/>
              </w:rPr>
            </w:pPr>
          </w:p>
          <w:p w14:paraId="75C4964C" w14:textId="77777777" w:rsidR="00252675" w:rsidRPr="00A8320F" w:rsidRDefault="00252675" w:rsidP="006E6D91">
            <w:pPr>
              <w:spacing w:line="276" w:lineRule="auto"/>
              <w:jc w:val="center"/>
              <w:rPr>
                <w:rFonts w:cs="Arial"/>
                <w:sz w:val="22"/>
                <w:szCs w:val="22"/>
              </w:rPr>
            </w:pPr>
            <w:r w:rsidRPr="00A8320F">
              <w:rPr>
                <w:rFonts w:cs="Arial"/>
                <w:sz w:val="22"/>
                <w:szCs w:val="22"/>
              </w:rPr>
              <w:t>36.05 ± 5.32</w:t>
            </w:r>
            <w:r w:rsidRPr="006C2A15">
              <w:rPr>
                <w:rFonts w:cs="Arial"/>
                <w:sz w:val="22"/>
                <w:szCs w:val="22"/>
              </w:rPr>
              <w:t>†</w:t>
            </w:r>
          </w:p>
          <w:p w14:paraId="11C6C737" w14:textId="77777777" w:rsidR="00252675" w:rsidRPr="00A8320F" w:rsidRDefault="00252675" w:rsidP="006E6D91">
            <w:pPr>
              <w:spacing w:line="276" w:lineRule="auto"/>
              <w:jc w:val="center"/>
              <w:rPr>
                <w:rFonts w:cs="Arial"/>
                <w:sz w:val="22"/>
                <w:szCs w:val="22"/>
              </w:rPr>
            </w:pPr>
            <w:r w:rsidRPr="00A8320F">
              <w:rPr>
                <w:rFonts w:cs="Arial"/>
                <w:sz w:val="22"/>
                <w:szCs w:val="22"/>
              </w:rPr>
              <w:t>39.37 ± 5.62</w:t>
            </w:r>
            <w:r w:rsidRPr="006C2A15">
              <w:rPr>
                <w:rFonts w:cs="Arial"/>
                <w:sz w:val="22"/>
                <w:szCs w:val="22"/>
              </w:rPr>
              <w:t>†</w:t>
            </w:r>
          </w:p>
          <w:p w14:paraId="11D54826" w14:textId="77777777" w:rsidR="00252675" w:rsidRPr="00A8320F" w:rsidRDefault="00252675" w:rsidP="006E6D91">
            <w:pPr>
              <w:spacing w:line="276" w:lineRule="auto"/>
              <w:jc w:val="center"/>
              <w:rPr>
                <w:rFonts w:cs="Arial"/>
                <w:sz w:val="22"/>
                <w:szCs w:val="22"/>
              </w:rPr>
            </w:pPr>
            <w:r w:rsidRPr="00A8320F">
              <w:rPr>
                <w:rFonts w:cs="Arial"/>
                <w:sz w:val="22"/>
                <w:szCs w:val="22"/>
              </w:rPr>
              <w:t>1.25 ± 0.39</w:t>
            </w:r>
          </w:p>
          <w:p w14:paraId="3E3D9200" w14:textId="77777777" w:rsidR="00252675" w:rsidRPr="00A8320F" w:rsidRDefault="00252675" w:rsidP="006E6D91">
            <w:pPr>
              <w:spacing w:line="276" w:lineRule="auto"/>
              <w:jc w:val="center"/>
              <w:rPr>
                <w:rFonts w:cs="Arial"/>
                <w:sz w:val="22"/>
                <w:szCs w:val="22"/>
              </w:rPr>
            </w:pPr>
          </w:p>
          <w:p w14:paraId="5B16ECAE" w14:textId="77777777" w:rsidR="00252675" w:rsidRPr="00A8320F" w:rsidRDefault="00252675" w:rsidP="006E6D91">
            <w:pPr>
              <w:spacing w:line="276" w:lineRule="auto"/>
              <w:jc w:val="center"/>
              <w:rPr>
                <w:rFonts w:cs="Arial"/>
                <w:sz w:val="22"/>
                <w:szCs w:val="22"/>
              </w:rPr>
            </w:pPr>
            <w:r w:rsidRPr="00A8320F">
              <w:rPr>
                <w:rFonts w:cs="Arial"/>
                <w:sz w:val="22"/>
                <w:szCs w:val="22"/>
              </w:rPr>
              <w:t>61.43 ± 3.84</w:t>
            </w:r>
          </w:p>
          <w:p w14:paraId="1982B185" w14:textId="77777777" w:rsidR="00252675" w:rsidRPr="00A8320F" w:rsidRDefault="00252675" w:rsidP="006E6D91">
            <w:pPr>
              <w:spacing w:line="276" w:lineRule="auto"/>
              <w:jc w:val="center"/>
              <w:rPr>
                <w:rFonts w:cs="Arial"/>
                <w:sz w:val="22"/>
                <w:szCs w:val="22"/>
              </w:rPr>
            </w:pPr>
            <w:r w:rsidRPr="00A8320F">
              <w:rPr>
                <w:rFonts w:cs="Arial"/>
                <w:sz w:val="22"/>
                <w:szCs w:val="22"/>
              </w:rPr>
              <w:t>65.43 ± 4.25</w:t>
            </w:r>
          </w:p>
          <w:p w14:paraId="45E0FAC8" w14:textId="77777777" w:rsidR="00252675" w:rsidRPr="00A8320F" w:rsidRDefault="00252675" w:rsidP="006E6D91">
            <w:pPr>
              <w:spacing w:line="276" w:lineRule="auto"/>
              <w:jc w:val="center"/>
              <w:rPr>
                <w:rFonts w:cs="Arial"/>
                <w:sz w:val="22"/>
                <w:szCs w:val="22"/>
              </w:rPr>
            </w:pPr>
            <w:r w:rsidRPr="00A8320F">
              <w:rPr>
                <w:rFonts w:cs="Arial"/>
                <w:sz w:val="22"/>
                <w:szCs w:val="22"/>
              </w:rPr>
              <w:t>1.54 ± 0.72</w:t>
            </w:r>
          </w:p>
          <w:p w14:paraId="63019EB9" w14:textId="77777777" w:rsidR="00252675" w:rsidRPr="00A8320F" w:rsidRDefault="00252675" w:rsidP="006E6D91">
            <w:pPr>
              <w:spacing w:line="276" w:lineRule="auto"/>
              <w:jc w:val="center"/>
              <w:rPr>
                <w:rFonts w:cs="Arial"/>
                <w:sz w:val="22"/>
                <w:szCs w:val="22"/>
              </w:rPr>
            </w:pPr>
          </w:p>
          <w:p w14:paraId="503317C4" w14:textId="77777777" w:rsidR="00252675" w:rsidRPr="00A8320F" w:rsidRDefault="00252675" w:rsidP="006E6D91">
            <w:pPr>
              <w:spacing w:line="276" w:lineRule="auto"/>
              <w:jc w:val="center"/>
              <w:rPr>
                <w:rFonts w:cs="Arial"/>
                <w:sz w:val="22"/>
                <w:szCs w:val="22"/>
              </w:rPr>
            </w:pPr>
            <w:r w:rsidRPr="00A8320F">
              <w:rPr>
                <w:rFonts w:cs="Arial"/>
                <w:sz w:val="22"/>
                <w:szCs w:val="22"/>
              </w:rPr>
              <w:t>14.35 ± 10.74</w:t>
            </w:r>
            <w:r w:rsidRPr="006C2A15">
              <w:rPr>
                <w:rFonts w:cs="Arial"/>
                <w:sz w:val="22"/>
                <w:szCs w:val="22"/>
              </w:rPr>
              <w:t>†</w:t>
            </w:r>
          </w:p>
          <w:p w14:paraId="53239E02" w14:textId="77777777" w:rsidR="00252675" w:rsidRPr="00A8320F" w:rsidRDefault="00252675" w:rsidP="006E6D91">
            <w:pPr>
              <w:spacing w:line="276" w:lineRule="auto"/>
              <w:jc w:val="center"/>
              <w:rPr>
                <w:rFonts w:cs="Arial"/>
                <w:sz w:val="22"/>
                <w:szCs w:val="22"/>
              </w:rPr>
            </w:pPr>
            <w:r w:rsidRPr="00A8320F">
              <w:rPr>
                <w:rFonts w:cs="Arial"/>
                <w:sz w:val="22"/>
                <w:szCs w:val="22"/>
              </w:rPr>
              <w:t>20.57 ± 12.28</w:t>
            </w:r>
          </w:p>
          <w:p w14:paraId="18718A78" w14:textId="77777777" w:rsidR="00252675" w:rsidRPr="00A8320F" w:rsidRDefault="00252675" w:rsidP="006E6D91">
            <w:pPr>
              <w:spacing w:line="276" w:lineRule="auto"/>
              <w:jc w:val="center"/>
              <w:rPr>
                <w:rFonts w:cs="Arial"/>
                <w:sz w:val="22"/>
                <w:szCs w:val="22"/>
              </w:rPr>
            </w:pPr>
            <w:r w:rsidRPr="00A8320F">
              <w:rPr>
                <w:rFonts w:cs="Arial"/>
                <w:sz w:val="22"/>
                <w:szCs w:val="22"/>
              </w:rPr>
              <w:t>2.16 ± 0.95</w:t>
            </w:r>
          </w:p>
        </w:tc>
        <w:tc>
          <w:tcPr>
            <w:tcW w:w="1778" w:type="dxa"/>
          </w:tcPr>
          <w:p w14:paraId="56D9EBF8" w14:textId="77777777" w:rsidR="00252675" w:rsidRPr="00A8320F" w:rsidRDefault="00252675" w:rsidP="006E6D91">
            <w:pPr>
              <w:spacing w:line="276" w:lineRule="auto"/>
              <w:jc w:val="center"/>
              <w:rPr>
                <w:rFonts w:cs="Arial"/>
                <w:sz w:val="22"/>
                <w:szCs w:val="22"/>
              </w:rPr>
            </w:pPr>
          </w:p>
          <w:p w14:paraId="013E62C9" w14:textId="77777777" w:rsidR="00252675" w:rsidRPr="00A8320F" w:rsidRDefault="00252675" w:rsidP="006E6D91">
            <w:pPr>
              <w:spacing w:line="276" w:lineRule="auto"/>
              <w:jc w:val="center"/>
              <w:rPr>
                <w:rFonts w:cs="Arial"/>
                <w:sz w:val="22"/>
                <w:szCs w:val="22"/>
              </w:rPr>
            </w:pPr>
          </w:p>
          <w:p w14:paraId="51607CC1" w14:textId="77777777" w:rsidR="00252675" w:rsidRPr="00A8320F" w:rsidRDefault="00252675" w:rsidP="006E6D91">
            <w:pPr>
              <w:spacing w:line="276" w:lineRule="auto"/>
              <w:jc w:val="center"/>
              <w:rPr>
                <w:rFonts w:cs="Arial"/>
                <w:sz w:val="22"/>
                <w:szCs w:val="22"/>
              </w:rPr>
            </w:pPr>
            <w:r w:rsidRPr="00A8320F">
              <w:rPr>
                <w:rFonts w:cs="Arial"/>
                <w:sz w:val="22"/>
                <w:szCs w:val="22"/>
              </w:rPr>
              <w:t>39.34 ± 5.4</w:t>
            </w:r>
            <w:r>
              <w:rPr>
                <w:rFonts w:cs="Arial"/>
                <w:sz w:val="22"/>
                <w:szCs w:val="22"/>
              </w:rPr>
              <w:t>0*</w:t>
            </w:r>
          </w:p>
          <w:p w14:paraId="7D9ED9BE" w14:textId="77777777" w:rsidR="00252675" w:rsidRPr="00A8320F" w:rsidRDefault="00252675" w:rsidP="006E6D91">
            <w:pPr>
              <w:spacing w:line="276" w:lineRule="auto"/>
              <w:jc w:val="center"/>
              <w:rPr>
                <w:rFonts w:cs="Arial"/>
                <w:sz w:val="22"/>
                <w:szCs w:val="22"/>
              </w:rPr>
            </w:pPr>
            <w:r w:rsidRPr="00A8320F">
              <w:rPr>
                <w:rFonts w:cs="Arial"/>
                <w:sz w:val="22"/>
                <w:szCs w:val="22"/>
              </w:rPr>
              <w:t>43.34 ± 6.07</w:t>
            </w:r>
            <w:r>
              <w:rPr>
                <w:rFonts w:cs="Arial"/>
                <w:sz w:val="22"/>
                <w:szCs w:val="22"/>
              </w:rPr>
              <w:t>*</w:t>
            </w:r>
          </w:p>
          <w:p w14:paraId="52144D53" w14:textId="77777777" w:rsidR="00252675" w:rsidRPr="00A8320F" w:rsidRDefault="00252675" w:rsidP="006E6D91">
            <w:pPr>
              <w:spacing w:line="276" w:lineRule="auto"/>
              <w:jc w:val="center"/>
              <w:rPr>
                <w:rFonts w:cs="Arial"/>
                <w:sz w:val="22"/>
                <w:szCs w:val="22"/>
              </w:rPr>
            </w:pPr>
            <w:r w:rsidRPr="00A8320F">
              <w:rPr>
                <w:rFonts w:cs="Arial"/>
                <w:sz w:val="22"/>
                <w:szCs w:val="22"/>
              </w:rPr>
              <w:t>1.66 ± 0.8</w:t>
            </w:r>
            <w:r>
              <w:rPr>
                <w:rFonts w:cs="Arial"/>
                <w:sz w:val="22"/>
                <w:szCs w:val="22"/>
              </w:rPr>
              <w:t>0</w:t>
            </w:r>
          </w:p>
          <w:p w14:paraId="6FE75A5E" w14:textId="77777777" w:rsidR="00252675" w:rsidRPr="00A8320F" w:rsidRDefault="00252675" w:rsidP="006E6D91">
            <w:pPr>
              <w:spacing w:line="276" w:lineRule="auto"/>
              <w:jc w:val="center"/>
              <w:rPr>
                <w:rFonts w:cs="Arial"/>
                <w:sz w:val="22"/>
                <w:szCs w:val="22"/>
              </w:rPr>
            </w:pPr>
          </w:p>
          <w:p w14:paraId="1982B399" w14:textId="663A7EEA" w:rsidR="00252675" w:rsidRPr="00A8320F" w:rsidRDefault="00252675" w:rsidP="006E6D91">
            <w:pPr>
              <w:spacing w:line="276" w:lineRule="auto"/>
              <w:jc w:val="center"/>
              <w:rPr>
                <w:rFonts w:cs="Arial"/>
                <w:sz w:val="22"/>
                <w:szCs w:val="22"/>
              </w:rPr>
            </w:pPr>
            <w:r w:rsidRPr="00A8320F">
              <w:rPr>
                <w:rFonts w:cs="Arial"/>
                <w:sz w:val="22"/>
                <w:szCs w:val="22"/>
              </w:rPr>
              <w:t>63.21 ± 4.96</w:t>
            </w:r>
            <w:r w:rsidR="00523A54">
              <w:rPr>
                <w:rFonts w:cs="Arial"/>
                <w:sz w:val="22"/>
                <w:szCs w:val="22"/>
              </w:rPr>
              <w:t>*</w:t>
            </w:r>
          </w:p>
          <w:p w14:paraId="4630BA57" w14:textId="77777777" w:rsidR="00252675" w:rsidRPr="00A8320F" w:rsidRDefault="00252675" w:rsidP="006E6D91">
            <w:pPr>
              <w:spacing w:line="276" w:lineRule="auto"/>
              <w:jc w:val="center"/>
              <w:rPr>
                <w:rFonts w:cs="Arial"/>
                <w:sz w:val="22"/>
                <w:szCs w:val="22"/>
              </w:rPr>
            </w:pPr>
            <w:r w:rsidRPr="00A8320F">
              <w:rPr>
                <w:rFonts w:cs="Arial"/>
                <w:sz w:val="22"/>
                <w:szCs w:val="22"/>
              </w:rPr>
              <w:t>67.25 ± 4.75</w:t>
            </w:r>
            <w:r>
              <w:rPr>
                <w:rFonts w:cs="Arial"/>
                <w:sz w:val="22"/>
                <w:szCs w:val="22"/>
              </w:rPr>
              <w:t>*</w:t>
            </w:r>
          </w:p>
          <w:p w14:paraId="56697991" w14:textId="77777777" w:rsidR="00252675" w:rsidRPr="00A8320F" w:rsidRDefault="00252675" w:rsidP="006E6D91">
            <w:pPr>
              <w:spacing w:line="276" w:lineRule="auto"/>
              <w:jc w:val="center"/>
              <w:rPr>
                <w:rFonts w:cs="Arial"/>
                <w:sz w:val="22"/>
                <w:szCs w:val="22"/>
              </w:rPr>
            </w:pPr>
            <w:r w:rsidRPr="00A8320F">
              <w:rPr>
                <w:rFonts w:cs="Arial"/>
                <w:sz w:val="22"/>
                <w:szCs w:val="22"/>
              </w:rPr>
              <w:t>1.70 ± 0.71</w:t>
            </w:r>
          </w:p>
          <w:p w14:paraId="276980FA" w14:textId="77777777" w:rsidR="00252675" w:rsidRPr="00A8320F" w:rsidRDefault="00252675" w:rsidP="006E6D91">
            <w:pPr>
              <w:spacing w:line="276" w:lineRule="auto"/>
              <w:jc w:val="center"/>
              <w:rPr>
                <w:rFonts w:cs="Arial"/>
                <w:sz w:val="22"/>
                <w:szCs w:val="22"/>
              </w:rPr>
            </w:pPr>
          </w:p>
          <w:p w14:paraId="1585AD5F" w14:textId="77777777" w:rsidR="00252675" w:rsidRPr="00A8320F" w:rsidRDefault="00252675" w:rsidP="006E6D91">
            <w:pPr>
              <w:spacing w:line="276" w:lineRule="auto"/>
              <w:jc w:val="center"/>
              <w:rPr>
                <w:rFonts w:cs="Arial"/>
                <w:sz w:val="22"/>
                <w:szCs w:val="22"/>
              </w:rPr>
            </w:pPr>
            <w:r w:rsidRPr="00A8320F">
              <w:rPr>
                <w:rFonts w:cs="Arial"/>
                <w:sz w:val="22"/>
                <w:szCs w:val="22"/>
              </w:rPr>
              <w:t>19.48 ± 9.49</w:t>
            </w:r>
          </w:p>
          <w:p w14:paraId="4458D1FB" w14:textId="77777777" w:rsidR="00252675" w:rsidRPr="00A8320F" w:rsidRDefault="00252675" w:rsidP="006E6D91">
            <w:pPr>
              <w:spacing w:line="276" w:lineRule="auto"/>
              <w:jc w:val="center"/>
              <w:rPr>
                <w:rFonts w:cs="Arial"/>
                <w:sz w:val="22"/>
                <w:szCs w:val="22"/>
              </w:rPr>
            </w:pPr>
            <w:r w:rsidRPr="00A8320F">
              <w:rPr>
                <w:rFonts w:cs="Arial"/>
                <w:sz w:val="22"/>
                <w:szCs w:val="22"/>
              </w:rPr>
              <w:t>29.29 ± 13.03</w:t>
            </w:r>
          </w:p>
          <w:p w14:paraId="1E7C5411" w14:textId="4AB49C0F" w:rsidR="00252675" w:rsidRPr="00A8320F" w:rsidRDefault="00252675" w:rsidP="006E6D91">
            <w:pPr>
              <w:spacing w:line="276" w:lineRule="auto"/>
              <w:jc w:val="center"/>
              <w:rPr>
                <w:rFonts w:cs="Arial"/>
                <w:sz w:val="22"/>
                <w:szCs w:val="22"/>
              </w:rPr>
            </w:pPr>
            <w:r w:rsidRPr="00A8320F">
              <w:rPr>
                <w:rFonts w:cs="Arial"/>
                <w:sz w:val="22"/>
                <w:szCs w:val="22"/>
              </w:rPr>
              <w:t>4.73 ± 5.69</w:t>
            </w:r>
          </w:p>
        </w:tc>
        <w:tc>
          <w:tcPr>
            <w:tcW w:w="1778" w:type="dxa"/>
          </w:tcPr>
          <w:p w14:paraId="22B1C766" w14:textId="77777777" w:rsidR="00252675" w:rsidRPr="00A8320F" w:rsidRDefault="00252675" w:rsidP="006E6D91">
            <w:pPr>
              <w:spacing w:line="276" w:lineRule="auto"/>
              <w:jc w:val="center"/>
              <w:rPr>
                <w:rFonts w:cs="Arial"/>
                <w:sz w:val="22"/>
                <w:szCs w:val="22"/>
              </w:rPr>
            </w:pPr>
          </w:p>
          <w:p w14:paraId="193B68E0" w14:textId="77777777" w:rsidR="00252675" w:rsidRPr="00A8320F" w:rsidRDefault="00252675" w:rsidP="006E6D91">
            <w:pPr>
              <w:spacing w:line="276" w:lineRule="auto"/>
              <w:jc w:val="center"/>
              <w:rPr>
                <w:rFonts w:cs="Arial"/>
                <w:sz w:val="22"/>
                <w:szCs w:val="22"/>
              </w:rPr>
            </w:pPr>
          </w:p>
          <w:p w14:paraId="17332488" w14:textId="77777777" w:rsidR="00252675" w:rsidRPr="00A8320F" w:rsidRDefault="00252675" w:rsidP="006E6D91">
            <w:pPr>
              <w:spacing w:line="276" w:lineRule="auto"/>
              <w:jc w:val="center"/>
              <w:rPr>
                <w:rFonts w:cs="Arial"/>
                <w:sz w:val="22"/>
                <w:szCs w:val="22"/>
              </w:rPr>
            </w:pPr>
            <w:r w:rsidRPr="00A8320F">
              <w:rPr>
                <w:rFonts w:cs="Arial"/>
                <w:sz w:val="22"/>
                <w:szCs w:val="22"/>
              </w:rPr>
              <w:t>38.20 ± 5.17</w:t>
            </w:r>
            <w:r>
              <w:rPr>
                <w:rFonts w:cs="Arial"/>
                <w:sz w:val="22"/>
                <w:szCs w:val="22"/>
              </w:rPr>
              <w:t>*</w:t>
            </w:r>
            <w:r w:rsidRPr="006C2A15">
              <w:rPr>
                <w:rFonts w:cs="Arial"/>
                <w:sz w:val="22"/>
                <w:szCs w:val="22"/>
              </w:rPr>
              <w:t>†</w:t>
            </w:r>
          </w:p>
          <w:p w14:paraId="200D3001" w14:textId="77777777" w:rsidR="00252675" w:rsidRPr="00A8320F" w:rsidRDefault="00252675" w:rsidP="006E6D91">
            <w:pPr>
              <w:spacing w:line="276" w:lineRule="auto"/>
              <w:jc w:val="center"/>
              <w:rPr>
                <w:rFonts w:cs="Arial"/>
                <w:sz w:val="22"/>
                <w:szCs w:val="22"/>
              </w:rPr>
            </w:pPr>
            <w:r w:rsidRPr="00A8320F">
              <w:rPr>
                <w:rFonts w:cs="Arial"/>
                <w:sz w:val="22"/>
                <w:szCs w:val="22"/>
              </w:rPr>
              <w:t>41.53 ± 5.20</w:t>
            </w:r>
            <w:r>
              <w:rPr>
                <w:rFonts w:cs="Arial"/>
                <w:sz w:val="22"/>
                <w:szCs w:val="22"/>
              </w:rPr>
              <w:t>*</w:t>
            </w:r>
            <w:r w:rsidRPr="006C2A15">
              <w:rPr>
                <w:rFonts w:cs="Arial"/>
                <w:sz w:val="22"/>
                <w:szCs w:val="22"/>
              </w:rPr>
              <w:t>†</w:t>
            </w:r>
          </w:p>
          <w:p w14:paraId="34F74B7D" w14:textId="77777777" w:rsidR="00252675" w:rsidRPr="00A8320F" w:rsidRDefault="00252675" w:rsidP="006E6D91">
            <w:pPr>
              <w:spacing w:line="276" w:lineRule="auto"/>
              <w:jc w:val="center"/>
              <w:rPr>
                <w:rFonts w:cs="Arial"/>
                <w:sz w:val="22"/>
                <w:szCs w:val="22"/>
              </w:rPr>
            </w:pPr>
            <w:r w:rsidRPr="00A8320F">
              <w:rPr>
                <w:rFonts w:cs="Arial"/>
                <w:sz w:val="22"/>
                <w:szCs w:val="22"/>
              </w:rPr>
              <w:t>1.33 ± 0.66</w:t>
            </w:r>
            <w:r w:rsidRPr="006C2A15">
              <w:rPr>
                <w:rFonts w:cs="Arial"/>
                <w:sz w:val="22"/>
                <w:szCs w:val="22"/>
              </w:rPr>
              <w:t>†</w:t>
            </w:r>
          </w:p>
          <w:p w14:paraId="0E17CBEF" w14:textId="77777777" w:rsidR="00252675" w:rsidRPr="00A8320F" w:rsidRDefault="00252675" w:rsidP="006E6D91">
            <w:pPr>
              <w:spacing w:line="276" w:lineRule="auto"/>
              <w:jc w:val="center"/>
              <w:rPr>
                <w:rFonts w:cs="Arial"/>
                <w:sz w:val="22"/>
                <w:szCs w:val="22"/>
              </w:rPr>
            </w:pPr>
          </w:p>
          <w:p w14:paraId="41F75B47" w14:textId="77777777" w:rsidR="00252675" w:rsidRPr="00A8320F" w:rsidRDefault="00252675" w:rsidP="006E6D91">
            <w:pPr>
              <w:spacing w:line="276" w:lineRule="auto"/>
              <w:jc w:val="center"/>
              <w:rPr>
                <w:rFonts w:cs="Arial"/>
                <w:sz w:val="22"/>
                <w:szCs w:val="22"/>
              </w:rPr>
            </w:pPr>
            <w:r w:rsidRPr="00A8320F">
              <w:rPr>
                <w:rFonts w:cs="Arial"/>
                <w:sz w:val="22"/>
                <w:szCs w:val="22"/>
              </w:rPr>
              <w:t>62.45 ± 4.35</w:t>
            </w:r>
          </w:p>
          <w:p w14:paraId="49758943" w14:textId="77777777" w:rsidR="00252675" w:rsidRPr="00A8320F" w:rsidRDefault="00252675" w:rsidP="006E6D91">
            <w:pPr>
              <w:spacing w:line="276" w:lineRule="auto"/>
              <w:jc w:val="center"/>
              <w:rPr>
                <w:rFonts w:cs="Arial"/>
                <w:sz w:val="22"/>
                <w:szCs w:val="22"/>
              </w:rPr>
            </w:pPr>
            <w:r w:rsidRPr="00A8320F">
              <w:rPr>
                <w:rFonts w:cs="Arial"/>
                <w:sz w:val="22"/>
                <w:szCs w:val="22"/>
              </w:rPr>
              <w:t>66.59 ± 4.83</w:t>
            </w:r>
          </w:p>
          <w:p w14:paraId="3D1F9A58" w14:textId="77777777" w:rsidR="00252675" w:rsidRPr="00A8320F" w:rsidRDefault="00252675" w:rsidP="006E6D91">
            <w:pPr>
              <w:spacing w:line="276" w:lineRule="auto"/>
              <w:jc w:val="center"/>
              <w:rPr>
                <w:rFonts w:cs="Arial"/>
                <w:sz w:val="22"/>
                <w:szCs w:val="22"/>
              </w:rPr>
            </w:pPr>
            <w:r w:rsidRPr="00A8320F">
              <w:rPr>
                <w:rFonts w:cs="Arial"/>
                <w:sz w:val="22"/>
                <w:szCs w:val="22"/>
              </w:rPr>
              <w:t>1.74 ± 0.96</w:t>
            </w:r>
          </w:p>
          <w:p w14:paraId="0070F4FE" w14:textId="77777777" w:rsidR="00252675" w:rsidRPr="00A8320F" w:rsidRDefault="00252675" w:rsidP="006E6D91">
            <w:pPr>
              <w:spacing w:line="276" w:lineRule="auto"/>
              <w:jc w:val="center"/>
              <w:rPr>
                <w:rFonts w:cs="Arial"/>
                <w:sz w:val="22"/>
                <w:szCs w:val="22"/>
              </w:rPr>
            </w:pPr>
          </w:p>
          <w:p w14:paraId="087371A5" w14:textId="1681D8D5" w:rsidR="00252675" w:rsidRPr="00A8320F" w:rsidRDefault="00252675" w:rsidP="006E6D91">
            <w:pPr>
              <w:spacing w:line="276" w:lineRule="auto"/>
              <w:jc w:val="center"/>
              <w:rPr>
                <w:rFonts w:cs="Arial"/>
                <w:sz w:val="22"/>
                <w:szCs w:val="22"/>
              </w:rPr>
            </w:pPr>
            <w:r w:rsidRPr="00A8320F">
              <w:rPr>
                <w:rFonts w:cs="Arial"/>
                <w:sz w:val="22"/>
                <w:szCs w:val="22"/>
              </w:rPr>
              <w:t>18.58 ± 9.72</w:t>
            </w:r>
            <w:r w:rsidR="00C37B89">
              <w:rPr>
                <w:rFonts w:cs="Arial"/>
                <w:sz w:val="22"/>
                <w:szCs w:val="22"/>
              </w:rPr>
              <w:t>*</w:t>
            </w:r>
          </w:p>
          <w:p w14:paraId="4FDB715A" w14:textId="77777777" w:rsidR="00252675" w:rsidRPr="00A8320F" w:rsidRDefault="00252675" w:rsidP="006E6D91">
            <w:pPr>
              <w:spacing w:line="276" w:lineRule="auto"/>
              <w:jc w:val="center"/>
              <w:rPr>
                <w:rFonts w:cs="Arial"/>
                <w:sz w:val="22"/>
                <w:szCs w:val="22"/>
              </w:rPr>
            </w:pPr>
            <w:r w:rsidRPr="00A8320F">
              <w:rPr>
                <w:rFonts w:cs="Arial"/>
                <w:sz w:val="22"/>
                <w:szCs w:val="22"/>
              </w:rPr>
              <w:t>27.62 ± 11.53</w:t>
            </w:r>
            <w:r>
              <w:rPr>
                <w:rFonts w:cs="Arial"/>
                <w:sz w:val="22"/>
                <w:szCs w:val="22"/>
              </w:rPr>
              <w:t>*</w:t>
            </w:r>
          </w:p>
          <w:p w14:paraId="309867B2" w14:textId="77777777" w:rsidR="00252675" w:rsidRPr="00A8320F" w:rsidRDefault="00252675" w:rsidP="006E6D91">
            <w:pPr>
              <w:spacing w:line="276" w:lineRule="auto"/>
              <w:jc w:val="center"/>
              <w:rPr>
                <w:rFonts w:cs="Arial"/>
                <w:sz w:val="22"/>
                <w:szCs w:val="22"/>
              </w:rPr>
            </w:pPr>
            <w:r w:rsidRPr="00A8320F">
              <w:rPr>
                <w:rFonts w:cs="Arial"/>
                <w:sz w:val="22"/>
                <w:szCs w:val="22"/>
              </w:rPr>
              <w:t>4.10 ± 4.55</w:t>
            </w:r>
          </w:p>
        </w:tc>
      </w:tr>
      <w:tr w:rsidR="00252675" w:rsidRPr="00A8320F" w14:paraId="102D10DA" w14:textId="77777777" w:rsidTr="006B3A14">
        <w:tc>
          <w:tcPr>
            <w:tcW w:w="2875" w:type="dxa"/>
            <w:tcBorders>
              <w:bottom w:val="single" w:sz="4" w:space="0" w:color="auto"/>
            </w:tcBorders>
          </w:tcPr>
          <w:p w14:paraId="57733D4E" w14:textId="77777777" w:rsidR="00252675" w:rsidRPr="00A8320F" w:rsidRDefault="00252675" w:rsidP="008009D0">
            <w:pPr>
              <w:spacing w:line="276" w:lineRule="auto"/>
              <w:jc w:val="both"/>
              <w:rPr>
                <w:rFonts w:cs="Arial"/>
                <w:sz w:val="22"/>
                <w:szCs w:val="22"/>
              </w:rPr>
            </w:pPr>
            <w:r w:rsidRPr="00A8320F">
              <w:rPr>
                <w:rFonts w:cs="Arial"/>
                <w:sz w:val="22"/>
                <w:szCs w:val="22"/>
              </w:rPr>
              <w:t>Phoneme Monitoring (%)</w:t>
            </w:r>
          </w:p>
          <w:p w14:paraId="7B03CD79" w14:textId="09AD1D0F" w:rsidR="00252675" w:rsidRPr="00A8320F" w:rsidRDefault="00252675" w:rsidP="008009D0">
            <w:pPr>
              <w:spacing w:line="276" w:lineRule="auto"/>
              <w:ind w:left="608"/>
              <w:jc w:val="both"/>
              <w:rPr>
                <w:rFonts w:cs="Arial"/>
                <w:sz w:val="22"/>
                <w:szCs w:val="22"/>
              </w:rPr>
            </w:pPr>
            <w:r w:rsidRPr="00A8320F">
              <w:rPr>
                <w:rFonts w:cs="Arial"/>
                <w:sz w:val="22"/>
                <w:szCs w:val="22"/>
              </w:rPr>
              <w:t>Tally</w:t>
            </w:r>
          </w:p>
          <w:p w14:paraId="5BEE89A0" w14:textId="77777777" w:rsidR="00252675" w:rsidRPr="00A8320F" w:rsidRDefault="00252675" w:rsidP="008009D0">
            <w:pPr>
              <w:spacing w:line="276" w:lineRule="auto"/>
              <w:ind w:firstLine="608"/>
              <w:jc w:val="both"/>
              <w:rPr>
                <w:rFonts w:cs="Arial"/>
                <w:sz w:val="22"/>
                <w:szCs w:val="22"/>
              </w:rPr>
            </w:pPr>
            <w:r w:rsidRPr="00A8320F">
              <w:rPr>
                <w:rFonts w:cs="Arial"/>
                <w:sz w:val="22"/>
                <w:szCs w:val="22"/>
              </w:rPr>
              <w:t>Score</w:t>
            </w:r>
          </w:p>
        </w:tc>
        <w:tc>
          <w:tcPr>
            <w:tcW w:w="1890" w:type="dxa"/>
            <w:tcBorders>
              <w:bottom w:val="single" w:sz="4" w:space="0" w:color="auto"/>
            </w:tcBorders>
          </w:tcPr>
          <w:p w14:paraId="6922A3E7" w14:textId="77777777" w:rsidR="00252675" w:rsidRPr="00A8320F" w:rsidRDefault="00252675" w:rsidP="006E6D91">
            <w:pPr>
              <w:spacing w:line="276" w:lineRule="auto"/>
              <w:jc w:val="center"/>
              <w:rPr>
                <w:rFonts w:cs="Arial"/>
                <w:sz w:val="22"/>
                <w:szCs w:val="22"/>
              </w:rPr>
            </w:pPr>
          </w:p>
          <w:p w14:paraId="70F6BA85" w14:textId="77777777" w:rsidR="00252675" w:rsidRPr="00A8320F" w:rsidRDefault="00252675" w:rsidP="006E6D91">
            <w:pPr>
              <w:spacing w:line="276" w:lineRule="auto"/>
              <w:jc w:val="center"/>
              <w:rPr>
                <w:rFonts w:cs="Arial"/>
                <w:sz w:val="22"/>
                <w:szCs w:val="22"/>
              </w:rPr>
            </w:pPr>
            <w:r w:rsidRPr="00A8320F">
              <w:rPr>
                <w:rFonts w:cs="Arial"/>
                <w:sz w:val="22"/>
                <w:szCs w:val="22"/>
              </w:rPr>
              <w:t>87.30 ± 9.98</w:t>
            </w:r>
          </w:p>
          <w:p w14:paraId="445E65D8" w14:textId="77777777" w:rsidR="00252675" w:rsidRPr="00A8320F" w:rsidRDefault="00252675" w:rsidP="006E6D91">
            <w:pPr>
              <w:spacing w:line="276" w:lineRule="auto"/>
              <w:jc w:val="center"/>
              <w:rPr>
                <w:rFonts w:cs="Arial"/>
                <w:sz w:val="22"/>
                <w:szCs w:val="22"/>
              </w:rPr>
            </w:pPr>
            <w:r w:rsidRPr="00A8320F">
              <w:rPr>
                <w:rFonts w:cs="Arial"/>
                <w:sz w:val="22"/>
                <w:szCs w:val="22"/>
              </w:rPr>
              <w:t>62.66 ± 26.20</w:t>
            </w:r>
          </w:p>
        </w:tc>
        <w:tc>
          <w:tcPr>
            <w:tcW w:w="1842" w:type="dxa"/>
            <w:tcBorders>
              <w:bottom w:val="single" w:sz="4" w:space="0" w:color="auto"/>
            </w:tcBorders>
          </w:tcPr>
          <w:p w14:paraId="7475EE1A" w14:textId="77777777" w:rsidR="00252675" w:rsidRPr="00A8320F" w:rsidRDefault="00252675" w:rsidP="006E6D91">
            <w:pPr>
              <w:spacing w:line="276" w:lineRule="auto"/>
              <w:jc w:val="center"/>
              <w:rPr>
                <w:rFonts w:cs="Arial"/>
                <w:sz w:val="22"/>
                <w:szCs w:val="22"/>
              </w:rPr>
            </w:pPr>
          </w:p>
          <w:p w14:paraId="6B3C4518" w14:textId="77777777" w:rsidR="00252675" w:rsidRPr="00A8320F" w:rsidRDefault="00252675" w:rsidP="006E6D91">
            <w:pPr>
              <w:spacing w:line="276" w:lineRule="auto"/>
              <w:jc w:val="center"/>
              <w:rPr>
                <w:rFonts w:cs="Arial"/>
                <w:sz w:val="22"/>
                <w:szCs w:val="22"/>
              </w:rPr>
            </w:pPr>
            <w:r w:rsidRPr="00A8320F">
              <w:rPr>
                <w:rFonts w:cs="Arial"/>
                <w:sz w:val="22"/>
                <w:szCs w:val="22"/>
              </w:rPr>
              <w:t>79.11 ± 17.29</w:t>
            </w:r>
          </w:p>
          <w:p w14:paraId="0233880F" w14:textId="77777777" w:rsidR="00252675" w:rsidRPr="00A8320F" w:rsidRDefault="00252675" w:rsidP="006E6D91">
            <w:pPr>
              <w:spacing w:line="276" w:lineRule="auto"/>
              <w:jc w:val="center"/>
              <w:rPr>
                <w:rFonts w:cs="Arial"/>
                <w:sz w:val="22"/>
                <w:szCs w:val="22"/>
              </w:rPr>
            </w:pPr>
            <w:r w:rsidRPr="00A8320F">
              <w:rPr>
                <w:rFonts w:cs="Arial"/>
                <w:sz w:val="22"/>
                <w:szCs w:val="22"/>
              </w:rPr>
              <w:t>50.94 ± 29.00</w:t>
            </w:r>
          </w:p>
        </w:tc>
        <w:tc>
          <w:tcPr>
            <w:tcW w:w="1778" w:type="dxa"/>
            <w:tcBorders>
              <w:bottom w:val="single" w:sz="4" w:space="0" w:color="auto"/>
            </w:tcBorders>
          </w:tcPr>
          <w:p w14:paraId="0DF74EF1" w14:textId="77777777" w:rsidR="00252675" w:rsidRPr="00A8320F" w:rsidRDefault="00252675" w:rsidP="006E6D91">
            <w:pPr>
              <w:spacing w:line="276" w:lineRule="auto"/>
              <w:jc w:val="center"/>
              <w:rPr>
                <w:rFonts w:cs="Arial"/>
                <w:sz w:val="22"/>
                <w:szCs w:val="22"/>
              </w:rPr>
            </w:pPr>
          </w:p>
          <w:p w14:paraId="639C1C76" w14:textId="77777777" w:rsidR="00252675" w:rsidRPr="00A8320F" w:rsidRDefault="00252675" w:rsidP="006E6D91">
            <w:pPr>
              <w:spacing w:line="276" w:lineRule="auto"/>
              <w:jc w:val="center"/>
              <w:rPr>
                <w:rFonts w:cs="Arial"/>
                <w:sz w:val="22"/>
                <w:szCs w:val="22"/>
              </w:rPr>
            </w:pPr>
            <w:r w:rsidRPr="00A8320F">
              <w:rPr>
                <w:rFonts w:cs="Arial"/>
                <w:sz w:val="22"/>
                <w:szCs w:val="22"/>
              </w:rPr>
              <w:t>88.23 ± 14.91</w:t>
            </w:r>
          </w:p>
          <w:p w14:paraId="76FCD273" w14:textId="77777777" w:rsidR="00252675" w:rsidRPr="00A8320F" w:rsidRDefault="00252675" w:rsidP="006E6D91">
            <w:pPr>
              <w:spacing w:line="276" w:lineRule="auto"/>
              <w:jc w:val="center"/>
              <w:rPr>
                <w:rFonts w:cs="Arial"/>
                <w:sz w:val="22"/>
                <w:szCs w:val="22"/>
              </w:rPr>
            </w:pPr>
            <w:r w:rsidRPr="00A8320F">
              <w:rPr>
                <w:rFonts w:cs="Arial"/>
                <w:sz w:val="22"/>
                <w:szCs w:val="22"/>
              </w:rPr>
              <w:t>50.21 ± 25.57</w:t>
            </w:r>
          </w:p>
        </w:tc>
        <w:tc>
          <w:tcPr>
            <w:tcW w:w="1778" w:type="dxa"/>
            <w:tcBorders>
              <w:bottom w:val="single" w:sz="4" w:space="0" w:color="auto"/>
            </w:tcBorders>
          </w:tcPr>
          <w:p w14:paraId="5C228215" w14:textId="77777777" w:rsidR="00252675" w:rsidRPr="00A8320F" w:rsidRDefault="00252675" w:rsidP="006E6D91">
            <w:pPr>
              <w:spacing w:line="276" w:lineRule="auto"/>
              <w:jc w:val="center"/>
              <w:rPr>
                <w:rFonts w:cs="Arial"/>
                <w:sz w:val="22"/>
                <w:szCs w:val="22"/>
              </w:rPr>
            </w:pPr>
          </w:p>
          <w:p w14:paraId="32E546A8" w14:textId="77777777" w:rsidR="00252675" w:rsidRPr="00A8320F" w:rsidRDefault="00252675" w:rsidP="006E6D91">
            <w:pPr>
              <w:spacing w:line="276" w:lineRule="auto"/>
              <w:jc w:val="center"/>
              <w:rPr>
                <w:rFonts w:cs="Arial"/>
                <w:sz w:val="22"/>
                <w:szCs w:val="22"/>
              </w:rPr>
            </w:pPr>
            <w:r w:rsidRPr="00A8320F">
              <w:rPr>
                <w:rFonts w:cs="Arial"/>
                <w:sz w:val="22"/>
                <w:szCs w:val="22"/>
              </w:rPr>
              <w:t>87.39 ± 13.36</w:t>
            </w:r>
          </w:p>
          <w:p w14:paraId="20D46B82" w14:textId="77777777" w:rsidR="00252675" w:rsidRPr="00A8320F" w:rsidRDefault="00252675" w:rsidP="006E6D91">
            <w:pPr>
              <w:spacing w:line="276" w:lineRule="auto"/>
              <w:jc w:val="center"/>
              <w:rPr>
                <w:rFonts w:cs="Arial"/>
                <w:sz w:val="22"/>
                <w:szCs w:val="22"/>
              </w:rPr>
            </w:pPr>
            <w:r w:rsidRPr="00A8320F">
              <w:rPr>
                <w:rFonts w:cs="Arial"/>
                <w:sz w:val="22"/>
                <w:szCs w:val="22"/>
              </w:rPr>
              <w:t>53.75 ± 25.62</w:t>
            </w:r>
          </w:p>
        </w:tc>
      </w:tr>
      <w:tr w:rsidR="00252675" w:rsidRPr="00A8320F" w14:paraId="212B929D" w14:textId="77777777" w:rsidTr="006B3A14">
        <w:tc>
          <w:tcPr>
            <w:tcW w:w="10163" w:type="dxa"/>
            <w:gridSpan w:val="5"/>
            <w:tcBorders>
              <w:top w:val="single" w:sz="4" w:space="0" w:color="auto"/>
            </w:tcBorders>
          </w:tcPr>
          <w:p w14:paraId="2BEC3EA2" w14:textId="77777777" w:rsidR="00252675" w:rsidRPr="00A8320F" w:rsidRDefault="00252675" w:rsidP="008009D0">
            <w:pPr>
              <w:spacing w:line="276" w:lineRule="auto"/>
              <w:jc w:val="both"/>
              <w:rPr>
                <w:rFonts w:cs="Arial"/>
                <w:sz w:val="22"/>
                <w:szCs w:val="22"/>
              </w:rPr>
            </w:pPr>
            <w:r w:rsidRPr="00A8320F">
              <w:rPr>
                <w:rFonts w:cs="Arial"/>
                <w:sz w:val="22"/>
                <w:szCs w:val="22"/>
              </w:rPr>
              <w:t>Note: ST = single-task, DT = dual-task, OFF = off-medication state, ON = on-medication state. * = ON significantly different than OFF</w:t>
            </w:r>
            <w:r>
              <w:rPr>
                <w:rFonts w:cs="Arial"/>
                <w:sz w:val="22"/>
                <w:szCs w:val="22"/>
              </w:rPr>
              <w:t xml:space="preserve"> within the same task.</w:t>
            </w:r>
            <w:r w:rsidRPr="00A8320F">
              <w:rPr>
                <w:rFonts w:cs="Arial"/>
                <w:sz w:val="22"/>
                <w:szCs w:val="22"/>
              </w:rPr>
              <w:t xml:space="preserve"> </w:t>
            </w:r>
            <w:r w:rsidRPr="006C2A15">
              <w:rPr>
                <w:rFonts w:cs="Arial"/>
                <w:sz w:val="22"/>
                <w:szCs w:val="22"/>
              </w:rPr>
              <w:t>† = DT significantly different than ST within the same medication state</w:t>
            </w:r>
            <w:r>
              <w:rPr>
                <w:rFonts w:cs="Arial"/>
                <w:sz w:val="22"/>
                <w:szCs w:val="22"/>
              </w:rPr>
              <w:t>.</w:t>
            </w:r>
          </w:p>
        </w:tc>
      </w:tr>
    </w:tbl>
    <w:p w14:paraId="6AE0A56C" w14:textId="77777777" w:rsidR="00D009DF" w:rsidRDefault="00D009DF" w:rsidP="008009D0">
      <w:pPr>
        <w:jc w:val="both"/>
        <w:rPr>
          <w:rFonts w:cs="Arial"/>
        </w:rPr>
      </w:pPr>
      <w:r>
        <w:rPr>
          <w:rFonts w:cs="Arial"/>
        </w:rPr>
        <w:br w:type="page"/>
      </w:r>
    </w:p>
    <w:p w14:paraId="37D85FE8" w14:textId="7DF77DD1" w:rsidR="00D009DF" w:rsidRPr="00CA422F" w:rsidRDefault="00D009DF" w:rsidP="008009D0">
      <w:pPr>
        <w:jc w:val="both"/>
        <w:rPr>
          <w:rFonts w:cs="Arial"/>
        </w:rPr>
      </w:pPr>
    </w:p>
    <w:p w14:paraId="1A0B2F71" w14:textId="77777777" w:rsidR="00FD6D80" w:rsidRDefault="00D009DF" w:rsidP="007647AD">
      <w:pPr>
        <w:keepNext/>
        <w:jc w:val="center"/>
      </w:pPr>
      <w:r>
        <w:rPr>
          <w:rFonts w:cs="Arial"/>
          <w:b/>
          <w:noProof/>
        </w:rPr>
        <w:drawing>
          <wp:inline distT="0" distB="0" distL="0" distR="0" wp14:anchorId="01ED2210" wp14:editId="0140680E">
            <wp:extent cx="4572000" cy="523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sorsFigure1.tif"/>
                    <pic:cNvPicPr/>
                  </pic:nvPicPr>
                  <pic:blipFill>
                    <a:blip r:embed="rId21"/>
                    <a:stretch>
                      <a:fillRect/>
                    </a:stretch>
                  </pic:blipFill>
                  <pic:spPr>
                    <a:xfrm>
                      <a:off x="0" y="0"/>
                      <a:ext cx="4572000" cy="5232400"/>
                    </a:xfrm>
                    <a:prstGeom prst="rect">
                      <a:avLst/>
                    </a:prstGeom>
                  </pic:spPr>
                </pic:pic>
              </a:graphicData>
            </a:graphic>
          </wp:inline>
        </w:drawing>
      </w:r>
    </w:p>
    <w:p w14:paraId="0987A1D7" w14:textId="475AAFE1" w:rsidR="00D54EA8" w:rsidRPr="00D54EA8" w:rsidRDefault="00FD6D80" w:rsidP="008009D0">
      <w:pPr>
        <w:pStyle w:val="Caption"/>
        <w:jc w:val="both"/>
        <w:rPr>
          <w:b w:val="0"/>
          <w:sz w:val="24"/>
          <w:szCs w:val="24"/>
        </w:rPr>
      </w:pPr>
      <w:bookmarkStart w:id="29" w:name="_Toc527361784"/>
      <w:r w:rsidRPr="00F61728">
        <w:rPr>
          <w:b w:val="0"/>
          <w:sz w:val="24"/>
          <w:szCs w:val="24"/>
        </w:rPr>
        <w:t xml:space="preserve">Figure </w:t>
      </w:r>
      <w:r w:rsidRPr="00F61728">
        <w:rPr>
          <w:b w:val="0"/>
          <w:sz w:val="24"/>
          <w:szCs w:val="24"/>
        </w:rPr>
        <w:fldChar w:fldCharType="begin"/>
      </w:r>
      <w:r w:rsidRPr="00F61728">
        <w:rPr>
          <w:b w:val="0"/>
          <w:sz w:val="24"/>
          <w:szCs w:val="24"/>
        </w:rPr>
        <w:instrText xml:space="preserve"> SEQ Figure \* ARABIC </w:instrText>
      </w:r>
      <w:r w:rsidRPr="00F61728">
        <w:rPr>
          <w:b w:val="0"/>
          <w:sz w:val="24"/>
          <w:szCs w:val="24"/>
        </w:rPr>
        <w:fldChar w:fldCharType="separate"/>
      </w:r>
      <w:r w:rsidR="006C3AB1">
        <w:rPr>
          <w:b w:val="0"/>
          <w:sz w:val="24"/>
          <w:szCs w:val="24"/>
        </w:rPr>
        <w:t>1</w:t>
      </w:r>
      <w:r w:rsidRPr="00F61728">
        <w:rPr>
          <w:b w:val="0"/>
          <w:sz w:val="24"/>
          <w:szCs w:val="24"/>
        </w:rPr>
        <w:fldChar w:fldCharType="end"/>
      </w:r>
      <w:r w:rsidRPr="00F61728">
        <w:rPr>
          <w:b w:val="0"/>
          <w:sz w:val="24"/>
          <w:szCs w:val="24"/>
        </w:rPr>
        <w:t>.</w:t>
      </w:r>
      <w:r w:rsidRPr="00CA422F">
        <w:rPr>
          <w:b w:val="0"/>
          <w:sz w:val="24"/>
          <w:szCs w:val="24"/>
        </w:rPr>
        <w:t xml:space="preserve"> </w:t>
      </w:r>
      <w:r w:rsidR="00D54EA8" w:rsidRPr="00D54EA8">
        <w:rPr>
          <w:b w:val="0"/>
          <w:sz w:val="24"/>
          <w:szCs w:val="24"/>
        </w:rPr>
        <w:t xml:space="preserve">Xsens sensor locations (17 total) on the head, sternum, posterior pelvis (i.e., L5/Sacrum), and bilaterally on the shoulders, upper arms, </w:t>
      </w:r>
      <w:r w:rsidR="00F9737A">
        <w:rPr>
          <w:b w:val="0"/>
          <w:sz w:val="24"/>
          <w:szCs w:val="24"/>
        </w:rPr>
        <w:t>forearms</w:t>
      </w:r>
      <w:r w:rsidR="00D54EA8" w:rsidRPr="00D54EA8">
        <w:rPr>
          <w:b w:val="0"/>
          <w:sz w:val="24"/>
          <w:szCs w:val="24"/>
        </w:rPr>
        <w:t xml:space="preserve">, hands, </w:t>
      </w:r>
      <w:r w:rsidR="00F9737A">
        <w:rPr>
          <w:b w:val="0"/>
          <w:sz w:val="24"/>
          <w:szCs w:val="24"/>
        </w:rPr>
        <w:t>thighs</w:t>
      </w:r>
      <w:r w:rsidR="00D54EA8" w:rsidRPr="00D54EA8">
        <w:rPr>
          <w:b w:val="0"/>
          <w:sz w:val="24"/>
          <w:szCs w:val="24"/>
        </w:rPr>
        <w:t>, lower legs, and feet. Sensors are show</w:t>
      </w:r>
      <w:r w:rsidR="00D0142A">
        <w:rPr>
          <w:b w:val="0"/>
          <w:sz w:val="24"/>
          <w:szCs w:val="24"/>
        </w:rPr>
        <w:t>n</w:t>
      </w:r>
      <w:r w:rsidR="00D54EA8" w:rsidRPr="00D54EA8">
        <w:rPr>
          <w:b w:val="0"/>
          <w:sz w:val="24"/>
          <w:szCs w:val="24"/>
        </w:rPr>
        <w:t xml:space="preserve"> on top of straps for </w:t>
      </w:r>
      <w:r w:rsidR="00D0142A">
        <w:rPr>
          <w:b w:val="0"/>
          <w:sz w:val="24"/>
          <w:szCs w:val="24"/>
        </w:rPr>
        <w:t>clear</w:t>
      </w:r>
      <w:r w:rsidR="00D0142A" w:rsidRPr="00D54EA8">
        <w:rPr>
          <w:b w:val="0"/>
          <w:sz w:val="24"/>
          <w:szCs w:val="24"/>
        </w:rPr>
        <w:t xml:space="preserve"> </w:t>
      </w:r>
      <w:r w:rsidR="00D54EA8" w:rsidRPr="00D54EA8">
        <w:rPr>
          <w:b w:val="0"/>
          <w:sz w:val="24"/>
          <w:szCs w:val="24"/>
        </w:rPr>
        <w:t>visualization.</w:t>
      </w:r>
      <w:bookmarkEnd w:id="29"/>
    </w:p>
    <w:p w14:paraId="31A3D431" w14:textId="09E9AC93" w:rsidR="00D009DF" w:rsidRDefault="00D009DF" w:rsidP="008009D0">
      <w:pPr>
        <w:jc w:val="both"/>
        <w:rPr>
          <w:rFonts w:cs="Arial"/>
          <w:b/>
        </w:rPr>
      </w:pPr>
      <w:r>
        <w:rPr>
          <w:rFonts w:cs="Arial"/>
          <w:b/>
        </w:rPr>
        <w:br w:type="page"/>
      </w:r>
    </w:p>
    <w:p w14:paraId="33C0F60D" w14:textId="77777777" w:rsidR="00FE248A" w:rsidRDefault="00CC44F7" w:rsidP="0050170F">
      <w:pPr>
        <w:keepNext/>
        <w:jc w:val="center"/>
      </w:pPr>
      <w:r>
        <w:rPr>
          <w:rFonts w:cs="Arial"/>
          <w:b/>
          <w:noProof/>
        </w:rPr>
        <w:lastRenderedPageBreak/>
        <w:drawing>
          <wp:inline distT="0" distB="0" distL="0" distR="0" wp14:anchorId="7B2D3663" wp14:editId="05B2620B">
            <wp:extent cx="5943600" cy="6293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neeJointExample.pdf"/>
                    <pic:cNvPicPr/>
                  </pic:nvPicPr>
                  <pic:blipFill>
                    <a:blip r:embed="rId22"/>
                    <a:stretch>
                      <a:fillRect/>
                    </a:stretch>
                  </pic:blipFill>
                  <pic:spPr>
                    <a:xfrm>
                      <a:off x="0" y="0"/>
                      <a:ext cx="5943600" cy="6293485"/>
                    </a:xfrm>
                    <a:prstGeom prst="rect">
                      <a:avLst/>
                    </a:prstGeom>
                  </pic:spPr>
                </pic:pic>
              </a:graphicData>
            </a:graphic>
          </wp:inline>
        </w:drawing>
      </w:r>
    </w:p>
    <w:p w14:paraId="75102A78" w14:textId="2B27F822" w:rsidR="00D009DF" w:rsidRPr="00970A83" w:rsidRDefault="00FE248A" w:rsidP="008009D0">
      <w:pPr>
        <w:pStyle w:val="Caption"/>
        <w:jc w:val="both"/>
        <w:rPr>
          <w:b w:val="0"/>
          <w:sz w:val="24"/>
          <w:szCs w:val="24"/>
        </w:rPr>
      </w:pPr>
      <w:bookmarkStart w:id="30" w:name="_Toc527361785"/>
      <w:r w:rsidRPr="00A52D0F">
        <w:rPr>
          <w:b w:val="0"/>
          <w:sz w:val="24"/>
          <w:szCs w:val="24"/>
        </w:rPr>
        <w:t xml:space="preserve">Figure </w:t>
      </w:r>
      <w:r w:rsidRPr="00A52D0F">
        <w:rPr>
          <w:b w:val="0"/>
          <w:sz w:val="24"/>
          <w:szCs w:val="24"/>
        </w:rPr>
        <w:fldChar w:fldCharType="begin"/>
      </w:r>
      <w:r w:rsidRPr="00A52D0F">
        <w:rPr>
          <w:b w:val="0"/>
          <w:sz w:val="24"/>
          <w:szCs w:val="24"/>
        </w:rPr>
        <w:instrText xml:space="preserve"> SEQ Figure \* ARABIC </w:instrText>
      </w:r>
      <w:r w:rsidRPr="00A52D0F">
        <w:rPr>
          <w:b w:val="0"/>
          <w:sz w:val="24"/>
          <w:szCs w:val="24"/>
        </w:rPr>
        <w:fldChar w:fldCharType="separate"/>
      </w:r>
      <w:r w:rsidR="006C3AB1">
        <w:rPr>
          <w:b w:val="0"/>
          <w:sz w:val="24"/>
          <w:szCs w:val="24"/>
        </w:rPr>
        <w:t>2</w:t>
      </w:r>
      <w:r w:rsidRPr="00A52D0F">
        <w:rPr>
          <w:b w:val="0"/>
          <w:sz w:val="24"/>
          <w:szCs w:val="24"/>
        </w:rPr>
        <w:fldChar w:fldCharType="end"/>
      </w:r>
      <w:r w:rsidRPr="00A52D0F">
        <w:rPr>
          <w:b w:val="0"/>
          <w:sz w:val="24"/>
          <w:szCs w:val="24"/>
        </w:rPr>
        <w:t xml:space="preserve">. </w:t>
      </w:r>
      <w:r w:rsidR="0082579D" w:rsidRPr="0082579D">
        <w:rPr>
          <w:b w:val="0"/>
          <w:sz w:val="24"/>
          <w:szCs w:val="24"/>
        </w:rPr>
        <w:t>Example of a knee joint signal. The vertical line on the left of the figure represents the absolute change in joint angle measured and collected during data analysis. Note how the secondary peaks are ignored and not included in the joint angle measurements.</w:t>
      </w:r>
      <w:bookmarkEnd w:id="30"/>
      <w:r w:rsidR="00D009DF">
        <w:rPr>
          <w:rFonts w:cs="Arial"/>
          <w:b w:val="0"/>
        </w:rPr>
        <w:br w:type="page"/>
      </w:r>
    </w:p>
    <w:p w14:paraId="4F9FB8E8" w14:textId="30A7BC90" w:rsidR="00970A83" w:rsidRDefault="00D10DE5" w:rsidP="003F1489">
      <w:pPr>
        <w:keepNext/>
        <w:jc w:val="center"/>
      </w:pPr>
      <w:r>
        <w:rPr>
          <w:rFonts w:cs="Arial"/>
          <w:noProof/>
        </w:rPr>
        <w:lastRenderedPageBreak/>
        <w:drawing>
          <wp:inline distT="0" distB="0" distL="0" distR="0" wp14:anchorId="2DF9B50F" wp14:editId="4D90BC74">
            <wp:extent cx="4815840" cy="48158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ltaDTEVelocityCircle.pdf"/>
                    <pic:cNvPicPr/>
                  </pic:nvPicPr>
                  <pic:blipFill>
                    <a:blip r:embed="rId23"/>
                    <a:stretch>
                      <a:fillRect/>
                    </a:stretch>
                  </pic:blipFill>
                  <pic:spPr>
                    <a:xfrm>
                      <a:off x="0" y="0"/>
                      <a:ext cx="4815840" cy="4815840"/>
                    </a:xfrm>
                    <a:prstGeom prst="rect">
                      <a:avLst/>
                    </a:prstGeom>
                  </pic:spPr>
                </pic:pic>
              </a:graphicData>
            </a:graphic>
          </wp:inline>
        </w:drawing>
      </w:r>
    </w:p>
    <w:p w14:paraId="244F98DD" w14:textId="5AF33A98" w:rsidR="00CE4D06" w:rsidRPr="006E59D5" w:rsidRDefault="00970A83" w:rsidP="008009D0">
      <w:pPr>
        <w:pStyle w:val="Caption"/>
        <w:jc w:val="both"/>
        <w:rPr>
          <w:rFonts w:cs="Arial"/>
          <w:b w:val="0"/>
          <w:sz w:val="24"/>
          <w:szCs w:val="24"/>
        </w:rPr>
      </w:pPr>
      <w:bookmarkStart w:id="31" w:name="_Toc527361786"/>
      <w:r w:rsidRPr="00970A83">
        <w:rPr>
          <w:b w:val="0"/>
          <w:sz w:val="24"/>
          <w:szCs w:val="24"/>
        </w:rPr>
        <w:t xml:space="preserve">Figure </w:t>
      </w:r>
      <w:r w:rsidRPr="00970A83">
        <w:rPr>
          <w:b w:val="0"/>
          <w:sz w:val="24"/>
          <w:szCs w:val="24"/>
        </w:rPr>
        <w:fldChar w:fldCharType="begin"/>
      </w:r>
      <w:r w:rsidRPr="00970A83">
        <w:rPr>
          <w:b w:val="0"/>
          <w:sz w:val="24"/>
          <w:szCs w:val="24"/>
        </w:rPr>
        <w:instrText xml:space="preserve"> SEQ Figure \* ARABIC </w:instrText>
      </w:r>
      <w:r w:rsidRPr="00970A83">
        <w:rPr>
          <w:b w:val="0"/>
          <w:sz w:val="24"/>
          <w:szCs w:val="24"/>
        </w:rPr>
        <w:fldChar w:fldCharType="separate"/>
      </w:r>
      <w:r w:rsidR="006C3AB1">
        <w:rPr>
          <w:b w:val="0"/>
          <w:sz w:val="24"/>
          <w:szCs w:val="24"/>
        </w:rPr>
        <w:t>3</w:t>
      </w:r>
      <w:r w:rsidRPr="00970A83">
        <w:rPr>
          <w:b w:val="0"/>
          <w:sz w:val="24"/>
          <w:szCs w:val="24"/>
        </w:rPr>
        <w:fldChar w:fldCharType="end"/>
      </w:r>
      <w:r w:rsidRPr="00970A83">
        <w:rPr>
          <w:rFonts w:cs="Arial"/>
          <w:b w:val="0"/>
          <w:sz w:val="24"/>
          <w:szCs w:val="24"/>
        </w:rPr>
        <w:t xml:space="preserve">. </w:t>
      </w:r>
      <w:r w:rsidR="00810D70" w:rsidRPr="00810D70">
        <w:rPr>
          <w:rFonts w:cs="Arial"/>
          <w:b w:val="0"/>
          <w:sz w:val="24"/>
          <w:szCs w:val="24"/>
        </w:rPr>
        <w:t>Plot of the change in dual-task effect for velocity. Each point represents the change in dual-task effect for a subject from OFF to ON and is plotted with the change in dual-task effect for gait velocity as ‘x’ and the change in dual-task effect for phoneme tally as ‘y’. The quadrants are labeled to indicate the relationship between the primary and secondary tasks. Points arbitrarily within a circle of radius 10 (minimal clinically meaningful differences are unknown) about the origin are interpreted as ‘no effect’. Note that several subjects experienced either ‘no effect’ or shifted to a ‘cognitive priority’ dual-task strategy when ON.</w:t>
      </w:r>
      <w:bookmarkEnd w:id="31"/>
      <w:r w:rsidR="00CE4D06">
        <w:br w:type="page"/>
      </w:r>
    </w:p>
    <w:p w14:paraId="19514E9F" w14:textId="4E9414C5" w:rsidR="00234E8C" w:rsidRPr="00AC77E2" w:rsidRDefault="005E4887" w:rsidP="008009D0">
      <w:pPr>
        <w:pStyle w:val="Heading1"/>
        <w:jc w:val="both"/>
      </w:pPr>
      <w:bookmarkStart w:id="32" w:name="_Toc527361741"/>
      <w:r w:rsidRPr="00AC77E2">
        <w:lastRenderedPageBreak/>
        <w:t>Manuscript 2</w:t>
      </w:r>
      <w:r w:rsidR="0041190C" w:rsidRPr="00AC77E2">
        <w:t>, Balance Automaticity</w:t>
      </w:r>
      <w:bookmarkEnd w:id="32"/>
    </w:p>
    <w:p w14:paraId="3DDCF10D" w14:textId="77777777" w:rsidR="00533FFE" w:rsidRPr="00D00C05" w:rsidRDefault="00533FFE" w:rsidP="008009D0">
      <w:pPr>
        <w:pStyle w:val="Heading2"/>
        <w:jc w:val="both"/>
      </w:pPr>
      <w:bookmarkStart w:id="33" w:name="_Toc527361742"/>
      <w:r w:rsidRPr="00D00C05">
        <w:t>Title Page</w:t>
      </w:r>
      <w:bookmarkEnd w:id="33"/>
    </w:p>
    <w:p w14:paraId="3B6B3FF7" w14:textId="77777777" w:rsidR="007116F8" w:rsidRPr="00864B56" w:rsidRDefault="007116F8" w:rsidP="008009D0">
      <w:pPr>
        <w:jc w:val="both"/>
      </w:pPr>
      <w:r w:rsidRPr="00864B56">
        <w:t xml:space="preserve">Title: The Influence of Dopaminergic Medication on </w:t>
      </w:r>
      <w:r>
        <w:t>Balance Automaticity</w:t>
      </w:r>
      <w:r w:rsidRPr="00864B56">
        <w:t xml:space="preserve"> in Parkinson’s Disease.</w:t>
      </w:r>
    </w:p>
    <w:p w14:paraId="1C81AA8B" w14:textId="77777777" w:rsidR="007116F8" w:rsidRPr="005C36F0" w:rsidRDefault="007116F8" w:rsidP="008009D0">
      <w:pPr>
        <w:jc w:val="both"/>
      </w:pPr>
      <w:r w:rsidRPr="00864B56">
        <w:t>Workman, Craig D.</w:t>
      </w:r>
      <w:r w:rsidRPr="00864B56">
        <w:rPr>
          <w:vertAlign w:val="superscript"/>
        </w:rPr>
        <w:t>a,b,</w:t>
      </w:r>
      <w:r w:rsidRPr="00864B56">
        <w:t>*, Thrasher, T. Adam</w:t>
      </w:r>
      <w:r w:rsidRPr="00864B56">
        <w:rPr>
          <w:vertAlign w:val="superscript"/>
        </w:rPr>
        <w:t>a,b</w:t>
      </w:r>
    </w:p>
    <w:p w14:paraId="357858BC" w14:textId="77777777" w:rsidR="007116F8" w:rsidRPr="00864B56" w:rsidRDefault="007116F8" w:rsidP="008009D0">
      <w:pPr>
        <w:jc w:val="both"/>
      </w:pPr>
      <w:r w:rsidRPr="00864B56">
        <w:rPr>
          <w:vertAlign w:val="superscript"/>
        </w:rPr>
        <w:t>a</w:t>
      </w:r>
      <w:r w:rsidRPr="00864B56">
        <w:t>Department of Health and Human Performance, University of Houston, 3855 Holman Street, 104 Garrison Gym, Houston, TX,</w:t>
      </w:r>
      <w:r>
        <w:t xml:space="preserve"> 77204</w:t>
      </w:r>
      <w:r w:rsidRPr="00864B56">
        <w:t xml:space="preserve"> USA.</w:t>
      </w:r>
    </w:p>
    <w:p w14:paraId="64F0EDA6" w14:textId="77777777" w:rsidR="007116F8" w:rsidRPr="00864B56" w:rsidRDefault="007116F8" w:rsidP="008009D0">
      <w:pPr>
        <w:jc w:val="both"/>
      </w:pPr>
      <w:r w:rsidRPr="00864B56">
        <w:rPr>
          <w:vertAlign w:val="superscript"/>
        </w:rPr>
        <w:t>b</w:t>
      </w:r>
      <w:r w:rsidRPr="00864B56">
        <w:t xml:space="preserve">Center for Neuromotor and Biomechanics Research, </w:t>
      </w:r>
      <w:r>
        <w:t>4733 Wheeler Ave,</w:t>
      </w:r>
      <w:r w:rsidRPr="00864B56">
        <w:t xml:space="preserve"> Houston, TX </w:t>
      </w:r>
      <w:r>
        <w:t xml:space="preserve">77204 </w:t>
      </w:r>
      <w:r w:rsidRPr="00864B56">
        <w:t>USA.</w:t>
      </w:r>
    </w:p>
    <w:p w14:paraId="09D9F2D8" w14:textId="77777777" w:rsidR="007116F8" w:rsidRPr="00864B56" w:rsidRDefault="007116F8" w:rsidP="008009D0">
      <w:pPr>
        <w:pStyle w:val="NormalWeb"/>
        <w:spacing w:before="0" w:beforeAutospacing="0" w:after="0" w:afterAutospacing="0"/>
        <w:jc w:val="both"/>
        <w:rPr>
          <w:rFonts w:cs="Arial"/>
        </w:rPr>
      </w:pPr>
    </w:p>
    <w:p w14:paraId="0945ED69" w14:textId="77777777" w:rsidR="007116F8" w:rsidRPr="00864B56" w:rsidRDefault="007116F8" w:rsidP="008009D0">
      <w:pPr>
        <w:pStyle w:val="NormalWeb"/>
        <w:spacing w:before="0" w:beforeAutospacing="0" w:after="0" w:afterAutospacing="0"/>
        <w:jc w:val="both"/>
        <w:rPr>
          <w:rFonts w:cs="Arial"/>
        </w:rPr>
      </w:pPr>
      <w:r w:rsidRPr="00864B56">
        <w:rPr>
          <w:rFonts w:cs="Arial"/>
        </w:rPr>
        <w:t>*Corresponding author: Tel.:</w:t>
      </w:r>
      <w:r w:rsidRPr="00864B56">
        <w:rPr>
          <w:rFonts w:cs="Arial"/>
          <w:shd w:val="clear" w:color="auto" w:fill="FFFFFF"/>
        </w:rPr>
        <w:t xml:space="preserve"> </w:t>
      </w:r>
      <w:r w:rsidRPr="00864B56">
        <w:rPr>
          <w:rFonts w:cs="Arial"/>
        </w:rPr>
        <w:t>713-743-5276; fax: 713-743-9860</w:t>
      </w:r>
    </w:p>
    <w:p w14:paraId="5AB19DAC" w14:textId="77777777" w:rsidR="007116F8" w:rsidRPr="00864B56" w:rsidRDefault="007116F8" w:rsidP="008009D0">
      <w:pPr>
        <w:pStyle w:val="NormalWeb"/>
        <w:spacing w:before="0" w:beforeAutospacing="0" w:after="0" w:afterAutospacing="0"/>
        <w:jc w:val="both"/>
        <w:rPr>
          <w:rFonts w:cs="Arial"/>
        </w:rPr>
      </w:pPr>
      <w:r w:rsidRPr="00864B56">
        <w:rPr>
          <w:rFonts w:cs="Arial"/>
          <w:i/>
        </w:rPr>
        <w:t>E-mail addresses</w:t>
      </w:r>
      <w:r w:rsidRPr="00864B56">
        <w:rPr>
          <w:rFonts w:cs="Arial"/>
        </w:rPr>
        <w:t>: cdworkman@uh.edu (C.D. Workman), athrashe@central.uh.edu (T.A. Thrasher)</w:t>
      </w:r>
    </w:p>
    <w:p w14:paraId="6AFAC917" w14:textId="77777777" w:rsidR="007116F8" w:rsidRPr="00864B56" w:rsidRDefault="007116F8" w:rsidP="008009D0">
      <w:pPr>
        <w:pStyle w:val="NormalWeb"/>
        <w:spacing w:before="0" w:beforeAutospacing="0" w:after="0" w:afterAutospacing="0"/>
        <w:jc w:val="both"/>
        <w:rPr>
          <w:rFonts w:cs="Arial"/>
          <w:shd w:val="clear" w:color="auto" w:fill="FFFFFF"/>
        </w:rPr>
      </w:pPr>
    </w:p>
    <w:p w14:paraId="32016FFE" w14:textId="77777777" w:rsidR="007116F8" w:rsidRPr="00864B56" w:rsidRDefault="007116F8" w:rsidP="008009D0">
      <w:pPr>
        <w:pStyle w:val="NormalWeb"/>
        <w:spacing w:before="0" w:beforeAutospacing="0" w:after="0" w:afterAutospacing="0"/>
        <w:jc w:val="both"/>
        <w:rPr>
          <w:rFonts w:cs="Arial"/>
          <w:shd w:val="clear" w:color="auto" w:fill="FFFFFF"/>
        </w:rPr>
      </w:pPr>
    </w:p>
    <w:p w14:paraId="15B1AA89" w14:textId="7C3227D4" w:rsidR="00130384" w:rsidRDefault="007116F8" w:rsidP="008009D0">
      <w:pPr>
        <w:jc w:val="both"/>
        <w:rPr>
          <w:shd w:val="clear" w:color="auto" w:fill="FFFFFF"/>
        </w:rPr>
      </w:pPr>
      <w:r w:rsidRPr="00864B56">
        <w:rPr>
          <w:rFonts w:cs="Arial"/>
          <w:shd w:val="clear" w:color="auto" w:fill="FFFFFF"/>
        </w:rPr>
        <w:t>Acknowledgements:</w:t>
      </w:r>
      <w:r w:rsidRPr="00864B56">
        <w:rPr>
          <w:rFonts w:cs="Arial"/>
        </w:rPr>
        <w:t xml:space="preserve"> </w:t>
      </w:r>
      <w:r w:rsidRPr="00864B56">
        <w:rPr>
          <w:rFonts w:cs="Arial"/>
          <w:shd w:val="clear" w:color="auto" w:fill="FFFFFF"/>
        </w:rPr>
        <w:t xml:space="preserve">This research did not receive any specific grant from funding agencies in the public, commercial, or not-for-profit sectors. The authors would like to thank Ram Kinker Mishra, Raul Amador, and Hyder Jassim for their assistance during data collection. Also, </w:t>
      </w:r>
      <w:r>
        <w:rPr>
          <w:rFonts w:cs="Arial"/>
          <w:shd w:val="clear" w:color="auto" w:fill="FFFFFF"/>
        </w:rPr>
        <w:t xml:space="preserve">Christopher J. Arellano, </w:t>
      </w:r>
      <w:r w:rsidRPr="00864B56">
        <w:rPr>
          <w:rFonts w:cs="Arial"/>
          <w:shd w:val="clear" w:color="auto" w:fill="FFFFFF"/>
        </w:rPr>
        <w:t>Beom-Chan Lee</w:t>
      </w:r>
      <w:r>
        <w:rPr>
          <w:rFonts w:cs="Arial"/>
          <w:shd w:val="clear" w:color="auto" w:fill="FFFFFF"/>
        </w:rPr>
        <w:t>,</w:t>
      </w:r>
      <w:r w:rsidRPr="00864B56">
        <w:rPr>
          <w:rFonts w:cs="Arial"/>
          <w:shd w:val="clear" w:color="auto" w:fill="FFFFFF"/>
        </w:rPr>
        <w:t xml:space="preserve"> and Mon Bryant for proofreading the manuscript. Lastly, the Kingwood, </w:t>
      </w:r>
      <w:r>
        <w:rPr>
          <w:rFonts w:cs="Arial"/>
          <w:shd w:val="clear" w:color="auto" w:fill="FFFFFF"/>
        </w:rPr>
        <w:t xml:space="preserve">North Houston, and The Woodlands </w:t>
      </w:r>
      <w:r w:rsidRPr="00864B56">
        <w:rPr>
          <w:rFonts w:cs="Arial"/>
          <w:shd w:val="clear" w:color="auto" w:fill="FFFFFF"/>
        </w:rPr>
        <w:t>locations of Rock Steady Boxing chapters for their assistance with subject recruitment.</w:t>
      </w:r>
      <w:r w:rsidR="003277D5">
        <w:rPr>
          <w:shd w:val="clear" w:color="auto" w:fill="FFFFFF"/>
        </w:rPr>
        <w:br w:type="page"/>
      </w:r>
    </w:p>
    <w:p w14:paraId="2B920D72" w14:textId="76758664" w:rsidR="00533FFE" w:rsidRPr="003277D5" w:rsidRDefault="00533FFE" w:rsidP="008009D0">
      <w:pPr>
        <w:pStyle w:val="Heading2"/>
        <w:jc w:val="both"/>
        <w:rPr>
          <w:shd w:val="clear" w:color="auto" w:fill="FFFFFF"/>
        </w:rPr>
      </w:pPr>
      <w:bookmarkStart w:id="34" w:name="_Toc527361743"/>
      <w:r w:rsidRPr="00864B56">
        <w:rPr>
          <w:shd w:val="clear" w:color="auto" w:fill="FFFFFF"/>
        </w:rPr>
        <w:lastRenderedPageBreak/>
        <w:t>Abstract</w:t>
      </w:r>
      <w:bookmarkEnd w:id="34"/>
    </w:p>
    <w:p w14:paraId="05BCF210" w14:textId="77777777" w:rsidR="006E06EA" w:rsidRPr="006E06EA" w:rsidRDefault="00533FFE" w:rsidP="008009D0">
      <w:pPr>
        <w:pStyle w:val="NormalWeb"/>
        <w:spacing w:before="0" w:beforeAutospacing="0" w:after="0" w:afterAutospacing="0" w:line="480" w:lineRule="auto"/>
        <w:jc w:val="both"/>
        <w:rPr>
          <w:rFonts w:cs="Arial"/>
          <w:shd w:val="clear" w:color="auto" w:fill="FFFFFF"/>
        </w:rPr>
      </w:pPr>
      <w:r w:rsidRPr="00864B56">
        <w:rPr>
          <w:rFonts w:cs="Arial"/>
          <w:b/>
          <w:shd w:val="clear" w:color="auto" w:fill="FFFFFF"/>
        </w:rPr>
        <w:t>Background:</w:t>
      </w:r>
      <w:r w:rsidRPr="00864B56">
        <w:rPr>
          <w:rFonts w:cs="Arial"/>
          <w:shd w:val="clear" w:color="auto" w:fill="FFFFFF"/>
        </w:rPr>
        <w:t xml:space="preserve"> </w:t>
      </w:r>
      <w:r w:rsidR="006E06EA" w:rsidRPr="006E06EA">
        <w:rPr>
          <w:rFonts w:cs="Arial"/>
          <w:shd w:val="clear" w:color="auto" w:fill="FFFFFF"/>
        </w:rPr>
        <w:t xml:space="preserve">Dual-tasking studies have shown that balance automaticity in Parkinson’s disease (PD) is significantly reduced. Additionally, it is well accepted that dopaminergic medication improves dynamic </w:t>
      </w:r>
      <w:proofErr w:type="gramStart"/>
      <w:r w:rsidR="006E06EA" w:rsidRPr="006E06EA">
        <w:rPr>
          <w:rFonts w:cs="Arial"/>
          <w:shd w:val="clear" w:color="auto" w:fill="FFFFFF"/>
        </w:rPr>
        <w:t>balance, but</w:t>
      </w:r>
      <w:proofErr w:type="gramEnd"/>
      <w:r w:rsidR="006E06EA" w:rsidRPr="006E06EA">
        <w:rPr>
          <w:rFonts w:cs="Arial"/>
          <w:shd w:val="clear" w:color="auto" w:fill="FFFFFF"/>
        </w:rPr>
        <w:t xml:space="preserve"> standing balance may suffer. What remains unknown is how dopaminergic medication influences standing balance automaticity in PD. </w:t>
      </w:r>
      <w:r w:rsidR="006E06EA" w:rsidRPr="006E06EA">
        <w:rPr>
          <w:rFonts w:cs="Arial"/>
          <w:b/>
          <w:shd w:val="clear" w:color="auto" w:fill="FFFFFF"/>
        </w:rPr>
        <w:t>Research Question:</w:t>
      </w:r>
      <w:r w:rsidR="006E06EA" w:rsidRPr="006E06EA">
        <w:rPr>
          <w:rFonts w:cs="Arial"/>
          <w:shd w:val="clear" w:color="auto" w:fill="FFFFFF"/>
        </w:rPr>
        <w:t xml:space="preserve"> Does dopaminergic medication improve standing balance automaticity and dual-tasking in PD? </w:t>
      </w:r>
      <w:r w:rsidR="006E06EA" w:rsidRPr="006E06EA">
        <w:rPr>
          <w:rFonts w:cs="Arial"/>
          <w:b/>
          <w:shd w:val="clear" w:color="auto" w:fill="FFFFFF"/>
        </w:rPr>
        <w:t>Methods:</w:t>
      </w:r>
      <w:r w:rsidR="006E06EA" w:rsidRPr="006E06EA">
        <w:rPr>
          <w:rFonts w:cs="Arial"/>
          <w:shd w:val="clear" w:color="auto" w:fill="FFFFFF"/>
        </w:rPr>
        <w:t xml:space="preserve"> This was a cross-sectional study. Sixteen subjects with PD completed single- and dual-task standing with eyes open and eyes closed for 3 minutes each in off and on medication states. 95% confidence ellipse area, anterior-posterior sway velocity, medial-lateral sway velocity, and integrated time to boundary were calculated. Data were analyzed with a repeated measures ANOVA. </w:t>
      </w:r>
      <w:r w:rsidR="006E06EA" w:rsidRPr="006E06EA">
        <w:rPr>
          <w:rFonts w:cs="Arial"/>
          <w:b/>
          <w:shd w:val="clear" w:color="auto" w:fill="FFFFFF"/>
        </w:rPr>
        <w:t>Results:</w:t>
      </w:r>
      <w:r w:rsidR="006E06EA" w:rsidRPr="006E06EA">
        <w:rPr>
          <w:rFonts w:cs="Arial"/>
          <w:shd w:val="clear" w:color="auto" w:fill="FFFFFF"/>
        </w:rPr>
        <w:t xml:space="preserve"> Dopaminergic medication significantly increased ellipse area (</w:t>
      </w:r>
      <w:r w:rsidR="006E06EA" w:rsidRPr="006E06EA">
        <w:rPr>
          <w:rFonts w:cs="Arial"/>
          <w:i/>
          <w:shd w:val="clear" w:color="auto" w:fill="FFFFFF"/>
        </w:rPr>
        <w:t>p</w:t>
      </w:r>
      <w:r w:rsidR="006E06EA" w:rsidRPr="006E06EA">
        <w:rPr>
          <w:rFonts w:cs="Arial"/>
          <w:shd w:val="clear" w:color="auto" w:fill="FFFFFF"/>
        </w:rPr>
        <w:t xml:space="preserve"> = 0.002) and decreased the performance on the secondary task (</w:t>
      </w:r>
      <w:r w:rsidR="006E06EA" w:rsidRPr="006E06EA">
        <w:rPr>
          <w:rFonts w:cs="Arial"/>
          <w:i/>
          <w:shd w:val="clear" w:color="auto" w:fill="FFFFFF"/>
        </w:rPr>
        <w:t>p</w:t>
      </w:r>
      <w:r w:rsidR="006E06EA" w:rsidRPr="006E06EA">
        <w:rPr>
          <w:rFonts w:cs="Arial"/>
          <w:shd w:val="clear" w:color="auto" w:fill="FFFFFF"/>
        </w:rPr>
        <w:t xml:space="preserve"> = 0.004). Different eyes conditions (open vs. closed) significantly increased both sway velocities (anterior-posterior = </w:t>
      </w:r>
      <w:r w:rsidR="006E06EA" w:rsidRPr="006E06EA">
        <w:rPr>
          <w:rFonts w:cs="Arial"/>
          <w:i/>
          <w:shd w:val="clear" w:color="auto" w:fill="FFFFFF"/>
        </w:rPr>
        <w:t>p</w:t>
      </w:r>
      <w:r w:rsidR="006E06EA" w:rsidRPr="006E06EA">
        <w:rPr>
          <w:rFonts w:cs="Arial"/>
          <w:shd w:val="clear" w:color="auto" w:fill="FFFFFF"/>
        </w:rPr>
        <w:t xml:space="preserve"> &lt; 0.001, medial-lateral = </w:t>
      </w:r>
      <w:r w:rsidR="006E06EA" w:rsidRPr="006E06EA">
        <w:rPr>
          <w:rFonts w:cs="Arial"/>
          <w:i/>
          <w:shd w:val="clear" w:color="auto" w:fill="FFFFFF"/>
        </w:rPr>
        <w:t>p</w:t>
      </w:r>
      <w:r w:rsidR="006E06EA" w:rsidRPr="006E06EA">
        <w:rPr>
          <w:rFonts w:cs="Arial"/>
          <w:shd w:val="clear" w:color="auto" w:fill="FFFFFF"/>
        </w:rPr>
        <w:t xml:space="preserve"> &lt; 0.001), and increased integrated time to boundary (</w:t>
      </w:r>
      <w:r w:rsidR="006E06EA" w:rsidRPr="006E06EA">
        <w:rPr>
          <w:rFonts w:cs="Arial"/>
          <w:i/>
          <w:shd w:val="clear" w:color="auto" w:fill="FFFFFF"/>
        </w:rPr>
        <w:t>p</w:t>
      </w:r>
      <w:r w:rsidR="006E06EA" w:rsidRPr="006E06EA">
        <w:rPr>
          <w:rFonts w:cs="Arial"/>
          <w:shd w:val="clear" w:color="auto" w:fill="FFFFFF"/>
        </w:rPr>
        <w:t xml:space="preserve"> &lt; 0.001). There were also task by eyes interaction effects for anterior-posterior velocity and integrated time to boundary (</w:t>
      </w:r>
      <w:r w:rsidR="006E06EA" w:rsidRPr="006E06EA">
        <w:rPr>
          <w:rFonts w:cs="Arial"/>
          <w:i/>
          <w:shd w:val="clear" w:color="auto" w:fill="FFFFFF"/>
        </w:rPr>
        <w:t>p</w:t>
      </w:r>
      <w:r w:rsidR="006E06EA" w:rsidRPr="006E06EA">
        <w:rPr>
          <w:rFonts w:cs="Arial"/>
          <w:shd w:val="clear" w:color="auto" w:fill="FFFFFF"/>
        </w:rPr>
        <w:t xml:space="preserve"> = 0.015 and </w:t>
      </w:r>
      <w:r w:rsidR="006E06EA" w:rsidRPr="006E06EA">
        <w:rPr>
          <w:rFonts w:cs="Arial"/>
          <w:i/>
          <w:shd w:val="clear" w:color="auto" w:fill="FFFFFF"/>
        </w:rPr>
        <w:t>p</w:t>
      </w:r>
      <w:r w:rsidR="006E06EA" w:rsidRPr="006E06EA">
        <w:rPr>
          <w:rFonts w:cs="Arial"/>
          <w:shd w:val="clear" w:color="auto" w:fill="FFFFFF"/>
        </w:rPr>
        <w:t xml:space="preserve"> = 0.009, respectively). These eyes condition and interaction effect increases in sway velocity and integrated time to boundary are traditionally interpreted as poorer balance performance. However, in the context of stability/maneuverability tradeoff, the changes may indicate an increase in freedom of movement instead of a decrease in stability. </w:t>
      </w:r>
      <w:r w:rsidR="006E06EA" w:rsidRPr="006E06EA">
        <w:rPr>
          <w:rFonts w:cs="Arial"/>
          <w:b/>
          <w:shd w:val="clear" w:color="auto" w:fill="FFFFFF"/>
        </w:rPr>
        <w:t>Significance:</w:t>
      </w:r>
      <w:r w:rsidR="006E06EA" w:rsidRPr="006E06EA">
        <w:rPr>
          <w:rFonts w:cs="Arial"/>
          <w:shd w:val="clear" w:color="auto" w:fill="FFFFFF"/>
        </w:rPr>
        <w:t xml:space="preserve"> The data did not support a medication-induced improvement in automaticity, as measured by significant medication by task interactions. An alternate interpretation for medication-induced balance changes </w:t>
      </w:r>
      <w:r w:rsidR="006E06EA" w:rsidRPr="006E06EA">
        <w:rPr>
          <w:rFonts w:cs="Arial"/>
          <w:shd w:val="clear" w:color="auto" w:fill="FFFFFF"/>
        </w:rPr>
        <w:lastRenderedPageBreak/>
        <w:t xml:space="preserve">in PD includes an increase in maneuverability without sacrificing stability after taking dopaminergic medication. </w:t>
      </w:r>
    </w:p>
    <w:p w14:paraId="3C9EF3A1" w14:textId="77777777" w:rsidR="006E06EA" w:rsidRPr="006E06EA" w:rsidRDefault="006E06EA" w:rsidP="008009D0">
      <w:pPr>
        <w:pStyle w:val="NormalWeb"/>
        <w:jc w:val="both"/>
        <w:rPr>
          <w:rFonts w:cs="Arial"/>
          <w:shd w:val="clear" w:color="auto" w:fill="FFFFFF"/>
        </w:rPr>
      </w:pPr>
    </w:p>
    <w:p w14:paraId="72FB8EE1" w14:textId="38F53A96" w:rsidR="00533FFE" w:rsidRPr="00864B56" w:rsidRDefault="006E06EA" w:rsidP="008009D0">
      <w:pPr>
        <w:pStyle w:val="NormalWeb"/>
        <w:spacing w:before="0" w:beforeAutospacing="0" w:after="0" w:afterAutospacing="0" w:line="480" w:lineRule="auto"/>
        <w:jc w:val="both"/>
        <w:rPr>
          <w:rFonts w:cs="Arial"/>
          <w:shd w:val="clear" w:color="auto" w:fill="FFFFFF"/>
        </w:rPr>
      </w:pPr>
      <w:r w:rsidRPr="006E06EA">
        <w:rPr>
          <w:rFonts w:cs="Arial"/>
          <w:shd w:val="clear" w:color="auto" w:fill="FFFFFF"/>
        </w:rPr>
        <w:t>Keywords: Parkinson’s disease, balance, dual-task, medication, posturography</w:t>
      </w:r>
    </w:p>
    <w:p w14:paraId="37A53A29" w14:textId="77777777" w:rsidR="00533FFE" w:rsidRPr="00864B56" w:rsidRDefault="00533FFE" w:rsidP="008009D0">
      <w:pPr>
        <w:pStyle w:val="NormalWeb"/>
        <w:spacing w:before="0" w:beforeAutospacing="0" w:after="0" w:afterAutospacing="0" w:line="480" w:lineRule="auto"/>
        <w:jc w:val="both"/>
        <w:rPr>
          <w:rFonts w:cs="Arial"/>
          <w:shd w:val="clear" w:color="auto" w:fill="FFFFFF"/>
        </w:rPr>
      </w:pPr>
    </w:p>
    <w:p w14:paraId="58B50A70" w14:textId="77777777" w:rsidR="00533FFE" w:rsidRPr="00864B56" w:rsidRDefault="00533FFE" w:rsidP="008009D0">
      <w:pPr>
        <w:pStyle w:val="NormalWeb"/>
        <w:spacing w:before="0" w:beforeAutospacing="0" w:after="0" w:afterAutospacing="0" w:line="480" w:lineRule="auto"/>
        <w:jc w:val="both"/>
        <w:rPr>
          <w:rFonts w:cs="Arial"/>
          <w:shd w:val="clear" w:color="auto" w:fill="FFFFFF"/>
        </w:rPr>
        <w:sectPr w:rsidR="00533FFE" w:rsidRPr="00864B56" w:rsidSect="00C55D12">
          <w:footerReference w:type="default" r:id="rId24"/>
          <w:pgSz w:w="12240" w:h="15840"/>
          <w:pgMar w:top="1800" w:right="1440" w:bottom="1440" w:left="1440" w:header="720" w:footer="720" w:gutter="0"/>
          <w:pgNumType w:start="1"/>
          <w:cols w:space="720"/>
          <w:docGrid w:linePitch="326"/>
        </w:sectPr>
      </w:pPr>
    </w:p>
    <w:p w14:paraId="345E58D5" w14:textId="6128F31C" w:rsidR="00533FFE" w:rsidRPr="00864B56" w:rsidRDefault="00533FFE" w:rsidP="008009D0">
      <w:pPr>
        <w:pStyle w:val="Heading2"/>
        <w:jc w:val="both"/>
      </w:pPr>
      <w:bookmarkStart w:id="35" w:name="_Toc527361744"/>
      <w:r w:rsidRPr="00D00C05">
        <w:lastRenderedPageBreak/>
        <w:t>Introduction</w:t>
      </w:r>
      <w:bookmarkEnd w:id="35"/>
    </w:p>
    <w:p w14:paraId="5C339BF1" w14:textId="150D129A" w:rsidR="00517001" w:rsidRPr="004859B6" w:rsidRDefault="00533FFE" w:rsidP="008009D0">
      <w:pPr>
        <w:jc w:val="both"/>
      </w:pPr>
      <w:r>
        <w:tab/>
      </w:r>
      <w:r w:rsidR="00517001" w:rsidRPr="004859B6">
        <w:t>Parkinson’s disease (PD) is the second most prevalent neurodegenerative disorder</w:t>
      </w:r>
      <w:r w:rsidR="00517001">
        <w:t>,</w:t>
      </w:r>
      <w:r w:rsidR="00517001" w:rsidRPr="004859B6">
        <w:t xml:space="preserve"> affecting approximately 1 million people in the US</w:t>
      </w:r>
      <w:r w:rsidR="00517001">
        <w:t xml:space="preserve"> </w:t>
      </w:r>
      <w:r w:rsidR="00517001" w:rsidRPr="004859B6">
        <w:fldChar w:fldCharType="begin" w:fldLock="1"/>
      </w:r>
      <w:r w:rsidR="00517001">
        <w:instrText>ADDIN CSL_CITATION {"citationItems":[{"id":"ITEM-1","itemData":{"DOI":"10.1016/S1474-4422(06)70471-9","ISBN":"9780444519009","ISSN":"14744422","PMID":"16713924","abstract":"The causes of Parkinson's disease (PD), the second most common neurodegenerative disorder, are still largely unknown. Current thinking is that major gene mutations cause only a small proportion of all cases and that in most cases, non-genetic factors play a part, probably in interaction with susceptibility genes. Numerous epidemiological studies have been done to identify such non-genetic risk factors, but most were small and methodologically limited. Larger, well-designed prospective cohort studies have only recently reached a stage at which they have enough incident patients and person-years of follow-up to investigate possible risk factors and their interactions. In this article, we review what is known about the prevalence, incidence, risk factors, and prognosis of PD from epidemiological studies.","author":[{"dropping-particle":"","family":"Lau","given":"Lonneke ML","non-dropping-particle":"de","parse-names":false,"suffix":""},{"dropping-particle":"","family":"Breteler","given":"Monique MB","non-dropping-particle":"","parse-names":false,"suffix":""}],"container-title":"The Lancet Neurology","id":"ITEM-1","issue":"6","issued":{"date-parts":[["2006","6"]]},"page":"525-535","title":"Epidemiology of Parkinson's disease","type":"article-journal","volume":"5"},"uris":["http://www.mendeley.com/documents/?uuid=f3b57e68-747d-421c-9dff-dc3ac4dd09ad"]}],"mendeley":{"formattedCitation":"[1]","plainTextFormattedCitation":"[1]","previouslyFormattedCitation":"[1]"},"properties":{"noteIndex":0},"schema":"https://github.com/citation-style-language/schema/raw/master/csl-citation.json"}</w:instrText>
      </w:r>
      <w:r w:rsidR="00517001" w:rsidRPr="004859B6">
        <w:fldChar w:fldCharType="separate"/>
      </w:r>
      <w:r w:rsidR="00517001" w:rsidRPr="00FF345F">
        <w:rPr>
          <w:noProof/>
        </w:rPr>
        <w:t>[1]</w:t>
      </w:r>
      <w:r w:rsidR="00517001" w:rsidRPr="004859B6">
        <w:fldChar w:fldCharType="end"/>
      </w:r>
      <w:r w:rsidR="00517001" w:rsidRPr="004859B6">
        <w:t>. The</w:t>
      </w:r>
      <w:r w:rsidR="00517001">
        <w:t xml:space="preserve"> impetus for the</w:t>
      </w:r>
      <w:r w:rsidR="00517001" w:rsidRPr="004859B6">
        <w:t xml:space="preserve"> </w:t>
      </w:r>
      <w:r w:rsidR="00517001">
        <w:t>brain changes that cause</w:t>
      </w:r>
      <w:r w:rsidR="00517001" w:rsidRPr="004859B6">
        <w:t xml:space="preserve"> </w:t>
      </w:r>
      <w:r w:rsidR="00517001">
        <w:t xml:space="preserve">PD </w:t>
      </w:r>
      <w:r w:rsidR="00517001" w:rsidRPr="004859B6">
        <w:t>are not well understood</w:t>
      </w:r>
      <w:r w:rsidR="00517001">
        <w:t xml:space="preserve"> and </w:t>
      </w:r>
      <w:r w:rsidR="00517001" w:rsidRPr="004859B6">
        <w:t>most cases are idiopathic</w:t>
      </w:r>
      <w:r w:rsidR="00517001">
        <w:t xml:space="preserve"> </w:t>
      </w:r>
      <w:r w:rsidR="00517001" w:rsidRPr="004859B6">
        <w:fldChar w:fldCharType="begin" w:fldLock="1"/>
      </w:r>
      <w:r w:rsidR="00517001">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id":"ITEM-2","itemData":{"DOI":"10.1136/jnnp.2007.131045","ISSN":"0022-3050","author":[{"dropping-particle":"","family":"Jankovic","given":"J","non-dropping-particle":"","parse-names":false,"suffix":""}],"container-title":"Journal of Neurology, Neurosurgery &amp; Psychiatry","id":"ITEM-2","issue":"4","issued":{"date-parts":[["2008","4","1"]]},"page":"368-376","title":"Parkinson's disease: clinical features and diagnosis","type":"article-journal","volume":"79"},"uris":["http://www.mendeley.com/documents/?uuid=3e459de4-5162-482b-be13-cae6e8fdadbe"]}],"mendeley":{"formattedCitation":"[2,3]","plainTextFormattedCitation":"[2,3]","previouslyFormattedCitation":"[2,3]"},"properties":{"noteIndex":0},"schema":"https://github.com/citation-style-language/schema/raw/master/csl-citation.json"}</w:instrText>
      </w:r>
      <w:r w:rsidR="00517001" w:rsidRPr="004859B6">
        <w:fldChar w:fldCharType="separate"/>
      </w:r>
      <w:r w:rsidR="00517001" w:rsidRPr="00FF345F">
        <w:rPr>
          <w:noProof/>
        </w:rPr>
        <w:t>[2,3]</w:t>
      </w:r>
      <w:r w:rsidR="00517001" w:rsidRPr="004859B6">
        <w:fldChar w:fldCharType="end"/>
      </w:r>
      <w:r w:rsidR="00517001" w:rsidRPr="004859B6">
        <w:t xml:space="preserve">. </w:t>
      </w:r>
      <w:r w:rsidR="00517001">
        <w:t xml:space="preserve">The motor symptoms, however, are well documented, the most cardinal of which are </w:t>
      </w:r>
      <w:r w:rsidR="00517001" w:rsidRPr="004859B6">
        <w:t>rest tremor, rigidity, bradykinesia, postural instability, and gait impairment</w:t>
      </w:r>
      <w:r w:rsidR="00517001">
        <w:t xml:space="preserve"> </w:t>
      </w:r>
      <w:r w:rsidR="00517001" w:rsidRPr="004859B6">
        <w:fldChar w:fldCharType="begin" w:fldLock="1"/>
      </w:r>
      <w:r w:rsidR="00517001">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mendeley":{"formattedCitation":"[2–4]","plainTextFormattedCitation":"[2–4]","previouslyFormattedCitation":"[2–4]"},"properties":{"noteIndex":0},"schema":"https://github.com/citation-style-language/schema/raw/master/csl-citation.json"}</w:instrText>
      </w:r>
      <w:r w:rsidR="00517001" w:rsidRPr="004859B6">
        <w:fldChar w:fldCharType="separate"/>
      </w:r>
      <w:r w:rsidR="00517001" w:rsidRPr="00FF345F">
        <w:rPr>
          <w:noProof/>
        </w:rPr>
        <w:t>[2–4]</w:t>
      </w:r>
      <w:r w:rsidR="00517001" w:rsidRPr="004859B6">
        <w:fldChar w:fldCharType="end"/>
      </w:r>
      <w:r w:rsidR="00517001" w:rsidRPr="004859B6">
        <w:t>. The</w:t>
      </w:r>
      <w:r w:rsidR="00517001">
        <w:t>se</w:t>
      </w:r>
      <w:r w:rsidR="00517001" w:rsidRPr="004859B6">
        <w:t xml:space="preserve"> </w:t>
      </w:r>
      <w:r w:rsidR="00517001">
        <w:t xml:space="preserve">are usually treated with </w:t>
      </w:r>
      <w:r w:rsidR="00517001" w:rsidRPr="004859B6">
        <w:t>dopaminergic medications like dopamine replacement, dopamine agonists, and inhibitors</w:t>
      </w:r>
      <w:r w:rsidR="00517001">
        <w:t xml:space="preserve"> </w:t>
      </w:r>
      <w:r w:rsidR="00517001" w:rsidRPr="004859B6">
        <w:fldChar w:fldCharType="begin" w:fldLock="1"/>
      </w:r>
      <w:r w:rsidR="00517001">
        <w:instrText>ADDIN CSL_CITATION {"citationItems":[{"id":"ITEM-1","itemData":{"DOI":"10.1016/S1474-4422(09)70293-5","ISBN":"1474-4422","ISSN":"14744422","PMID":"19909911","abstract":"A dopaminergic deficiency in patients with Parkinson's disease (PD) causes abnormalities of movement, behaviour, learning, and emotions. The main motor features (ie, tremor, rigidity, and akinesia) are associated with a deficiency of dopamine in the posterior putamen and the motor circuit. Hypokinesia and bradykinesia might have a dual anatomo-functional basis: hypokinesia mediated by brainstem mechanisms and bradykinesia by cortical mechanisms. The classic pathophysiological model for PD (ie, hyperactivity in the globus pallidus pars interna and substantia nigra pars reticulata) does not explain rigidity and tremor, which might be caused by changes in primary motor cortex activity. Executive functions (ie, planning and problem solving) are also impaired in early PD, but are usually not clinically noticed. These impairments are associated with dopamine deficiency in the caudate nucleus and with dysfunction of the associative and other non-motor circuits. Apathy, anxiety, and depression are the main psychiatric manifestations in untreated PD, which might be caused by ventral striatum dopaminergic deficit and depletion of serotonin and norepinephrine. In this Review we discuss the motor, cognitive, and psychiatric manifestations associated with the dopaminergic deficiency in the early phase of the parkinsonian state and the different circuits implicated, and we propose distinct mechanisms to explain the wide clinical range of PD symptoms at the time of diagnosis. © 2009 Elsevier Ltd. All rights reserved.","author":[{"dropping-particle":"","family":"Rodriguez-Oroz","given":"Maria C.","non-dropping-particle":"","parse-names":false,"suffix":""},{"dropping-particle":"","family":"Jahanshahi","given":"Marjan","non-dropping-particle":"","parse-names":false,"suffix":""},{"dropping-particle":"","family":"Krack","given":"Paul","non-dropping-particle":"","parse-names":false,"suffix":""},{"dropping-particle":"","family":"Litvan","given":"Irene","non-dropping-particle":"","parse-names":false,"suffix":""},{"dropping-particle":"","family":"Macias","given":"Raúl","non-dropping-particle":"","parse-names":false,"suffix":""},{"dropping-particle":"","family":"Bezard","given":"Erwan","non-dropping-particle":"","parse-names":false,"suffix":""},{"dropping-particle":"","family":"Obeso","given":"José a.","non-dropping-particle":"","parse-names":false,"suffix":""}],"container-title":"The Lancet Neurology","id":"ITEM-1","issue":"12","issued":{"date-parts":[["2009","12"]]},"page":"1128-1139","title":"Initial clinical manifestations of Parkinson's disease: features and pathophysiological mechanisms","type":"article-journal","volume":"8"},"uris":["http://www.mendeley.com/documents/?uuid=f283f2c3-68a7-4e8d-9b57-8e74dacc1f4a"]},{"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diagnosis","type":"article-journal","volume":"79"},"uris":["http://www.mendeley.com/documents/?uuid=3e459de4-5162-482b-be13-cae6e8fdadbe"]},{"id":"ITEM-4","itemData":{"DOI":"10.1016/0022-510X(73)90175-5","ISBN":"0022-510X (Print) 0022-510X (Linking)","ISSN":"0022510X","PMID":"4272516","abstract":"A clinical, morphological and neurochemical correlative study in patients with Parkinson's syndrome and Huntington's chorea is reported. In the former group of patients, 69 brains were examined morphologically and 28 biochemically; in the latter group, 4 brains were examined morphologically and 14 biochemically. The results were as follows: (1) The main morphological alteration common to all forms of Parkinsonism was damage to the substantia nigra with a loss of the melanin-containing nerve cells in the zona compacta; the degree and pattern of this cell loss varied in a manner characteristic of the different forms of Parkinsonism. (2) Neurochemically, Parkinson's syndrome was characterized by a decrease in the concentrations of dopamine (DA) and its metabolite homovanillic acid (HVA) in the striatum (caudate nucleus and putamen) and pallidum. (3) A satisfactory positive correlation could be established between the degree of cell loss in the zona compacta of the substantia nigra and the disturbance of DA metabolism in the nuclei of the basal ganglia. (4) The nosological classification of Parkinson's syndrome (based on clinical and morphological criteria) into 3 main groups, viz. postencephalitic, idiopathic and “arteriosclerotic”-senile, was supported by distinct, though not in all cases statistically significant, differences in the degree of disturbance of striatal DA metabolism. (5) In general, mild Parkinsonism, just manifest clinically, was associated with a disproportionately high degree of striatal DA deficiency. From this it was concluded that: (a) clinically manifest Parkinsonism represents the late, “decompensated”, stage of a disease characterized by a progressive striatal DA deficiency; and (b) the striatum can compensate functionally for lower degrees of DA deficiency. (6) Positive correlations could be established, within a certain range, between the severity of individual Parkinsonian symptoms (especially akinesia and tremor) and (a) the degree, and also the site, of the disturbance of DA metabolism within the nuclei of the basal ganglia; and (b) the sensitivity of the patients to levodopa's acute anti-akinesia effect. The latter observation was interpreted as suggesting that in Parkinsonism there exists a supersensitivity (probably of the “denervation type”) of striatal receptors to DA. (7) Based on the correlations, levodopa therapy can be regarded as a specific, though probably predominantly symptomatic, treatment of the main extrapyrami…","author":[{"dropping-particle":"","family":"Bernheimer","given":"H","non-dropping-particle":"","parse-names":false,"suffix":""},{"dropping-particle":"","family":"Birkmayer","given":"W","non-dropping-particle":"","parse-names":false,"suffix":""},{"dropping-particle":"","family":"Hornykiewicz","given":"O","non-dropping-particle":"","parse-names":false,"suffix":""},{"dropping-particle":"","family":"Jellinger","given":"K","non-dropping-particle":"","parse-names":false,"suffix":""},{"dropping-particle":"","family":"Seitelberger","given":"F","non-dropping-particle":"","parse-names":false,"suffix":""}],"container-title":"Journal of the Neurological Sciences","id":"ITEM-4","issue":"4","issued":{"date-parts":[["1973","12"]]},"page":"415-455","title":"Brain dopamine and the syndromes of Parkinson and Huntington Clinical, morphological and neurochemical correlations","type":"article-journal","volume":"20"},"uris":["http://www.mendeley.com/documents/?uuid=2b108045-04a4-453b-a687-4c15377e673b"]},{"id":"ITEM-5","itemData":{"abstract":"Parkinsonism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Sciences","id":"ITEM-5","issued":{"date-parts":[["2003"]]},"page":"1-14","title":"Description of Parkinson’ s Disease as a Clinical Syndrome","type":"article-journal","volume":"991"},"uris":["http://www.mendeley.com/documents/?uuid=63b3f15d-72bd-4a15-a52d-94491c167cb5"]}],"mendeley":{"formattedCitation":"[2–6]","plainTextFormattedCitation":"[2–6]","previouslyFormattedCitation":"[2–6]"},"properties":{"noteIndex":0},"schema":"https://github.com/citation-style-language/schema/raw/master/csl-citation.json"}</w:instrText>
      </w:r>
      <w:r w:rsidR="00517001" w:rsidRPr="004859B6">
        <w:fldChar w:fldCharType="separate"/>
      </w:r>
      <w:r w:rsidR="00517001" w:rsidRPr="00FF345F">
        <w:rPr>
          <w:noProof/>
        </w:rPr>
        <w:t>[2–6]</w:t>
      </w:r>
      <w:r w:rsidR="00517001" w:rsidRPr="004859B6">
        <w:fldChar w:fldCharType="end"/>
      </w:r>
      <w:r w:rsidR="00517001" w:rsidRPr="004859B6">
        <w:t>. However, these</w:t>
      </w:r>
      <w:r w:rsidR="00517001">
        <w:t xml:space="preserve"> medication-induced</w:t>
      </w:r>
      <w:r w:rsidR="00517001" w:rsidRPr="004859B6">
        <w:t xml:space="preserve"> improvements are limited and may not impact all motor deficits</w:t>
      </w:r>
      <w:r w:rsidR="00517001">
        <w:t xml:space="preserve"> </w:t>
      </w:r>
      <w:r w:rsidR="00517001" w:rsidRPr="004859B6">
        <w:fldChar w:fldCharType="begin" w:fldLock="1"/>
      </w:r>
      <w:r w:rsidR="004B5F8D">
        <w:instrText>ADDIN CSL_CITATION {"citationItems":[{"id":"ITEM-1","itemData":{"DOI":"10.1016/S0166-4328(05)80083-X","ISSN":"01664328","abstract":"The aims of the present study were to analyze how L-Dopa allows parkinsonian patients to increase their gait velocity and to compare these L-Dopa-induced modifications with those achieved by consciously attempting to walk as fast as possible (intentional modulations). The 'intentional modulations' of velocity were also compared with those of healthy elderly subjects. The results showed that parkinsonian patients walked more slowly, with shorter strides and shorter durations of swing phase, and longer durations of stance and double support phases, although no differences were observed for cycle duration. The mechanisms involved in increasing gait velocity were found to differ according to whether this was achieved through the action of L-Dopa, or by intentional increases in velocity. Intentional increases in velocity were greater than those caused by the effect of L-Dopa. The patients, however, used efficient strategies to increase their velocity when under the influence of L-Dopa. As L-Dopa leads to a ceiling effect on stride length, the patients can increase their velocity by modifying the cycle to such an extent that it compensates for the limitation in stride length. This strategy effectively increases velocity, despite the L-Dopa ceiling effect. The effects of L-Dopa on locomotion and, more generally, on motor control aspects are discussed.","author":[{"dropping-particle":"","family":"Ferrandez","given":"Anne-Marie","non-dropping-particle":"","parse-names":false,"suffix":""},{"dropping-particle":"","family":"Blin","given":"Olivier","non-dropping-particle":"","parse-names":false,"suffix":""}],"container-title":"Behavioural Brain Research","id":"ITEM-1","issue":"2","issued":{"date-parts":[["1991","11"]]},"page":"177-183","title":"A comparison between the effect of intentional modulations and the action of l-Dopa on gait in Parkinson's disease","type":"article-journal","volume":"45"},"uris":["http://www.mendeley.com/documents/?uuid=04e7ac55-28d1-4e6c-b4b1-b8e7c670bd76"]}],"mendeley":{"formattedCitation":"[24]","plainTextFormattedCitation":"[24]","previouslyFormattedCitation":"[24]"},"properties":{"noteIndex":0},"schema":"https://github.com/citation-style-language/schema/raw/master/csl-citation.json"}</w:instrText>
      </w:r>
      <w:r w:rsidR="00517001" w:rsidRPr="004859B6">
        <w:fldChar w:fldCharType="separate"/>
      </w:r>
      <w:r w:rsidR="001D6C02" w:rsidRPr="001D6C02">
        <w:rPr>
          <w:noProof/>
        </w:rPr>
        <w:t>[24]</w:t>
      </w:r>
      <w:r w:rsidR="00517001" w:rsidRPr="004859B6">
        <w:fldChar w:fldCharType="end"/>
      </w:r>
      <w:r w:rsidR="00517001" w:rsidRPr="004859B6">
        <w:t>. In addition to the cardinal symptoms, PD subjects also experience decreased motor automaticity</w:t>
      </w:r>
      <w:r w:rsidR="00517001">
        <w:t xml:space="preserve"> </w:t>
      </w:r>
      <w:r w:rsidR="00517001" w:rsidRPr="004859B6">
        <w:fldChar w:fldCharType="begin" w:fldLock="1"/>
      </w:r>
      <w:r w:rsidR="004B5F8D">
        <w:instrText>ADDIN CSL_CITATION {"citationItems":[{"id":"ITEM-1","itemData":{"DOI":"10.1007/s00221-013-3412-9","ISBN":"0022101334129","ISSN":"0014-4819","PMID":"23371748","abstract":"The simultaneous performance of a cognitive task while walking typically alters the gait pattern. In some populations, these alterations have been associated with an increased risk of falls, motivating study of this response from the clinical perspective. The mechanisms responsible for these effects are not fully understood. The concurrent requirement to control upright posture and stepping, a bilaterally coordinated rhythmic task, may be the cause of this so-called dual-tasking effect. To evaluate this possibility, the present study was designed to isolate the individual contribution of these two demands by assessing the effects of cognitive loading on standing (i.e., postural control without bilateral coordination of stepping), cycling (i.e., bilateral coordination similar to stepping, but with minimal postural demands), and walking. We also investigated the effects of aging and parkinsonism on the performance of these three tasks in response to cognitive loading, also referred to as a dual task. Twenty-one healthy young adults, 15 healthy older adults, and 18 patients with Parkinson's disease were assessed while walking, standing, and cycling, with and without an additional cognitive load. In the young adults, the performance on the two motor tasks that involved bilateral coordination deteriorated significantly in response to the dual task, while standing was not impacted. Similar results, although less robust, were observed among the healthy older adults. In contrast, among the patients with Parkinson's disease, the dual-task costs, i.e., the impact of the simultaneously performed cognitive task on the gait pattern, were high in all motor tasks. These findings suggest that walking is especially vulnerable to cognitive loading, in part, because of the unique sensitivity of bilateral coordination of limb movements to the effects of dual tasking.","author":[{"dropping-particle":"","family":"Yogev-Seligmann","given":"Galit","non-dropping-particle":"","parse-names":false,"suffix":""},{"dropping-particle":"","family":"Giladi","given":"Nir","non-dropping-particle":"","parse-names":false,"suffix":""},{"dropping-particle":"","family":"Gruendlinger","given":"Leor","non-dropping-particle":"","parse-names":false,"suffix":""},{"dropping-particle":"","family":"Hausdorff","given":"Jeffrey M.","non-dropping-particle":"","parse-names":false,"suffix":""}],"container-title":"Experimental Brain Research","id":"ITEM-1","issue":"1","issued":{"date-parts":[["2013","4","1"]]},"note":"Among the young adults, all gait measures become worse in response to dual tasking. In contrast, when the young adults performed the verbal fluency task while standing, both the center-of-pressure radial displacement and center-of-pressure area (p &amp;lt; 0.033) improved (became smaller) and center-of-pressure velocity did not change significantly.\n\nThus, in the young adults, the performance of both tasks that involved bilateral coordination, i.e., walk-(p = 0.274). Thus, in the young adults, the performance of both tasks that involved bilateral coordination, i.e., walk-ing and cycling, deteriorated in response to the dual tasking.\n\nWalking Among both the older adults and the patients with Parkinson’s disease, the simultaneous performance of the verbal fluency task had a significant negative effect on all gait measures (p &amp;lt; 0.002)\n\nQuiet Standing In the older adults and the patients with Parkinson’s disease, dual tasking caused a significant increase in center-of-pressure velocity (p &amp;lt; 0.013), demonstrating a decrease in performance. No significant dual-tasking effects were observed for center-of-pressure radial displacement or center-of-pressure area in these two groups.\n\nWalking\nFor both average stride time and stride time variability, significant main effects were observed, p = 0.002, p = 0.003,respectively. Post hoc analysis revealed significant differences only between the young adults and the patients with Parkinson’s disease, p = 0.002, p = 0.002, respectively, and trends between the older adults and the patients with Parkinson’s disease, p = 0.063, p = 0.088, respectively. Walking speed showed similar findings with a significant main effect (p &amp;lt; 0.001) and significant differences in post hoc analysis between the young adults and the patients with Parkinson’s disease (p &amp;lt; 0.001), and between the older adults and the patients with Parkinson’s disease (p = 0.048).\n\nStanding\nFor both radial displacement of center-of-pressure and average velocity of the center-of-pressure, significant main effects were observed (p = 0.018, p = 0.044, respectively). Post hoc analysis revealed significant differences between the young adults and the patients with Parkinson’s disease, p = 0.014, p = 0.036, respectively. Center-of-pressure area results were similar to those of the radial displacement, main effect, p = 0.022, with post hoc analysis showing significant differences between the young adults and patients with Parkinson’s disease, p = 0.016.\n\n\nPost hoc analyses revealed that dual-tasking\ncosts of stride time variability were larger than those of\ncenter-of-pressure velocity and cycling variability.","page":"81-93","title":"The contribution of postural control and bilateral coordination to the impact of dual tasking on gait","type":"article-journal","volume":"226"},"uris":["http://www.mendeley.com/documents/?uuid=a11508fa-4cc9-481f-a45f-d75168384dcb"]}],"mendeley":{"formattedCitation":"[25]","plainTextFormattedCitation":"[25]","previouslyFormattedCitation":"[25]"},"properties":{"noteIndex":0},"schema":"https://github.com/citation-style-language/schema/raw/master/csl-citation.json"}</w:instrText>
      </w:r>
      <w:r w:rsidR="00517001" w:rsidRPr="004859B6">
        <w:fldChar w:fldCharType="separate"/>
      </w:r>
      <w:r w:rsidR="001D6C02" w:rsidRPr="001D6C02">
        <w:rPr>
          <w:noProof/>
        </w:rPr>
        <w:t>[25]</w:t>
      </w:r>
      <w:r w:rsidR="00517001" w:rsidRPr="004859B6">
        <w:fldChar w:fldCharType="end"/>
      </w:r>
      <w:r w:rsidR="00517001" w:rsidRPr="004859B6">
        <w:t>. Motor automaticity is achieved when a given motor task is performed without attentional control</w:t>
      </w:r>
      <w:r w:rsidR="00517001">
        <w:t xml:space="preserve"> </w:t>
      </w:r>
      <w:r w:rsidR="00517001" w:rsidRPr="004859B6">
        <w:fldChar w:fldCharType="begin" w:fldLock="1"/>
      </w:r>
      <w:r w:rsidR="004B5F8D">
        <w:instrText>ADDIN CSL_CITATION {"citationItems":[{"id":"ITEM-1","itemData":{"DOI":"10.1016/j.nbd.2015.06.014","ISSN":"09699961","author":[{"dropping-particle":"","family":"Wu","given":"Tao","non-dropping-particle":"","parse-names":false,"suffix":""},{"dropping-particle":"","family":"Hallett","given":"Mark","non-dropping-particle":"","parse-names":false,"suffix":""},{"dropping-particle":"","family":"Chan","given":"Piu","non-dropping-particle":"","parse-names":false,"suffix":""}],"container-title":"Neurobiology of Disease","id":"ITEM-1","issued":{"date-parts":[["2015","10"]]},"page":"226-234","publisher":"Elsevier Inc.","title":"Motor automaticity in Parkinson's disease","type":"article-journal","volume":"82"},"uris":["http://www.mendeley.com/documents/?uuid=859c3d7b-b44a-4b4b-9875-4131f0364423"]}],"mendeley":{"formattedCitation":"[7]","plainTextFormattedCitation":"[7]","previouslyFormattedCitation":"[7]"},"properties":{"noteIndex":0},"schema":"https://github.com/citation-style-language/schema/raw/master/csl-citation.json"}</w:instrText>
      </w:r>
      <w:r w:rsidR="00517001" w:rsidRPr="004859B6">
        <w:fldChar w:fldCharType="separate"/>
      </w:r>
      <w:r w:rsidR="001D6C02" w:rsidRPr="001D6C02">
        <w:rPr>
          <w:noProof/>
        </w:rPr>
        <w:t>[7]</w:t>
      </w:r>
      <w:r w:rsidR="00517001" w:rsidRPr="004859B6">
        <w:fldChar w:fldCharType="end"/>
      </w:r>
      <w:r w:rsidR="00517001" w:rsidRPr="004859B6">
        <w:t xml:space="preserve">. </w:t>
      </w:r>
    </w:p>
    <w:p w14:paraId="42F24BDC" w14:textId="7F3F181A" w:rsidR="00517001" w:rsidRPr="004859B6" w:rsidRDefault="00517001" w:rsidP="008009D0">
      <w:pPr>
        <w:jc w:val="both"/>
      </w:pPr>
      <w:r w:rsidRPr="004859B6">
        <w:tab/>
      </w:r>
      <w:r>
        <w:t>D</w:t>
      </w:r>
      <w:r w:rsidRPr="004859B6">
        <w:t>ual-tasking involves performing a primary motor task (e.g., standing) and a secondary task (e.g., conversing) simultaneously</w:t>
      </w:r>
      <w:r>
        <w:t>.</w:t>
      </w:r>
      <w:r w:rsidRPr="004859B6">
        <w:t xml:space="preserve"> </w:t>
      </w:r>
      <w:r>
        <w:t>A</w:t>
      </w:r>
      <w:r w:rsidRPr="004859B6">
        <w:t xml:space="preserve">utomaticity is commonly assessed using dual-task paradigms. If the primary task is automatic, then the simultaneous performance of a secondary task would have </w:t>
      </w:r>
      <w:r>
        <w:t xml:space="preserve">little to </w:t>
      </w:r>
      <w:r w:rsidRPr="004859B6">
        <w:t xml:space="preserve">no effect on the primary task. However, dual-tasking often results in </w:t>
      </w:r>
      <w:r>
        <w:t xml:space="preserve">deteriorations, </w:t>
      </w:r>
      <w:r w:rsidRPr="004859B6">
        <w:t>i.e. dual-task interference</w:t>
      </w:r>
      <w:r>
        <w:t xml:space="preserve"> </w:t>
      </w:r>
      <w:r w:rsidRPr="004859B6">
        <w:fldChar w:fldCharType="begin" w:fldLock="1"/>
      </w:r>
      <w:r w:rsidR="004B5F8D">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4859B6">
        <w:fldChar w:fldCharType="separate"/>
      </w:r>
      <w:r w:rsidR="001D6C02" w:rsidRPr="001D6C02">
        <w:rPr>
          <w:noProof/>
        </w:rPr>
        <w:t>[11]</w:t>
      </w:r>
      <w:r w:rsidRPr="004859B6">
        <w:fldChar w:fldCharType="end"/>
      </w:r>
      <w:r>
        <w:t>,</w:t>
      </w:r>
      <w:r w:rsidRPr="004859B6">
        <w:t xml:space="preserve"> of one or both tasks</w:t>
      </w:r>
      <w:r>
        <w:t xml:space="preserve"> </w:t>
      </w:r>
      <w:r w:rsidRPr="004859B6">
        <w:fldChar w:fldCharType="begin" w:fldLock="1"/>
      </w:r>
      <w:r w:rsidR="004B5F8D">
        <w:instrText>ADDIN CSL_CITATION {"citationItems":[{"id":"ITEM-1","itemData":{"DOI":"10.1136/jnnp.2007.126599","ISBN":"0022-3050","ISSN":"0022-3050","PMID":"18006652","abstract":"BACKGROUND: Patients with Parkinson's disease (PD) have great difficulty in performing two tasks simultaneously, but the neural contribution to this problem has not been identified. In the current study, we investigated the pathophysiology of dual task performance in PD. METHODS: We studied 15 patients with PD and 14 healthy controls. Functional MRIs were obtained before and after practicing dual tasks with different complexities. RESULTS: After practice, 12 normal subjects performed all dual tasks correctly. Twelve patients performed the simpler dual tasks correctly. However, only 3 patients could perform the more complex dual task correctly. Dual tasks activated similar brain regions in both groups. The bilateral precuneus was additionally activated during performance of dual tasks compared with the component tasks in both groups. Patients had greater activity in the cerebellum, premotor area, parietal cortex, precuneus and prefrontal cortex compared with normal subjects. CONCLUSIONS: Difficulty in performing two tasks simultaneously in patients with PD is probably due to limited attentional resources, defective central executive function and less automaticity in performing the tasks. Practice can diminish dual task interference and improve performance in patients with PD.","author":[{"dropping-particle":"","family":"Wu","given":"Tao","non-dropping-particle":"","parse-names":false,"suffix":""},{"dropping-particle":"","family":"Hallett","given":"Mark","non-dropping-particle":"","parse-names":false,"suffix":""}],"container-title":"Journal of Neurology, Neurosurgery &amp; Psychiatry","id":"ITEM-1","issue":"7","issued":{"date-parts":[["2008","7","1"]]},"note":"Before training, more errors were found in performing dual tasks than in performing single tasks, as well as in performing the more complex dual tasks (sequence-12/letter-counting and sequence-12/ tapping) than in performing the simpler dual tasks. Patients made more errors than normal subjects while performing dual tasks.\n\nAfter training (4.7 +- 1.0 h), 12 normal subjects performed all dual tasks correctly. In contrast, although they spent significantly more time (6.0 +- 0.8 h) performing the tasks, only 12 patients could perform the simpler dual tasks with high accuracy. Among them, only three patients performed the more complex dual tasks correctly.\n\nAlthough training significantly improved performance in both groups, patients still had more errors in performing the more complex dual tasks compared with normal subjects. There is a significant interaction between before/after training performance and normal/PD group.\n\n\nAt both the before- and after-training stages, patients had greater activation in the bilateral DLPFC, middle frontal gyrus, bilateral PMA, bilateral parietal cortex, bilateral precuneus, bilateral temporal lobe, occipital lobe, bilateral cerebellum, thalamus and cingulate gyrus compared with normal subjects while performing dual tasks.","page":"760-766","title":"Neural correlates of dual task performance in patients with Parkinson's disease","type":"article-journal","volume":"79"},"uris":["http://www.mendeley.com/documents/?uuid=ca8467b6-3c03-4e43-a079-8d80a4fa0569"]}],"mendeley":{"formattedCitation":"[8]","plainTextFormattedCitation":"[8]","previouslyFormattedCitation":"[8]"},"properties":{"noteIndex":0},"schema":"https://github.com/citation-style-language/schema/raw/master/csl-citation.json"}</w:instrText>
      </w:r>
      <w:r w:rsidRPr="004859B6">
        <w:fldChar w:fldCharType="separate"/>
      </w:r>
      <w:r w:rsidR="001D6C02" w:rsidRPr="001D6C02">
        <w:rPr>
          <w:noProof/>
        </w:rPr>
        <w:t>[8]</w:t>
      </w:r>
      <w:r w:rsidRPr="004859B6">
        <w:fldChar w:fldCharType="end"/>
      </w:r>
      <w:r w:rsidRPr="004859B6">
        <w:t>. Dual-task interference</w:t>
      </w:r>
      <w:r>
        <w:t xml:space="preserve"> </w:t>
      </w:r>
      <w:r w:rsidRPr="004859B6">
        <w:fldChar w:fldCharType="begin" w:fldLock="1"/>
      </w:r>
      <w:r w:rsidR="004B5F8D">
        <w:instrText>ADDIN CSL_CITATION {"citationItems":[{"id":"ITEM-1","itemData":{"DOI":"10.1007/s00221-013-3412-9","ISBN":"0022101334129","ISSN":"0014-4819","PMID":"23371748","abstract":"The simultaneous performance of a cognitive task while walking typically alters the gait pattern. In some populations, these alterations have been associated with an increased risk of falls, motivating study of this response from the clinical perspective. The mechanisms responsible for these effects are not fully understood. The concurrent requirement to control upright posture and stepping, a bilaterally coordinated rhythmic task, may be the cause of this so-called dual-tasking effect. To evaluate this possibility, the present study was designed to isolate the individual contribution of these two demands by assessing the effects of cognitive loading on standing (i.e., postural control without bilateral coordination of stepping), cycling (i.e., bilateral coordination similar to stepping, but with minimal postural demands), and walking. We also investigated the effects of aging and parkinsonism on the performance of these three tasks in response to cognitive loading, also referred to as a dual task. Twenty-one healthy young adults, 15 healthy older adults, and 18 patients with Parkinson's disease were assessed while walking, standing, and cycling, with and without an additional cognitive load. In the young adults, the performance on the two motor tasks that involved bilateral coordination deteriorated significantly in response to the dual task, while standing was not impacted. Similar results, although less robust, were observed among the healthy older adults. In contrast, among the patients with Parkinson's disease, the dual-task costs, i.e., the impact of the simultaneously performed cognitive task on the gait pattern, were high in all motor tasks. These findings suggest that walking is especially vulnerable to cognitive loading, in part, because of the unique sensitivity of bilateral coordination of limb movements to the effects of dual tasking.","author":[{"dropping-particle":"","family":"Yogev-Seligmann","given":"Galit","non-dropping-particle":"","parse-names":false,"suffix":""},{"dropping-particle":"","family":"Giladi","given":"Nir","non-dropping-particle":"","parse-names":false,"suffix":""},{"dropping-particle":"","family":"Gruendlinger","given":"Leor","non-dropping-particle":"","parse-names":false,"suffix":""},{"dropping-particle":"","family":"Hausdorff","given":"Jeffrey M.","non-dropping-particle":"","parse-names":false,"suffix":""}],"container-title":"Experimental Brain Research","id":"ITEM-1","issue":"1","issued":{"date-parts":[["2013","4","1"]]},"note":"Among the young adults, all gait measures become worse in response to dual tasking. In contrast, when the young adults performed the verbal fluency task while standing, both the center-of-pressure radial displacement and center-of-pressure area (p &amp;lt; 0.033) improved (became smaller) and center-of-pressure velocity did not change significantly.\n\nThus, in the young adults, the performance of both tasks that involved bilateral coordination, i.e., walk-(p = 0.274). Thus, in the young adults, the performance of both tasks that involved bilateral coordination, i.e., walk-ing and cycling, deteriorated in response to the dual tasking.\n\nWalking Among both the older adults and the patients with Parkinson’s disease, the simultaneous performance of the verbal fluency task had a significant negative effect on all gait measures (p &amp;lt; 0.002)\n\nQuiet Standing In the older adults and the patients with Parkinson’s disease, dual tasking caused a significant increase in center-of-pressure velocity (p &amp;lt; 0.013), demonstrating a decrease in performance. No significant dual-tasking effects were observed for center-of-pressure radial displacement or center-of-pressure area in these two groups.\n\nWalking\nFor both average stride time and stride time variability, significant main effects were observed, p = 0.002, p = 0.003,respectively. Post hoc analysis revealed significant differences only between the young adults and the patients with Parkinson’s disease, p = 0.002, p = 0.002, respectively, and trends between the older adults and the patients with Parkinson’s disease, p = 0.063, p = 0.088, respectively. Walking speed showed similar findings with a significant main effect (p &amp;lt; 0.001) and significant differences in post hoc analysis between the young adults and the patients with Parkinson’s disease (p &amp;lt; 0.001), and between the older adults and the patients with Parkinson’s disease (p = 0.048).\n\nStanding\nFor both radial displacement of center-of-pressure and average velocity of the center-of-pressure, significant main effects were observed (p = 0.018, p = 0.044, respectively). Post hoc analysis revealed significant differences between the young adults and the patients with Parkinson’s disease, p = 0.014, p = 0.036, respectively. Center-of-pressure area results were similar to those of the radial displacement, main effect, p = 0.022, with post hoc analysis showing significant differences between the young adults and patients with Parkinson’s disease, p = 0.016.\n\n\nPost hoc analyses revealed that dual-tasking\ncosts of stride time variability were larger than those of\ncenter-of-pressure velocity and cycling variability.","page":"81-93","title":"The contribution of postural control and bilateral coordination to the impact of dual tasking on gait","type":"article-journal","volume":"226"},"uris":["http://www.mendeley.com/documents/?uuid=a11508fa-4cc9-481f-a45f-d75168384dcb"]},{"id":"ITEM-2","itemData":{"DOI":"10.1016/j.gaitpost.2015.06.188","ISSN":"09666362","abstract":"This study aimed to examine the differences in standing balance between individuals with Parkinson’s disease (PD) and subjects without PD (control group), under single and dual-task conditions. A cross- sectional study was designed using a non-probabilistic sample of 110 individuals (50 participants with PD and 60 controls) aged 50 years old and over. The individuals with PD were in the early or middle stages of the disease (characterized by Hoehn and Yahr as stages 1–3). The standing balance was assessed by measuring the centre of pressure (CoP) displacement in single-task (eyes-open/eyes-closed) and dual-task (while performing two different verbal fluency tasks). No significant differences were found between the groups regarding sociodemographic variables. In general, the standing balance of the individuals with PD was worse than the controls, as the CoP displacement across tasks was significantly higher for the individuals with PD (p &lt; 0.01), both in anteroposterior and mediolateral directions. Moreover, there were significant differences in the CoP displacement based parameters between the conditions, mainly between the eyes-open condition and the remaining conditions. However, there was no significant interaction found between group and condition, which suggests that changes in the CoP displacement between tasks were not influenced by having PD. In conclusion, this study shows that, although individuals with PD had a worse overall standing balance than individuals without the disease, the impact of performing an additional task on the CoP displacement is similar for both groups.","author":[{"dropping-particle":"","family":"Fernandes","given":"Ângela","non-dropping-particle":"","parse-names":false,"suffix":""},{"dropping-particle":"","family":"Coelho","given":"Tiago","non-dropping-particle":"","parse-names":false,"suffix":""},{"dropping-particle":"","family":"Vitória","given":"Ana","non-dropping-particle":"","parse-names":false,"suffix":""},{"dropping-particle":"","family":"Ferreira","given":"Augusto","non-dropping-particle":"","parse-names":false,"suffix":""},{"dropping-particle":"","family":"Santos","given":"Rubim","non-dropping-particle":"","parse-names":false,"suffix":""},{"dropping-particle":"","family":"Rocha","given":"Nuno","non-dropping-particle":"","parse-names":false,"suffix":""},{"dropping-particle":"","family":"Fernandes","given":"Lia","non-dropping-particle":"","parse-names":false,"suffix":""},{"dropping-particle":"","family":"Tavares","given":"João Manuel R.S.","non-dropping-particle":"","parse-names":false,"suffix":""}],"container-title":"Gait &amp; Posture","id":"ITEM-2","issue":"3","issued":{"date-parts":[["2015","9"]]},"note":"The CoP displacement based parameters studied were its maximum displacement (cm) in the anteroposterior (AP) and mediolateral (ML) directions, and its mean velocity (cm/s).\n\n\nTwo different verbal fluency tasks: semantic fluency task (enunciate the name of as many species of animals as possible) and phonemic fluency task (enunciate as many words as possible beginning with the letter R).\n\nThrough the mixed model ANOVA (Table 2) analyses, it was possible to ascertain that there were statistically significant differences (p &amp;lt; 0.01) between the individuals with PD and the controls regarding the maximum CoP displacement (both in AP and ML directions), but not in regard to the mean CoP velocity (p = 0.19). Overall, the CoP based values were higher for the individuals with PD (Table 3).\n\nSignificant differences were also found between the tasks (within-subjects) for the maximum CoP displacement in ML direction (p &amp;lt; 0.01), maximum CoP displacement in AP direction (p &amp;lt; 0.05), and mean CoP velocity (p &amp;lt; 0.01). Post hoc analysis (Table 4) showed that these differences were between the eyes- open task and the remaining tasks, particularly for the maximum CoP displacement in ML direction and for the mean CoP velocity, and between the eyes-open and the eyes-closed conditions, in particular, for the maximum CoP displacement in AP direction.\n\n\nTherefore, it was found that the effect of performing a more complex task (standing with eyes closed), or an additional task (enunciating words while standing), on standing balance was not significantly different between the individuals with PD and controls (PD not worse than controls, but both groups had sig changes between tasks).\n\n\nIn general, the standing balance of the individuals with PD was worse (i.e. presented higher CoP displacement values) than those without the disease. Furthermore, the differences in standing balance between tasks were not influenced by having PD. In other words, the impact of performing more complex tasks on standing balance was similar for the individuals with PD and the controls, although the standing balance of the individuals with PD was consistently worse.","page":"323-328","title":"Standing balance in individuals with Parkinson's disease during single and dual-task conditions","type":"article-journal","volume":"42"},"uris":["http://www.mendeley.com/documents/?uuid=b6921266-33e3-4201-a791-af0d0f6a2df1"]},{"id":"ITEM-3","itemData":{"DOI":"10.1093/ageing/30.1.47","ISBN":"0002-0729","ISSN":"00020729","PMID":"11322672","abstract":"BACKGROUND: people with Parkinson's disease often fall. OBJECTIVES: to report the frequency of falls and characteristics of fallers and non-fallers in a community-based sample of people with Parkinson's disease. METHOD: we administered a battery of standardized tests in the home and the laboratory. RESULTS: we recruited 63 people with Parkinson's disease through general practices. Forty (64%, 95% confidence interval 51-74%) had fallen in the previous 12 months. Many factors associated with falling in the general population were associated with Parkinson's disease fallers (e.g. use of multiple medication and greater physical disability). Fallers were more likely to be depressed and anxious than non-fallers. Condition-specific factors associated with falling included greater disease severity (although there were exceptions) and more marked response to levodopa treatment, including more dyskinesia and on-off phenomena. Fallers took more steps to complete a test of mobility. They also had a shorter functional reach and greater postural sway whilst completing a dual task than non-fallers. CONCLUSION: this community-based study confirms the high risk of falling in Parkinson's disease. Our results suggest that disease-specific factors contribute to the increased risk and that there is scope for specific therapeutic interventions.","author":[{"dropping-particle":"","family":"Ashburn","given":"Ann","non-dropping-particle":"","parse-names":false,"suffix":""},{"dropping-particle":"","family":"Stack","given":"Emma","non-dropping-particle":"","parse-names":false,"suffix":""},{"dropping-particle":"","family":"Pickering","given":"Ruth M.","non-dropping-particle":"","parse-names":false,"suffix":""},{"dropping-particle":"","family":"Ward","given":"Christopher D.","non-dropping-particle":"","parse-names":false,"suffix":""}],"container-title":"Age and Ageing","id":"ITEM-3","issue":"1","issued":{"date-parts":[["2001"]]},"note":"Disease severity and more levodopa side-effects (dyskinesia and wearing off) were associated with falling. Also, shorter fx reach and greater postural sway in DT also discriminated fallers from non-fallers.\n\nDT paradigm = Standing eo with color judgement on a series of playing cards.","page":"47-52","title":"A community-dwelling sample of people with Parkinson's disesase: Characteristics of fallers and non-fallers","type":"article-journal","volume":"30"},"uris":["http://www.mendeley.com/documents/?uuid=25fe04ac-b06b-4478-a2dc-be41be1040c8"]},{"id":"ITEM-4","itemData":{"DOI":"10.1590/0004-282X20150153","ISSN":"1678-4227","PMID":"26517212","abstract":"Objectives To estimate the impact of a sensory-motor- cognitive task on postural balance, in Parkinson disease patients (Hoehn and Yahr 2-3) and to investigate possible relationships between posturography and functional balance clinical scales.Method Parkinson disease patients (n = 40) and healthy controls (n = 27) were evaluated with fluency tests, Berg Balance scale, Mini Best test and static posturography on the conditions eyes open, eyes closed and dual-task (simultaneous balance and fluency tasks).Results Posturographic data showed that Parkinson disease patients performed worse than controls in all evaluations. In general, balance on dual-task was significantly poorer than balance with eyes closed. Posturographic data were weakly correlated to clinical balance scales.Conclusion In clinical practice, Parkinson disease patients are commonly assessed with eyes closed, to sensitize balance. Our study showed that adding a cognitive task is even more effective. Static posturographic data should be carefully overgeneralized to infer functional balance impairments.","author":[{"dropping-particle":"","family":"Barbosa","given":"Alessandra Ferreira","non-dropping-particle":"","parse-names":false,"suffix":""},{"dropping-particle":"","family":"Souza","given":"Carolina de Oliveira","non-dropping-particle":"","parse-names":false,"suffix":""},{"dropping-particle":"","family":"Chen","given":"Janini","non-dropping-particle":"","parse-names":false,"suffix":""},{"dropping-particle":"","family":"Francato","given":"Débora Valente","non-dropping-particle":"","parse-names":false,"suffix":""},{"dropping-particle":"","family":"Caromano","given":"Fátima Aparecida","non-dropping-particle":"","parse-names":false,"suffix":""},{"dropping-particle":"","family":"Chien","given":"Hsin Fen","non-dropping-particle":"","parse-names":false,"suffix":""},{"dropping-particle":"","family":"Barbosa","given":"Egberto Reis","non-dropping-particle":"","parse-names":false,"suffix":""},{"dropping-particle":"","family":"Greve","given":"Júlia Maria D'Andrea","non-dropping-particle":"","parse-names":false,"suffix":""},{"dropping-particle":"","family":"Voos","given":"Mariana Callil","non-dropping-particle":"","parse-names":false,"suffix":""}],"container-title":"Arquivos de Neuro-Psiquiatria","id":"ITEM-4","issue":"11","issued":{"date-parts":[["2015","11"]]},"note":"Fifty-two volunteered and forty met our inclusion criteria and gave informed consent. Additional inclusion criteria for PD patients comprehended having received the diagnosis of PD according to the clinical criteria of the United Kingdom Parkinson Disease Society Brain Bank; Hoehn and Yahr (H&amp;amp;Y) score between 2 and 3; being on antiparkinsonian drug treatment at a stable and optimized daily dosage during the last 4 weeks prior to study entry.\n\nData were collected in three trials of 60 seconds, under\nthree conditions: (i) keeping balance with eyes open (EO); (ii) keeping balance with eyes closed (EC); (iii) dual-task (DT): keeping balance with eyes open and performing three fluency tasks: saying as many words as possible starting with letter F (trial 1), saying words starting with letter P (trial 2) and naming fruits (trial 3). Each trial lasted for one minute.\n\nDescriptive measures of the center of pressure (COP) displacement oscillation were collected by posturography: the mean velocity of the COP oscillation (Vavg), the elliptical area area covering 95% of the COP projection points (area) and the standard deviations of the COP oscillation on both axes, mediolateral (SD-ML) and anteroposterior (SD-AP).\n\nMean velocity: ANOVA showed that the mean veloc-\nity of the COP oscillation (Vavg) was significantly different between groups (p = 0.020) and conditions (p &amp;lt; 0.001), but no interaction groups vs. conditions was found (p = 0.894) (Figure 1). For both groups, the velocity of body sway and the data confidence interval (data variability) gradually increased from eyes open to eyes closed conditions and from eyes closed to dual-task. \n\nElliptical area: The elliptical area covering 95% of the COP projection points and the standard deviation of the COP oscillation on mediolateral axis showed similar variations on the three conditions. Significant differences were observed between groups (p = 0.010) and conditions (p &amp;lt; 0.001), but no interaction groups vs. conditions (p = 0.771) (Figure 2). Both groups had greater postural sway on the dual-task condition, comparing it to the conditions eyes open and eyes closed.\n\nStandard deviation of the COP oscillation on mediolateral axis: The standard deviation of the COP oscillation on mediolateral axis (SD-ML) also showed a significant difference between groups (p = 0.001) and conditions (p &amp;lt; 0.001), but no interaction groups vs. conditions (p = 0.834) (Figure 3). Both groups had greater postural sway on the dual-task condition, comparing it to the conditions eyes open and eyes closed. The addition of the cognitive task had more impact on postural control than the visual deprivation for both groups. A higher variability in performance (a higher confidence interval) was observed on dual-task conditions. \n\nStandard deviation of the COP oscillation on anteropos-\nterior axis: The standard deviation of the COP oscillation on anteroposterior axis (AP-SD) showed a significant difference between groups (p = 0.007), conditions (p &amp;lt; 0.001), and also a significant interaction groups vs. conditions (p = 0.027). PD patients showed a higher SD-AP during the whole assessment, while controls gradually increased their SD-AP on the conditions eyes closed (p = 0.0005) and dual-task (p &amp;lt; 0.0001)","page":"906-912","title":"The competition with a concurrent cognitive task affects posturographic measures in patients with Parkinson disease","type":"article-journal","volume":"73"},"uris":["http://www.mendeley.com/documents/?uuid=1d40ec63-f790-43a5-9108-ee6f9e7fe003"]},{"id":"ITEM-5","itemData":{"DOI":"10.4061/2010/696492","ISBN":"2042-0080 (Electronic)\\r2042-0080 (Linking)","ISSN":"2042-0080","PMID":"20976093","abstract":"Although dual-task interference has previously been demonstrated to have a significant effect on postural control among individuals with Parkinson's disease, the impact of speech complexity on postural control has not been demonstrated using quantitative biomechanical measures. The postural stability of twelve participants with idiopathic Parkinson's disease and twelve healthy age-matched controls was evaluated under three conditions: (1) without a secondary task, (2) performing a rote repetition task and (3) generating a monologue. Results suggested a significant effect of cognitive load on biomechanical parameters of postural stability. Although both groups increased their postural excursion, individuals with Parkinson's disease demonstrated significantly reduced excursion as compared with that of healthy age-matched controls. This suggests that participants with Parkinson's disease may be overconstraining their postural adjustments in order to focus attention on the cognitive tasks without losing their balance. Ironically, this overconstraint may place the participant at greater risk for a fall.","author":[{"dropping-particle":"","family":"Holmes","given":"J. D.","non-dropping-particle":"","parse-names":false,"suffix":""},{"dropping-particle":"","family":"Jenkins","given":"M. E.","non-dropping-particle":"","parse-names":false,"suffix":""},{"dropping-particle":"","family":"Johnson","given":"A. M.","non-dropping-particle":"","parse-names":false,"suffix":""},{"dropping-particle":"","family":"Adams","given":"S. G.","non-dropping-particle":"","parse-names":false,"suffix":""},{"dropping-particle":"","family":"Spaulding","given":"S. J.","non-dropping-particle":"","parse-names":false,"suffix":""}],"container-title":"Parkinson's Disease","id":"ITEM-5","issued":{"date-parts":[["2010"]]},"page":"1-5","title":"Dual-Task Interference: The Effects of Verbal Cognitive Tasks on Upright Postural Stability in Parkinson's Disease","type":"article-journal","volume":"2010"},"uris":["http://www.mendeley.com/documents/?uuid=c49fe1ee-b05c-4084-9245-2c90e92e9f79"]},{"id":"ITEM-6","itemData":{"DOI":"10.1016/j.humov.2010.07.017","ISBN":"1872-7646 (Electronic)\\r0167-9457 (Linking)","ISSN":"01679457","PMID":"20800915","abstract":"Analysis of the postural stability impairments in neurodegenerative diseases is a very demanding task. Age-related declines in posturographic indices are usually superimposed on effects associated with the pathology and its treatment. We present the results of a novel postural sway ratio (SR) analysis in patients with Parkinson's disease (PD) and age-matched healthy subjects. The sway ratios have been assessed based upon center of foot-pressure (CP) signals recorded in 55 parkinsonians (Hoehn and Yahr: 1-3) and 55 age-matched healthy volunteers while standing quiet with eyes open (EO) and then with eyes closed (EC). Complementing classical sway measure abnormalities, the SR exhibited a high discriminative power for all controlled factors: pathology, vision, and direction of sway. Both the anteroposterior (AP) and mediolateral (ML) sway ratios were significantly increased in PD patients when compared to the control group. An additional SR increase was observed in the response to eyes closure. The sway ratio changes documented here can be attributed to a progressive decline of a postural stability control due to pathology. In fact, a significant correlation between the mediolateral SR under EO conditions and Motor Exam (section III) score of the UPDRS was found. The mediolateral sway ratios computed for EO and EC conditions significantly correlated with the CP path length (r=.87) and the mean anteroposterior CP position within the base of support (r=.38). Both indices reflect postural stability decline and fall tendency # in parkinsonians. The tremor-type PD patients (N=34) showed more pronounced relationships between the mediolateral SR and selected items from the UPDRS scale, including: falls (Kendall Tau=.47, p&lt;.05), rigidity (45, p&lt;.05), postural stability (retropulsion) (52), and the Motor Exam score (73). The anteroposterior SR correlated only with tremor (Kendal Tau=.77, p&lt;.05). It seems that in force plate posturography the SR can be recommended as a single reliable measure that allows for a better quantitative assessment of postural stability impairments. © 2010 Elsevier B.V.","author":[{"dropping-particle":"","family":"Błaszczyk","given":"Janusz W.","non-dropping-particle":"","parse-names":false,"suffix":""},{"dropping-particle":"","family":"Orawiec","given":"Renata","non-dropping-particle":"","parse-names":false,"suffix":""}],"container-title":"Human Movement Science","id":"ITEM-6","issue":"2","issued":{"date-parts":[["2011","4"]]},"page":"396-404","title":"Assessment of postural control in patients with Parkinson’s disease: Sway ratio analysis","type":"article-journal","volume":"30"},"uris":["http://www.mendeley.com/documents/?uuid=6e5310a9-882d-4b51-97c6-d17736752866"]},{"id":"ITEM-7","itemData":{"DOI":"10.1016/j.gaitpost.2012.02.009","ISBN":"1110301197","ISSN":"09666362","PMID":"19772347","abstract":"Gait and balance impairments in people with Parkinson disease (PD) may lead to falls and serious injuries. Therefore, it is critical to improve our understanding of the nature of these impairments, including how they respond to prescribed anti-Parkinson medication. This is particularly important for complex balance and gait tasks that may be associated with falls. We evaluated motor function, functional balance, and gait performance during various gait tasks in 22 people with PD off and on medication (PD OFF, PD ON) and 20 healthy older adults. Although MDS-UPDRS-III score, Berg Balance Scale, mini-Balance Evaluations Systems test, and Timed-Up-and-Go improved in PD with medication, impairments persisted in all measures on medication, compared to controls. Dual task Timed-Up-and-Go did not improve with medication, and PD ON required more time than controls. Gait velocity and stride length improved similarly with medication in PD across forward, fast, backward, dual task forward, and dual task backward gait tasks. Cadence did not change with medication, nor did it differ between PD ON and controls. Velocity and stride length were reduced in PD ON compared to controls. Velocity reductions in PD ON during fast gait were cadence-mediated, while velocity reductions in backward gait were stride length-mediated. Our results suggest functional balance improves with medication in PD and gait performance improves with medication, regardless of task complexity. Remaining impairments on medication highlight the need to examine additional therapeutic options for individuals with PD to reduce the risk of falls.","author":[{"dropping-particle":"","family":"McNeely","given":"Marie E.","non-dropping-particle":"","parse-names":false,"suffix":""},{"dropping-particle":"","family":"Duncan","given":"Ryan P.","non-dropping-particle":"","parse-names":false,"suffix":""},{"dropping-particle":"","family":"Earhart","given":"Gammon M.","non-dropping-particle":"","parse-names":false,"suffix":""}],"container-title":"Gait &amp; Posture","id":"ITEM-7","issue":"1","issued":{"date-parts":[["2012","5"]]},"note":"Timed-Up-and-Go (TUG) and dual task TUG (DT-TUG) times were extracted from the mini-BESTest to measure functional mobility with and without a dual task.The dual task was random number listing.\n\n\nParticipants performed three trials each of preferred pace forward (Fwd), fast as possible forward (Fast), preferred-pace backward (Bkd), and preferred-pace dual task forward (DT-Fwd) and backward (DT-Bkd) gait. During dual task trials, participants walked\nforward or backward at preferred pace while completing a phonemic listing task (list words starting with a certain letter; aka, verbal fluency). A different letter was given for each trial, and correct words and errors were quantified.\n\n\nDT-TUG time (Fig 1D) did not improve (t(21)= −1.17, p=0.52).\n\n\nSeated and DT-Fwd phonemic listing performance (correct word rate and error rates) did not differ between PD ON and OFF or between PD ON and controls (p&amp;gt;0.05). Correct word rate during DT-Bkd gait improved in PD with medication (p=0.003), but correct word rate did not differ between PD ON and controls, and error rates did not differ in either comparison (p&amp;gt;0.05).\n\n\nCadence was also higher in Fwd compared to DT-Fwd (p&amp;lt;0.001), and Bkd compared to DT-Bkd (p=0.01).","page":"144-148","title":"Medication improves balance and complex gait performance in Parkinson disease","type":"article-journal","volume":"36"},"uris":["http://www.mendeley.com/documents/?uuid=49acee09-4b27-4ec8-8949-e01b61da950c"]}],"mendeley":{"formattedCitation":"[13,25–30]","plainTextFormattedCitation":"[13,25–30]","previouslyFormattedCitation":"[13,25–30]"},"properties":{"noteIndex":0},"schema":"https://github.com/citation-style-language/schema/raw/master/csl-citation.json"}</w:instrText>
      </w:r>
      <w:r w:rsidRPr="004859B6">
        <w:fldChar w:fldCharType="separate"/>
      </w:r>
      <w:r w:rsidR="001D6C02" w:rsidRPr="001D6C02">
        <w:rPr>
          <w:noProof/>
        </w:rPr>
        <w:t>[13,25–30]</w:t>
      </w:r>
      <w:r w:rsidRPr="004859B6">
        <w:fldChar w:fldCharType="end"/>
      </w:r>
      <w:r w:rsidRPr="004859B6">
        <w:t xml:space="preserve"> and the impact of </w:t>
      </w:r>
      <w:r>
        <w:t xml:space="preserve">various </w:t>
      </w:r>
      <w:r w:rsidRPr="004859B6">
        <w:t>PD treatments on postural performance in PD balance</w:t>
      </w:r>
      <w:r>
        <w:t xml:space="preserve"> with the eyes open and the eyes closed </w:t>
      </w:r>
      <w:r w:rsidRPr="004859B6">
        <w:fldChar w:fldCharType="begin" w:fldLock="1"/>
      </w:r>
      <w:r w:rsidR="004B5F8D">
        <w:instrText>ADDIN CSL_CITATION {"citationItems":[{"id":"ITEM-1","itemData":{"DOI":"10.1016/j.clinbiomech.2007.11.007","ISBN":"2122633255","ISSN":"02680033","PMID":"18155331","abstract":"Background: The voluntary, maximum inclined posture reflects the self-perceived limits of stability. Parkinson's disease is associated with small, bradykinetic postural weight shifts while standing but it is unclear whether this is due to reduced limits of stability and/or to the selection of abnormal strategies for leaning. The aim of this study was to investigate the effects of Parkinson's disease and levodopa medication on voluntary limits of stability and strategies used to reach these limits. Methods: Fourteen subjects with Parkinson's disease (OFF and ON levodopa) and 10 age-matched controls participated in the study. Functional limits of stability were quantified as the maximum center of pressure excursion during voluntary forward and backward leaning. Postural strategies to achieve functional limits of stability were assessed by (i) body segments alignment, (ii) the difference between center of pressure and center of mass in preparation for a lean, (iii) the timing and the velocity of the preparation phase. Findings: Functional limits of stability were significantly smaller in subjects with Parkinson's disease compared to control subjects. Subjects with Parkinson's disease maintained their stooped posture while leaning, initiated leaning with a smaller difference between center of pressure and center of mass and had a slower leaning velocity compared to control subjects. Levodopa enlarged the limits of stability in subjects with Parkinson's disease because of an increase in maximum forward, but not backward leans, but did not significantly improve postural alignment, preparation for a leaning movement, or velocity of leaning. Interpretation: Parkinson's disease reduces functional limits of stability as well as the magnitude and velocity of postural preparation during voluntary, forward and backward leaning while standing. Levodopa improves the limits of stability but not the postural strategies used to achieve the leaning. © 2007 Elsevier Ltd. All rights reserved.","author":[{"dropping-particle":"","family":"Mancini","given":"Martina","non-dropping-particle":"","parse-names":false,"suffix":""},{"dropping-particle":"","family":"Rocchi","given":"Laura","non-dropping-particle":"","parse-names":false,"suffix":""},{"dropping-particle":"","family":"Horak","given":"Fay B.","non-dropping-particle":"","parse-names":false,"suffix":""},{"dropping-particle":"","family":"Chiari","given":"Lorenzo","non-dropping-particle":"","parse-names":false,"suffix":""}],"container-title":"Clinical Biomechanics","id":"ITEM-1","issue":"4","issued":{"date-parts":[["2008"]]},"page":"450-458","title":"Effects of Parkinson's disease and levodopa on functional limits of stability","type":"article-journal","volume":"23"},"uris":["http://www.mendeley.com/documents/?uuid=6d72a960-9573-4fae-804f-615c5ec53787"]},{"id":"ITEM-2","itemData":{"DOI":"10.1136/jnnp.73.3.267","ISBN":"0022-3050","ISSN":"00223050","PMID":"12185157","abstract":"OBJECTIVE: To quantify postural sway in subjects with Parkinson's disease and elderly controls, and determine the effects of Parkinson's disease, deep brain stimulation, levodopa, and their interactions on postural control during quiet stance. METHODS: Centre of foot pressure (CoP) displacement under each foot was measured during three 60 s trials of quiet stance with eyes open in 11 controls and six patients with Parkinson's disease. Subjects with Parkinson's disease were tested in four treatment conditions: off both deep brain stimulation and levodopa (off condition); on deep brain stimulation; on levodopa; and on both deep brain stimulation and levodopa. The variables extracted from CoP included: root mean square distance (rms), mean velocity, 95% power frequency (f(95%)), area of the 95% confidence ellipse (ellipse area), direction of its major axis (mdir), and postural asymmetry between the feet. RESULTS: rms and area of postural sway were larger than normal in subjects with Parkinson's disease in the off condition, increased further with levodopa, and significantly decreased with deep brain stimulation. Mean velocity and f(95%) were also larger than normal but were restored to normal by all treatments, especially by deep brain stimulation. The combined effect of deep brain stimulation and levodopa resulted in a postural sway that was an average of the effect of each treatment individually. Levodopa increased sway more in the mediolateral than in the anterior-posterior direction. Subjects with Parkinson's disease had asymmetrical mean velocity and f(95%) between the feet, and this asymmetry increased with levodopa but decreased with deep brain stimulation. The f(95%) of the CoP correlated with tremor, posture, and gait subcomponents of the unified Parkinson's disease rating scale. CONCLUSIONS: Subjects with Parkinson's disease have abnormal postural sway in stance. Treatment with levodopa increases postural sway abnormalities, whereas treatment with deep brain stimulation improves postural sway. Quantitative evaluation of static posturography may be a useful adjunct to clinical measures in patients with Parkinson's disease.","author":[{"dropping-particle":"","family":"Rocchi","given":"Laura","non-dropping-particle":"","parse-names":false,"suffix":""},{"dropping-particle":"","family":"Chiari","given":"Lorenzo","non-dropping-particle":"","parse-names":false,"suffix":""},{"dropping-particle":"","family":"Horak","given":"Fay B","non-dropping-particle":"","parse-names":false,"suffix":""}],"container-title":"Journal of Neurology, Neurosurgery &amp; Psychiatry","id":"ITEM-2","issue":"3","issued":{"date-parts":[["2002","9","1"]]},"page":"267-274","title":"Effects of deep brain stimulation and levodopa on postural sway in Parkinson's disease","type":"article-journal","volume":"73"},"uris":["http://www.mendeley.com/documents/?uuid=b59352f9-f26b-4dbd-9f85-8e7b929077f6"]},{"id":"ITEM-3","itemData":{"DOI":"10.1093/brain/awf207","ISBN":"0006-8950 (Print)\\n0006-8950 (Linking)","ISSN":"14602156","PMID":"12183355","abstract":"Postural instability (PI) is common in idiopathic Parkinson's disease (IPD). We measured sensory and motor contributions to PI in 50 patients with advanced IPD, off and on medication and in a subset pre- and 3, 6 and 12 months post-unilateral pallidotomy, using computerized dynamic posturography [specifically, the Sensory Organization Test (SOT) and the Unified Parkinson's Disease Rating Scale (UPDRS) subscale PIGD (Postural Instability and Gait Disorder)]. Off medication, all patients had abnormal PIGD scores. The group could be separated into those with normal SOT equilibrium scores (SOTN) and those, the majority, with abnormal postural control when sensory feedback was limited (SOTABN). Medication improved the PIGD scores but worsened the SOT scores in the majority of patients. Increases in spontaneous sway in some patients contributed to the negative effect of medication on SOT scores. However, this could not explain the detrimental effect of medication on SOT scores in at least 40% of patients. On the other hand, pallidotomy improved both PIGD and SOT scores in both groups. A predictor of good outcome from pallidotomy concerning PI was the degree of worsening of the effect that medication had on SOT5 scores. PI in IPD appears to be multifactorial. We propose that the PIGD score reflects sensory and motor aspects of postural control, with normal sensory feedback, while the SOT equilibrium scores measure the sensory organizational process of postural control in the presence of altered sensory inputs. There is a dissociation between the effects of medication and pallidotomy on motor and sensory components of postural control, which may reflect the underlying pathophysiological mechanism responsible for these different components of PI. We suggest that patients with advanced IPD and PI on medication should consider adjuvant surgical treatment for better postural control.","author":[{"dropping-particle":"","family":"Bronte-Stewart","given":"Helen M.","non-dropping-particle":"","parse-names":false,"suffix":""},{"dropping-particle":"","family":"Minn","given":"A Yuriko","non-dropping-particle":"","parse-names":false,"suffix":""},{"dropping-particle":"","family":"Rodrigues","given":"Kamala","non-dropping-particle":"","parse-names":false,"suffix":""},{"dropping-particle":"","family":"Buckley","given":"Ellie L","non-dropping-particle":"","parse-names":false,"suffix":""},{"dropping-particle":"","family":"Nashner","given":"Lewis M","non-dropping-particle":"","parse-names":false,"suffix":""}],"container-title":"Brain","id":"ITEM-3","issue":"9","issued":{"date-parts":[["2002","9","1"]]},"page":"2100-2114","title":"Postural instability in idiopathic Parkinson's disease: the role of medication and unilateral pallidotomy","type":"article-journal","volume":"125"},"uris":["http://www.mendeley.com/documents/?uuid=38bd23f8-f56d-4fb7-a45b-61612e8821ea"]}],"mendeley":{"formattedCitation":"[31–33]","plainTextFormattedCitation":"[31–33]","previouslyFormattedCitation":"[31–33]"},"properties":{"noteIndex":0},"schema":"https://github.com/citation-style-language/schema/raw/master/csl-citation.json"}</w:instrText>
      </w:r>
      <w:r w:rsidRPr="004859B6">
        <w:fldChar w:fldCharType="separate"/>
      </w:r>
      <w:r w:rsidR="001D6C02" w:rsidRPr="001D6C02">
        <w:rPr>
          <w:noProof/>
        </w:rPr>
        <w:t>[31–33]</w:t>
      </w:r>
      <w:r w:rsidRPr="004859B6">
        <w:fldChar w:fldCharType="end"/>
      </w:r>
      <w:r w:rsidRPr="004859B6">
        <w:t xml:space="preserve"> have been previously investigated, but </w:t>
      </w:r>
      <w:r>
        <w:t xml:space="preserve">it </w:t>
      </w:r>
      <w:r w:rsidRPr="004859B6">
        <w:t xml:space="preserve">is still unclear how dopaminergic medication influences motor automaticity in PD, and the subsequent impact on dual-task interference. </w:t>
      </w:r>
    </w:p>
    <w:p w14:paraId="6455128F" w14:textId="3BF89ED5" w:rsidR="00517001" w:rsidRPr="004859B6" w:rsidRDefault="00517001" w:rsidP="008009D0">
      <w:pPr>
        <w:jc w:val="both"/>
      </w:pPr>
      <w:r w:rsidRPr="004859B6">
        <w:lastRenderedPageBreak/>
        <w:tab/>
        <w:t>Only a few have investigated the effects of medication on dual-task balance. McNeely et al.</w:t>
      </w:r>
      <w:r>
        <w:t xml:space="preserve"> </w:t>
      </w:r>
      <w:r w:rsidRPr="004859B6">
        <w:fldChar w:fldCharType="begin" w:fldLock="1"/>
      </w:r>
      <w:r w:rsidR="004B5F8D">
        <w:instrText>ADDIN CSL_CITATION {"citationItems":[{"id":"ITEM-1","itemData":{"DOI":"10.1016/j.gaitpost.2012.02.009","ISBN":"1110301197","ISSN":"09666362","PMID":"19772347","abstract":"Gait and balance impairments in people with Parkinson disease (PD) may lead to falls and serious injuries. Therefore, it is critical to improve our understanding of the nature of these impairments, including how they respond to prescribed anti-Parkinson medication. This is particularly important for complex balance and gait tasks that may be associated with falls. We evaluated motor function, functional balance, and gait performance during various gait tasks in 22 people with PD off and on medication (PD OFF, PD ON) and 20 healthy older adults. Although MDS-UPDRS-III score, Berg Balance Scale, mini-Balance Evaluations Systems test, and Timed-Up-and-Go improved in PD with medication, impairments persisted in all measures on medication, compared to controls. Dual task Timed-Up-and-Go did not improve with medication, and PD ON required more time than controls. Gait velocity and stride length improved similarly with medication in PD across forward, fast, backward, dual task forward, and dual task backward gait tasks. Cadence did not change with medication, nor did it differ between PD ON and controls. Velocity and stride length were reduced in PD ON compared to controls. Velocity reductions in PD ON during fast gait were cadence-mediated, while velocity reductions in backward gait were stride length-mediated. Our results suggest functional balance improves with medication in PD and gait performance improves with medication, regardless of task complexity. Remaining impairments on medication highlight the need to examine additional therapeutic options for individuals with PD to reduce the risk of falls.","author":[{"dropping-particle":"","family":"McNeely","given":"Marie E.","non-dropping-particle":"","parse-names":false,"suffix":""},{"dropping-particle":"","family":"Duncan","given":"Ryan P.","non-dropping-particle":"","parse-names":false,"suffix":""},{"dropping-particle":"","family":"Earhart","given":"Gammon M.","non-dropping-particle":"","parse-names":false,"suffix":""}],"container-title":"Gait &amp; Posture","id":"ITEM-1","issue":"1","issued":{"date-parts":[["2012","5"]]},"note":"Timed-Up-and-Go (TUG) and dual task TUG (DT-TUG) times were extracted from the mini-BESTest to measure functional mobility with and without a dual task.The dual task was random number listing.\n\n\nParticipants performed three trials each of preferred pace forward (Fwd), fast as possible forward (Fast), preferred-pace backward (Bkd), and preferred-pace dual task forward (DT-Fwd) and backward (DT-Bkd) gait. During dual task trials, participants walked\nforward or backward at preferred pace while completing a phonemic listing task (list words starting with a certain letter; aka, verbal fluency). A different letter was given for each trial, and correct words and errors were quantified.\n\n\nDT-TUG time (Fig 1D) did not improve (t(21)= −1.17, p=0.52).\n\n\nSeated and DT-Fwd phonemic listing performance (correct word rate and error rates) did not differ between PD ON and OFF or between PD ON and controls (p&amp;gt;0.05). Correct word rate during DT-Bkd gait improved in PD with medication (p=0.003), but correct word rate did not differ between PD ON and controls, and error rates did not differ in either comparison (p&amp;gt;0.05).\n\n\nCadence was also higher in Fwd compared to DT-Fwd (p&amp;lt;0.001), and Bkd compared to DT-Bkd (p=0.01).","page":"144-148","title":"Medication improves balance and complex gait performance in Parkinson disease","type":"article-journal","volume":"36"},"uris":["http://www.mendeley.com/documents/?uuid=49acee09-4b27-4ec8-8949-e01b61da950c"]}],"mendeley":{"formattedCitation":"[13]","plainTextFormattedCitation":"[13]","previouslyFormattedCitation":"[13]"},"properties":{"noteIndex":0},"schema":"https://github.com/citation-style-language/schema/raw/master/csl-citation.json"}</w:instrText>
      </w:r>
      <w:r w:rsidRPr="004859B6">
        <w:fldChar w:fldCharType="separate"/>
      </w:r>
      <w:r w:rsidR="001D6C02" w:rsidRPr="001D6C02">
        <w:rPr>
          <w:noProof/>
        </w:rPr>
        <w:t>[13]</w:t>
      </w:r>
      <w:r w:rsidRPr="004859B6">
        <w:fldChar w:fldCharType="end"/>
      </w:r>
      <w:r w:rsidRPr="004859B6">
        <w:t xml:space="preserve"> </w:t>
      </w:r>
      <w:r>
        <w:t>researched</w:t>
      </w:r>
      <w:r w:rsidRPr="004859B6">
        <w:t xml:space="preserve"> the effect of medication on dual-task gait and balance in PD using clinical balance scales (i.e., Berg Balance Scale and mini-BESTest). Their results indicated significant medication effects on the balance scales, but not dual-task Timed Up and Go. Although there is great utility in clinical balance scales, especially in assessing changes over time and in different balance domains, more objective laboratory measures like those obtained with force platform posturography are useful for determining more subtle characteristics of standing balance. Additionally, the choice of a secondary task is also important, because aspects necessary in some secondary tasks, such as articulation</w:t>
      </w:r>
      <w:r>
        <w:t xml:space="preserve"> (e.g., n-back, serial subtraction)</w:t>
      </w:r>
      <w:r w:rsidRPr="004859B6">
        <w:t>, may affect posturographic measures independent</w:t>
      </w:r>
      <w:r>
        <w:t>ly</w:t>
      </w:r>
      <w:r w:rsidRPr="004859B6">
        <w:t xml:space="preserve"> </w:t>
      </w:r>
      <w:r w:rsidRPr="004859B6">
        <w:fldChar w:fldCharType="begin" w:fldLock="1"/>
      </w:r>
      <w:r w:rsidR="004B5F8D">
        <w:instrText>ADDIN CSL_CITATION {"citationItems":[{"id":"ITEM-1","itemData":{"DOI":"10.1016/S0926-6410(03)00058-2","ISBN":"0926-6410 (Print)\\r0926-6410 (Linking)","ISSN":"09266410","PMID":"12706223","abstract":"Many studies have been carried out to investigate the attentional resources required for postural control, using a 'dual-task' methodology in which performance on mental and postural control tasks is compared when these are carried out separately and concurrently. Most mental tasks used in these dual-task studies have employed verbal responses. However, changes in respiration during speech production are known to produce changes in postural control. Hence, the goal of this study was to determine whether articulation might contribute to the changes found in postural sway when a spoken mental task is being performed and to determine if the type of postural control measurement might also have an impact on the outcome of the study. Twenty young healthy participants were asked to stand on a force platform while executing secondary tasks that were performed silently or required a verbal response, and that required high or low levels of attention. Vision and postural task difficulty were manipulated. Performance of all tasks produced an increased sway frequency and decreased sway amplitude relative to the no task baseline. However, tasks that required articulation resulted in a more pronounced increase in postural sway frequency and sway path than did the tasks that did not require any articulation. These findings could imply that the addition of a secondary task results in increased stiffness, whereas articulation results in a further increased frequency of sway, which leads to an increase in sway path. We conclude that changes in the various parameters of sway that accompany performance of secondary tasks are complex, and are not always wholly attributable to attentional load, but may also be partly due to the motor requirements of the task, such as those involved in articulation. © 2003 Elsevier Science B.V. All rights reserved.","author":[{"dropping-particle":"","family":"Dault","given":"Mylène C.","non-dropping-particle":"","parse-names":false,"suffix":""},{"dropping-particle":"","family":"Yardley","given":"Lucy","non-dropping-particle":"","parse-names":false,"suffix":""},{"dropping-particle":"","family":"Frank","given":"James S.","non-dropping-particle":"","parse-names":false,"suffix":""}],"container-title":"Cognitive Brain Research","id":"ITEM-1","issue":"3","issued":{"date-parts":[["2003","5"]]},"page":"434-440","title":"Does articulation contribute to modifications of postural control during dual-task paradigms?","type":"article-journal","volume":"16"},"uris":["http://www.mendeley.com/documents/?uuid=bcec4f3a-1115-4ff1-9c2f-46d755867410"]}],"mendeley":{"formattedCitation":"[34]","plainTextFormattedCitation":"[34]","previouslyFormattedCitation":"[34]"},"properties":{"noteIndex":0},"schema":"https://github.com/citation-style-language/schema/raw/master/csl-citation.json"}</w:instrText>
      </w:r>
      <w:r w:rsidRPr="004859B6">
        <w:fldChar w:fldCharType="separate"/>
      </w:r>
      <w:r w:rsidR="001D6C02" w:rsidRPr="001D6C02">
        <w:rPr>
          <w:noProof/>
        </w:rPr>
        <w:t>[34]</w:t>
      </w:r>
      <w:r w:rsidRPr="004859B6">
        <w:fldChar w:fldCharType="end"/>
      </w:r>
      <w:r>
        <w:t xml:space="preserve"> and may mask or muddle</w:t>
      </w:r>
      <w:r w:rsidRPr="004859B6">
        <w:t xml:space="preserve"> dual-task effects.</w:t>
      </w:r>
      <w:r>
        <w:t xml:space="preserve"> </w:t>
      </w:r>
    </w:p>
    <w:p w14:paraId="3CBFB358" w14:textId="20FCCC8A" w:rsidR="00A74983" w:rsidRPr="00893557" w:rsidRDefault="00517001" w:rsidP="008009D0">
      <w:pPr>
        <w:jc w:val="both"/>
      </w:pPr>
      <w:r w:rsidRPr="004859B6">
        <w:tab/>
        <w:t>The aim of this study was to assess how dopaminergic medication affected long-duration (3 min)</w:t>
      </w:r>
      <w:r>
        <w:t xml:space="preserve"> </w:t>
      </w:r>
      <w:r w:rsidRPr="004859B6">
        <w:t>standing balance with the eyes open and the eyes closed while dual-tasking in PD.</w:t>
      </w:r>
      <w:r>
        <w:t xml:space="preserve"> The different eyes conditions were desirable to increase task complexity in a graded way (i.e., single-task eyes open &lt; single-task eyes closed &lt; dual-task eyes open &lt; dual-task eyes closed) and to aid in comparisons with other posturographic studies that have employed either or both conditions. </w:t>
      </w:r>
      <w:r w:rsidRPr="004859B6">
        <w:t>Additionally, objective posturographic measures and a constant-attention secondary task that did not require motor activity were employed to strengthen the robustness of the results and the dual-task interference interpretation</w:t>
      </w:r>
      <w:r>
        <w:t>s</w:t>
      </w:r>
      <w:r w:rsidRPr="004859B6">
        <w:t xml:space="preserve">. It was hypothesized that </w:t>
      </w:r>
      <w:r w:rsidR="00540827">
        <w:t xml:space="preserve">the </w:t>
      </w:r>
      <w:r w:rsidRPr="004859B6">
        <w:t>medication</w:t>
      </w:r>
      <w:r w:rsidR="00540827">
        <w:t>s</w:t>
      </w:r>
      <w:r w:rsidRPr="004859B6">
        <w:t xml:space="preserve"> would improve balance automaticity such that </w:t>
      </w:r>
      <w:r>
        <w:t>objective measures of the primary</w:t>
      </w:r>
      <w:r w:rsidRPr="004859B6">
        <w:t xml:space="preserve"> and secondary task performance in the dual-task </w:t>
      </w:r>
      <w:r w:rsidRPr="004859B6">
        <w:lastRenderedPageBreak/>
        <w:t>conditions on-medication would be significantly decreased compared to single-task off-medication conditions.</w:t>
      </w:r>
    </w:p>
    <w:p w14:paraId="14E983A5" w14:textId="18578531" w:rsidR="00533FFE" w:rsidRPr="00864B56" w:rsidRDefault="00533FFE" w:rsidP="008009D0">
      <w:pPr>
        <w:pStyle w:val="Heading2"/>
        <w:jc w:val="both"/>
      </w:pPr>
      <w:bookmarkStart w:id="36" w:name="_Toc527361745"/>
      <w:r w:rsidRPr="00864B56">
        <w:t>Methods</w:t>
      </w:r>
      <w:bookmarkEnd w:id="36"/>
    </w:p>
    <w:p w14:paraId="5D6C0889" w14:textId="709D6497" w:rsidR="00533FFE" w:rsidRPr="00864B56" w:rsidRDefault="00533FFE" w:rsidP="008009D0">
      <w:pPr>
        <w:pStyle w:val="Heading3"/>
        <w:jc w:val="both"/>
      </w:pPr>
      <w:bookmarkStart w:id="37" w:name="_Toc527361746"/>
      <w:r w:rsidRPr="00864B56">
        <w:t>Subjects</w:t>
      </w:r>
      <w:bookmarkEnd w:id="37"/>
    </w:p>
    <w:p w14:paraId="02DCC3E0" w14:textId="48529C08" w:rsidR="00533FFE" w:rsidRPr="0060260E" w:rsidRDefault="00533FFE" w:rsidP="008009D0">
      <w:pPr>
        <w:jc w:val="both"/>
        <w:rPr>
          <w:rFonts w:cs="Arial"/>
        </w:rPr>
      </w:pPr>
      <w:r>
        <w:rPr>
          <w:rFonts w:cs="Arial"/>
        </w:rPr>
        <w:tab/>
      </w:r>
      <w:r w:rsidR="00041B02" w:rsidRPr="00E43A4D">
        <w:rPr>
          <w:rFonts w:eastAsia="MS Mincho" w:cs="Arial"/>
        </w:rPr>
        <w:t>Sixteen subjects (4 female) with mild to moderate PD (i.e., Hoehn and Yahr</w:t>
      </w:r>
      <w:r w:rsidR="00041B02">
        <w:rPr>
          <w:rFonts w:eastAsia="MS Mincho" w:cs="Arial"/>
        </w:rPr>
        <w:t xml:space="preserve"> </w:t>
      </w:r>
      <w:r w:rsidR="00041B02" w:rsidRPr="00E43A4D">
        <w:rPr>
          <w:rFonts w:eastAsia="MS Mincho" w:cs="Arial"/>
        </w:rPr>
        <w:fldChar w:fldCharType="begin" w:fldLock="1"/>
      </w:r>
      <w:r w:rsidR="004B5F8D">
        <w:rPr>
          <w:rFonts w:eastAsia="MS Mincho" w:cs="Arial"/>
        </w:rPr>
        <w:instrText>ADDIN CSL_CITATION {"citationItems":[{"id":"ITEM-1","itemData":{"ISSN":"0028-3878","PMID":"6067254","author":[{"dropping-particle":"","family":"Hoehn","given":"M M","non-dropping-particle":"","parse-names":false,"suffix":""},{"dropping-particle":"","family":"Yahr","given":"M D","non-dropping-particle":"","parse-names":false,"suffix":""}],"container-title":"Neurology","id":"ITEM-1","issue":"5","issued":{"date-parts":[["1967","5"]]},"page":"427-42","title":"Parkinsonism: onset, progression and mortality.","type":"article-journal","volume":"17"},"uris":["http://www.mendeley.com/documents/?uuid=b547a7c1-dbe3-4f5c-a280-4953cd79526a"]}],"mendeley":{"formattedCitation":"[14]","plainTextFormattedCitation":"[14]","previouslyFormattedCitation":"[14]"},"properties":{"noteIndex":0},"schema":"https://github.com/citation-style-language/schema/raw/master/csl-citation.json"}</w:instrText>
      </w:r>
      <w:r w:rsidR="00041B02" w:rsidRPr="00E43A4D">
        <w:rPr>
          <w:rFonts w:eastAsia="MS Mincho" w:cs="Arial"/>
        </w:rPr>
        <w:fldChar w:fldCharType="separate"/>
      </w:r>
      <w:r w:rsidR="001D6C02" w:rsidRPr="001D6C02">
        <w:rPr>
          <w:rFonts w:eastAsia="MS Mincho" w:cs="Arial"/>
          <w:noProof/>
        </w:rPr>
        <w:t>[14]</w:t>
      </w:r>
      <w:r w:rsidR="00041B02" w:rsidRPr="00E43A4D">
        <w:rPr>
          <w:rFonts w:eastAsia="MS Mincho" w:cs="Arial"/>
        </w:rPr>
        <w:fldChar w:fldCharType="end"/>
      </w:r>
      <w:r w:rsidR="00041B02" w:rsidRPr="00E43A4D">
        <w:rPr>
          <w:rFonts w:eastAsia="MS Mincho" w:cs="Arial"/>
        </w:rPr>
        <w:t xml:space="preserve"> I – III) were recruited from PD-specific activity groups in the greater Houston area (see Table </w:t>
      </w:r>
      <w:r w:rsidR="00B874E7">
        <w:rPr>
          <w:rFonts w:eastAsia="MS Mincho" w:cs="Arial"/>
        </w:rPr>
        <w:t>3</w:t>
      </w:r>
      <w:r w:rsidR="00041B02" w:rsidRPr="00E43A4D">
        <w:rPr>
          <w:rFonts w:eastAsia="MS Mincho" w:cs="Arial"/>
        </w:rPr>
        <w:t xml:space="preserve"> for demographic information). Inclusion criteria were a diagnosis of PD from a </w:t>
      </w:r>
      <w:r w:rsidR="0070589E">
        <w:rPr>
          <w:rFonts w:eastAsia="MS Mincho" w:cs="Arial"/>
        </w:rPr>
        <w:t>movement disorder specialist</w:t>
      </w:r>
      <w:r w:rsidR="00041B02" w:rsidRPr="00E43A4D">
        <w:rPr>
          <w:rFonts w:eastAsia="MS Mincho" w:cs="Arial"/>
        </w:rPr>
        <w:t xml:space="preserve">, on an unchanged regimen of dopaminergic medication for ≤ 3 months, and able to stand unassisted for ≥ 3 min. Subjects were excluded if they </w:t>
      </w:r>
      <w:r w:rsidR="00F80C1D" w:rsidRPr="00E43A4D">
        <w:rPr>
          <w:rFonts w:eastAsia="MS Mincho" w:cs="Arial"/>
        </w:rPr>
        <w:t>had injuries</w:t>
      </w:r>
      <w:r w:rsidR="00041B02" w:rsidRPr="00E43A4D">
        <w:rPr>
          <w:rFonts w:eastAsia="MS Mincho" w:cs="Arial"/>
        </w:rPr>
        <w:t xml:space="preserve"> or surgeries that caused unusual stance, respectively scored &lt; 24 or &lt; 17 on the MoCA</w:t>
      </w:r>
      <w:r w:rsidR="00041B02">
        <w:rPr>
          <w:rFonts w:eastAsia="MS Mincho" w:cs="Arial"/>
        </w:rPr>
        <w:t xml:space="preserve"> </w:t>
      </w:r>
      <w:r w:rsidR="00041B02" w:rsidRPr="00E43A4D">
        <w:rPr>
          <w:rFonts w:eastAsia="MS Mincho" w:cs="Arial"/>
        </w:rPr>
        <w:fldChar w:fldCharType="begin" w:fldLock="1"/>
      </w:r>
      <w:r w:rsidR="004B5F8D">
        <w:rPr>
          <w:rFonts w:eastAsia="MS Mincho" w:cs="Arial"/>
        </w:rPr>
        <w:instrText>ADDIN CSL_CITATION {"citationItems":[{"id":"ITEM-1","itemData":{"DOI":"10.1111/j.1532-5415.2005.53221.x","ISBN":"0002-8614\\r1532-5415","ISSN":"0002-8614","PMID":"15817019","abstract":"OBJECTIVES To develop a 10-minute cognitive screening tool (Montreal Cognitive Assessment, MoCA) to assist first-line physicians in detection of mild cognitive impairment (MCI), a clinical state that often progresses to dementia. DESIGN Validation study. SETTING A community clinic and an academic center. PARTICIPANTS Ninety-four patients meeting MCI clinical criteria supported by psychometric measures, 93 patients with mild Alzheimer's disease (AD) (Mini-Mental State Examination (MMSE) score &gt; or =17), and 90 healthy elderly controls (NC). MEASUREMENTS The MoCA and MMSE were administered to all participants, and sensitivity and specificity of both measures were assessed for detection of MCI and mild AD. RESULTS Using a cutoff score 26, the MMSE had a sensitivity of 18% to detect MCI, whereas the MoCA detected 90% of MCI subjects. In the mild AD group, the MMSE had a sensitivity of 78%, whereas the MoCA detected 100%. Specificity was excellent for both MMSE and MoCA (100% and 87%, respectively). CONCLUSION MCI as an entity is evolving and somewhat controversial. The MoCA is a brief cognitive screening tool with high sensitivity and specificity for detecting MCI as currently conceptualized in patients performing in the normal range on the MMSE.","author":[{"dropping-particle":"","family":"Nasreddine","given":"Zs","non-dropping-particle":"","parse-names":false,"suffix":""},{"dropping-particle":"","family":"Phillips","given":"Na","non-dropping-particle":"","parse-names":false,"suffix":""},{"dropping-particle":"","family":"Bédirian","given":"Va","non-dropping-particle":"","parse-names":false,"suffix":""},{"dropping-particle":"","family":"Charbonneau","given":"Si","non-dropping-particle":"","parse-names":false,"suffix":""},{"dropping-particle":"","family":"Whitehead","given":"Vi","non-dropping-particle":"","parse-names":false,"suffix":""},{"dropping-particle":"","family":"Colllin","given":"Is","non-dropping-particle":"","parse-names":false,"suffix":""},{"dropping-particle":"","family":"Cummings","given":"Je","non-dropping-particle":"","parse-names":false,"suffix":""},{"dropping-particle":"","family":"Chertkow","given":"Ho","non-dropping-particle":"","parse-names":false,"suffix":""}],"container-title":"Journal of the American Geriatrics Society","id":"ITEM-1","issue":"4","issued":{"date-parts":[["2005"]]},"page":"695-699","title":"The Montreal Cognitive Assessment, MoCA: a brief screening tool for mild cognitive impairment","type":"article-journal","volume":"53"},"uris":["http://www.mendeley.com/documents/?uuid=dbd09cfc-cf2a-45a0-a15d-309bf7b8b710"]}],"mendeley":{"formattedCitation":"[15]","plainTextFormattedCitation":"[15]","previouslyFormattedCitation":"[15]"},"properties":{"noteIndex":0},"schema":"https://github.com/citation-style-language/schema/raw/master/csl-citation.json"}</w:instrText>
      </w:r>
      <w:r w:rsidR="00041B02" w:rsidRPr="00E43A4D">
        <w:rPr>
          <w:rFonts w:eastAsia="MS Mincho" w:cs="Arial"/>
        </w:rPr>
        <w:fldChar w:fldCharType="separate"/>
      </w:r>
      <w:r w:rsidR="001D6C02" w:rsidRPr="001D6C02">
        <w:rPr>
          <w:rFonts w:eastAsia="MS Mincho" w:cs="Arial"/>
          <w:noProof/>
        </w:rPr>
        <w:t>[15]</w:t>
      </w:r>
      <w:r w:rsidR="00041B02" w:rsidRPr="00E43A4D">
        <w:rPr>
          <w:rFonts w:eastAsia="MS Mincho" w:cs="Arial"/>
        </w:rPr>
        <w:fldChar w:fldCharType="end"/>
      </w:r>
      <w:r w:rsidR="00041B02" w:rsidRPr="00E43A4D">
        <w:rPr>
          <w:rFonts w:eastAsia="MS Mincho" w:cs="Arial"/>
        </w:rPr>
        <w:t xml:space="preserve"> or telephone MoCA</w:t>
      </w:r>
      <w:r w:rsidR="00041B02">
        <w:rPr>
          <w:rFonts w:eastAsia="MS Mincho" w:cs="Arial"/>
        </w:rPr>
        <w:t xml:space="preserve"> </w:t>
      </w:r>
      <w:r w:rsidR="00041B02" w:rsidRPr="00E43A4D">
        <w:rPr>
          <w:rFonts w:eastAsia="MS Mincho" w:cs="Arial"/>
        </w:rPr>
        <w:fldChar w:fldCharType="begin" w:fldLock="1"/>
      </w:r>
      <w:r w:rsidR="004B5F8D">
        <w:rPr>
          <w:rFonts w:eastAsia="MS Mincho" w:cs="Arial"/>
        </w:rPr>
        <w:instrText>ADDIN CSL_CITATION {"citationItems":[{"id":"ITEM-1","itemData":{"DOI":"10.1161/STROKEAHA.112.673384","ISBN":"1524-4628","ISSN":"00392499","PMID":"23138443","abstract":"BACKGROUND AND PURPOSE: Face-to-face cognitive testing is not always possible in large studies. Therefore, we assessed the telephone Montreal Cognitive Assessment (T-MoCA: MoCA items not requiring pencil and paper or visual stimulus) and the modified Telephone Interview of Cognitive Status (TICSm) against face-to-face cognitive tests in patients with transient ischemic attack (TIA) or stroke.\\n\\nMETHODS: In a population-based study, consecutive community-dwelling patients underwent the MoCA and neuropsychological battery &gt;1 year after TIA or stroke, followed by T-MoCA (22 points) and TICSm (39 points) at least 1 month later. Mild cognitive impairment (MCI) was diagnosed using modified Petersen criteria and the area under the receiver-operating characteristic curve (AUC) determined for T-MoCA and TICSm.\\n\\nRESULTS: Ninety-one nondemented subjects completed neuropsychological testing (mean±SD age, 72.9±11.6 years; 54 males; stroke 49%) and 73 had telephone follow-up. MoCA subtest scores for repetition, abstraction, and verbal fluency were significantly worse (P&lt;0.02) by telephone than during face-to-face testing. Reliability of diagnosis for MCI (AUC) were T-MoCA of 0.75 (95% confidence interval [CI], 0.63-0.87) and TICSm of 0.79 (95% CI, 0.68-0.90) vs face-to-face MoCA of 0.85 (95% CI, 0.76-0.94). Optimal cutoffs were 18 to 19 for T-MoCA and 24 to 25 for TICSm. Reliability of diagnosis for MCI (AUC) was greater when only multi-domain impairment was considered (T-MoCA=0.85; 95% CI, 0.75-0.96 and TICSm=0.83, 95% CI, 0.70-0.96) vs face-to-face MoCA=0.87; 95% CI, 0.76-0.97).\\n\\nCONCLUSIONS: Both T-MoCA and TICSm are feasible and valid telephone tests of cognition after TIA and stroke but perform better in detecting multi-domain vs single-domain impairment. However, T-MoCA is limited in its ability to assess visuoexecutive and complex language tasks compared with face-to-face MoCA.","author":[{"dropping-particle":"","family":"Pendlebury","given":"Sarah T.","non-dropping-particle":"","parse-names":false,"suffix":""},{"dropping-particle":"V","family":"Welch","given":"Sarah J","non-dropping-particle":"","parse-names":false,"suffix":""},{"dropping-particle":"","family":"Cuthbertson","given":"Fiona C.","non-dropping-particle":"","parse-names":false,"suffix":""},{"dropping-particle":"","family":"Mariz","given":"Jose","non-dropping-particle":"","parse-names":false,"suffix":""},{"dropping-particle":"","family":"Mehta","given":"Ziyah","non-dropping-particle":"","parse-names":false,"suffix":""},{"dropping-particle":"","family":"Rothwell","given":"Peter M.","non-dropping-particle":"","parse-names":false,"suffix":""}],"container-title":"Stroke","id":"ITEM-1","issue":"1","issued":{"date-parts":[["2013"]]},"page":"227-229","title":"Telephone assessment of cognition after transient ischemic attack and stroke: Modified telephone interview of cognitive status and telephone montreal cognitive assessment versus face-to-face montreal cognitive assessment and neuropsychological battery","type":"article-journal","volume":"44"},"uris":["http://www.mendeley.com/documents/?uuid=49d2b986-c4e0-426b-964c-b213f1081ab2"]}],"mendeley":{"formattedCitation":"[16]","plainTextFormattedCitation":"[16]","previouslyFormattedCitation":"[16]"},"properties":{"noteIndex":0},"schema":"https://github.com/citation-style-language/schema/raw/master/csl-citation.json"}</w:instrText>
      </w:r>
      <w:r w:rsidR="00041B02" w:rsidRPr="00E43A4D">
        <w:rPr>
          <w:rFonts w:eastAsia="MS Mincho" w:cs="Arial"/>
        </w:rPr>
        <w:fldChar w:fldCharType="separate"/>
      </w:r>
      <w:r w:rsidR="001D6C02" w:rsidRPr="001D6C02">
        <w:rPr>
          <w:rFonts w:eastAsia="MS Mincho" w:cs="Arial"/>
          <w:noProof/>
        </w:rPr>
        <w:t>[16]</w:t>
      </w:r>
      <w:r w:rsidR="00041B02" w:rsidRPr="00E43A4D">
        <w:rPr>
          <w:rFonts w:eastAsia="MS Mincho" w:cs="Arial"/>
        </w:rPr>
        <w:fldChar w:fldCharType="end"/>
      </w:r>
      <w:r w:rsidR="00041B02" w:rsidRPr="00E43A4D">
        <w:rPr>
          <w:rFonts w:eastAsia="MS Mincho" w:cs="Arial"/>
        </w:rPr>
        <w:t xml:space="preserve">, experienced freezing of gait, had deep brain stimulation, or a diagnosis of dementia or other neurodegenerative diseases. This study was approved by the University of Houston’s </w:t>
      </w:r>
      <w:r w:rsidR="00041B02">
        <w:rPr>
          <w:rFonts w:eastAsia="MS Mincho" w:cs="Arial"/>
        </w:rPr>
        <w:t>Institutional Review Board,</w:t>
      </w:r>
      <w:r w:rsidR="00041B02" w:rsidRPr="00E43A4D">
        <w:rPr>
          <w:rFonts w:eastAsia="MS Mincho" w:cs="Arial"/>
        </w:rPr>
        <w:t xml:space="preserve"> and all subjects provided written informed consent.</w:t>
      </w:r>
    </w:p>
    <w:p w14:paraId="6A5324D7" w14:textId="3865EABE" w:rsidR="00533FFE" w:rsidRPr="00864B56" w:rsidRDefault="00533FFE" w:rsidP="008009D0">
      <w:pPr>
        <w:pStyle w:val="Heading3"/>
        <w:jc w:val="both"/>
      </w:pPr>
      <w:bookmarkStart w:id="38" w:name="_Toc527361747"/>
      <w:r w:rsidRPr="00864B56">
        <w:t>Equipment</w:t>
      </w:r>
      <w:r>
        <w:t xml:space="preserve"> and Tasks</w:t>
      </w:r>
      <w:bookmarkEnd w:id="38"/>
    </w:p>
    <w:p w14:paraId="0E5FAB84" w14:textId="1F7DD975" w:rsidR="00426CB3" w:rsidRPr="00E62511" w:rsidRDefault="00533FFE" w:rsidP="008009D0">
      <w:pPr>
        <w:jc w:val="both"/>
        <w:rPr>
          <w:rFonts w:eastAsia="MS Mincho" w:cs="Arial"/>
        </w:rPr>
      </w:pPr>
      <w:r>
        <w:rPr>
          <w:rFonts w:cs="Arial"/>
        </w:rPr>
        <w:tab/>
      </w:r>
      <w:r w:rsidR="00426CB3" w:rsidRPr="00E62511">
        <w:rPr>
          <w:rFonts w:eastAsia="MS Mincho" w:cs="Arial"/>
        </w:rPr>
        <w:t xml:space="preserve">Center of Pressure (COP) data were collected using the NeuroCom Balance Master force platform (NeuroCom International Inc., Clackamas, OR, USA). Variables of interest were the 95% confidence ellipse area, anterior-posterior (AP) and medial-lateral (ML) COP sway velocity, and integrated time to boundary estimates (an integral of the curve of the instantaneous time it would take for the center of pressure to exceed the base of support boundary at a given speed and direction). Because COP 95% confidence </w:t>
      </w:r>
      <w:r w:rsidR="00426CB3" w:rsidRPr="00E62511">
        <w:rPr>
          <w:rFonts w:eastAsia="MS Mincho" w:cs="Arial"/>
        </w:rPr>
        <w:lastRenderedPageBreak/>
        <w:t>ellipse area is representative the behavior of the COP in both AP and ML directions</w:t>
      </w:r>
      <w:r w:rsidR="00426CB3">
        <w:rPr>
          <w:rFonts w:eastAsia="MS Mincho" w:cs="Arial"/>
        </w:rPr>
        <w:t xml:space="preserve"> </w:t>
      </w:r>
      <w:r w:rsidR="00426CB3" w:rsidRPr="00E62511">
        <w:rPr>
          <w:rFonts w:eastAsia="MS Mincho" w:cs="Arial"/>
        </w:rPr>
        <w:fldChar w:fldCharType="begin" w:fldLock="1"/>
      </w:r>
      <w:r w:rsidR="004B5F8D">
        <w:rPr>
          <w:rFonts w:eastAsia="MS Mincho" w:cs="Arial"/>
        </w:rPr>
        <w:instrText>ADDIN CSL_CITATION {"citationItems":[{"id":"ITEM-1","itemData":{"DOI":"S1413-35552010000300003 [pii]","ISBN":"1809-9246 (Electronic)\\r1413-3555 (Linking)","ISSN":"1809-9246","PMID":"20730361","abstract":"BACKGROUND: The maintenance of balance and body orientation in humans is guaranteed by the adequate functioning of the postural control system. The investigation of this control has awakened the interest of professionals from several fields such as Physical Therapy, Physical Education, Engineering, Physics, Medicine, Psychology, and others. OBJECTIVES: The purposes of this study are to revise the methods of data analysis used to investigate the postural control in human beings and to demonstrate the computational algorithms of the main measures used in the postural control evaluation. CONCLUSION: The experimental procedures and measures used in postural control evaluation presented in this review can help in the standardization of postural control investigation.","author":[{"dropping-particle":"","family":"Duarte","given":"M","non-dropping-particle":"","parse-names":false,"suffix":""},{"dropping-particle":"","family":"Freitas","given":"S M","non-dropping-particle":"","parse-names":false,"suffix":""}],"container-title":"Revista Brasileira de Fisioterapia","id":"ITEM-1","issue":"3","issued":{"date-parts":[["2010"]]},"page":"183-192","title":"Revision of posturography based on force plate for balance evaluation","type":"article-journal","volume":"14"},"uris":["http://www.mendeley.com/documents/?uuid=dc803021-dc3d-4f16-a429-3d680d801ee1"]}],"mendeley":{"formattedCitation":"[35]","plainTextFormattedCitation":"[35]","previouslyFormattedCitation":"[35]"},"properties":{"noteIndex":0},"schema":"https://github.com/citation-style-language/schema/raw/master/csl-citation.json"}</w:instrText>
      </w:r>
      <w:r w:rsidR="00426CB3" w:rsidRPr="00E62511">
        <w:rPr>
          <w:rFonts w:eastAsia="MS Mincho" w:cs="Arial"/>
        </w:rPr>
        <w:fldChar w:fldCharType="separate"/>
      </w:r>
      <w:r w:rsidR="001D6C02" w:rsidRPr="001D6C02">
        <w:rPr>
          <w:rFonts w:eastAsia="MS Mincho" w:cs="Arial"/>
          <w:noProof/>
        </w:rPr>
        <w:t>[35]</w:t>
      </w:r>
      <w:r w:rsidR="00426CB3" w:rsidRPr="00E62511">
        <w:rPr>
          <w:rFonts w:eastAsia="MS Mincho" w:cs="Arial"/>
        </w:rPr>
        <w:fldChar w:fldCharType="end"/>
      </w:r>
      <w:r w:rsidR="00426CB3" w:rsidRPr="00E62511">
        <w:rPr>
          <w:rFonts w:eastAsia="MS Mincho" w:cs="Arial"/>
        </w:rPr>
        <w:t xml:space="preserve">, this variable was used as the primary variable of interest in the assessment of balance automaticity. PD motor symptoms were assessed using the motor section of the Movement Disorder Society Unified Parkinson’s Disease Rating Scale </w:t>
      </w:r>
      <w:r w:rsidR="00426CB3" w:rsidRPr="00E62511">
        <w:rPr>
          <w:rFonts w:eastAsia="MS Mincho" w:cs="Arial"/>
        </w:rPr>
        <w:fldChar w:fldCharType="begin" w:fldLock="1"/>
      </w:r>
      <w:r w:rsidR="004B5F8D">
        <w:rPr>
          <w:rFonts w:eastAsia="MS Mincho" w:cs="Arial"/>
        </w:rPr>
        <w:instrText>ADDIN CSL_CITATION {"citationItems":[{"id":"ITEM-1","itemData":{"DOI":"10.1002/mds.22340","ISSN":"1531-8257","PMID":"19025984","abstract":"We present a clinimetric assessment of the Movement Disorder Society (MDS)-sponsored revision of the Unified Parkinson's Disease Rating Scale (MDS-UPDRS). The MDS-UDPRS Task Force revised and expanded the UPDRS using recommendations from a published critique. The MDS-UPDRS has four parts, namely, I: Non-motor Experiences of Daily Living; II: Motor Experiences of Daily Living; III: Motor Examination; IV: Motor Complications. Twenty questions are completed by the patient/caregiver. Item-specific instructions and an appendix of complementary additional scales are provided. Movement disorder specialists and study coordinators administered the UPDRS (55 items) and MDS-UPDRS (65 items) to 877 English speaking (78% non-Latino Caucasian) patients with Parkinson's disease from 39 sites. We compared the two scales using correlative techniques and factor analysis. The MDS-UPDRS showed high internal consistency (Cronbach's alpha = 0.79-0.93 across parts) and correlated with the original UPDRS (rho = 0.96). MDS-UPDRS across-part correlations ranged from 0.22 to 0.66. Reliable factor structures for each part were obtained (comparative fit index &gt; 0.90 for each part), which support the use of sum scores for each part in preference to a total score of all parts. The combined clinimetric results of this study support the validity of the MDS-UPDRS for rating PD.","author":[{"dropping-particle":"","family":"Goetz","given":"Christopher G","non-dropping-particle":"","parse-names":false,"suffix":""},{"dropping-particle":"","family":"Tilley","given":"Barbara C","non-dropping-particle":"","parse-names":false,"suffix":""},{"dropping-particle":"","family":"Shaftman","given":"Stephanie R","non-dropping-particle":"","parse-names":false,"suffix":""},{"dropping-particle":"","family":"Stebbins","given":"Glenn T","non-dropping-particle":"","parse-names":false,"suffix":""},{"dropping-particle":"","family":"Fahn","given":"Stanley","non-dropping-particle":"","parse-names":false,"suffix":""},{"dropping-particle":"","family":"Martinez-Martin","given":"Pablo","non-dropping-particle":"","parse-names":false,"suffix":""},{"dropping-particle":"","family":"Poewe","given":"Werner","non-dropping-particle":"","parse-names":false,"suffix":""},{"dropping-particle":"","family":"Sampaio","given":"Cristina","non-dropping-particle":"","parse-names":false,"suffix":""},{"dropping-particle":"","family":"Stern","given":"Matthew B","non-dropping-particle":"","parse-names":false,"suffix":""},{"dropping-particle":"","family":"Dodel","given":"Richard","non-dropping-particle":"","parse-names":false,"suffix":""},{"dropping-particle":"","family":"Dubois","given":"Bruno","non-dropping-particle":"","parse-names":false,"suffix":""},{"dropping-particle":"","family":"Holloway","given":"Robert","non-dropping-particle":"","parse-names":false,"suffix":""},{"dropping-particle":"","family":"Jankovic","given":"Joseph","non-dropping-particle":"","parse-names":false,"suffix":""},{"dropping-particle":"","family":"Kulisevsky","given":"Jaime","non-dropping-particle":"","parse-names":false,"suffix":""},{"dropping-particle":"","family":"Lang","given":"Anthony E","non-dropping-particle":"","parse-names":false,"suffix":""},{"dropping-particle":"","family":"Lees","given":"Andrew","non-dropping-particle":"","parse-names":false,"suffix":""},{"dropping-particle":"","family":"Leurgans","given":"Sue","non-dropping-particle":"","parse-names":false,"suffix":""},{"dropping-particle":"","family":"LeWitt","given":"Peter A","non-dropping-particle":"","parse-names":false,"suffix":""},{"dropping-particle":"","family":"Nyenhuis","given":"David","non-dropping-particle":"","parse-names":false,"suffix":""},{"dropping-particle":"","family":"Olanow","given":"C Warren","non-dropping-particle":"","parse-names":false,"suffix":""},{"dropping-particle":"","family":"Rascol","given":"Olivier","non-dropping-particle":"","parse-names":false,"suffix":""},{"dropping-particle":"","family":"Schrag","given":"Anette","non-dropping-particle":"","parse-names":false,"suffix":""},{"dropping-particle":"","family":"Teresi","given":"Jeanne A","non-dropping-particle":"","parse-names":false,"suffix":""},{"dropping-particle":"","family":"Hilten","given":"Jacobus J","non-dropping-particle":"van","parse-names":false,"suffix":""},{"dropping-particle":"","family":"LaPelle","given":"Nancy","non-dropping-particle":"","parse-names":false,"suffix":""},{"dropping-particle":"","family":"Movement Disorder Society UPDRS Revision Task Force","given":"","non-dropping-particle":"","parse-names":false,"suffix":""}],"container-title":"Movement disorders : official journal of the Movement Disorder Society","id":"ITEM-1","issue":"15","issued":{"date-parts":[["2008","11","15"]]},"page":"2129-70","title":"Movement Disorder Society-sponsored revision of the Unified Parkinson's Disease Rating Scale (MDS-UPDRS): scale presentation and clinimetric testing results.","type":"article-journal","volume":"23"},"uris":["http://www.mendeley.com/documents/?uuid=f7db7025-d423-32a9-9023-839a5a646c92"]}],"mendeley":{"formattedCitation":"[17]","plainTextFormattedCitation":"[17]","previouslyFormattedCitation":"[17]"},"properties":{"noteIndex":0},"schema":"https://github.com/citation-style-language/schema/raw/master/csl-citation.json"}</w:instrText>
      </w:r>
      <w:r w:rsidR="00426CB3" w:rsidRPr="00E62511">
        <w:rPr>
          <w:rFonts w:eastAsia="MS Mincho" w:cs="Arial"/>
        </w:rPr>
        <w:fldChar w:fldCharType="separate"/>
      </w:r>
      <w:r w:rsidR="001D6C02" w:rsidRPr="001D6C02">
        <w:rPr>
          <w:rFonts w:eastAsia="MS Mincho" w:cs="Arial"/>
          <w:noProof/>
        </w:rPr>
        <w:t>[17]</w:t>
      </w:r>
      <w:r w:rsidR="00426CB3" w:rsidRPr="00E62511">
        <w:rPr>
          <w:rFonts w:eastAsia="MS Mincho" w:cs="Arial"/>
        </w:rPr>
        <w:fldChar w:fldCharType="end"/>
      </w:r>
      <w:r w:rsidR="00426CB3" w:rsidRPr="00E62511">
        <w:rPr>
          <w:rFonts w:eastAsia="MS Mincho" w:cs="Arial"/>
        </w:rPr>
        <w:t xml:space="preserve"> (</w:t>
      </w:r>
      <w:r w:rsidR="00487A35">
        <w:rPr>
          <w:rFonts w:eastAsia="MS Mincho" w:cs="Arial"/>
        </w:rPr>
        <w:t>MDS-</w:t>
      </w:r>
      <w:r w:rsidR="00426CB3" w:rsidRPr="00E62511">
        <w:rPr>
          <w:rFonts w:eastAsia="MS Mincho" w:cs="Arial"/>
        </w:rPr>
        <w:t xml:space="preserve">UPDRS III). </w:t>
      </w:r>
    </w:p>
    <w:p w14:paraId="07439902" w14:textId="28B502F3" w:rsidR="00426CB3" w:rsidRPr="00E62511" w:rsidRDefault="00426CB3" w:rsidP="008009D0">
      <w:pPr>
        <w:jc w:val="both"/>
        <w:rPr>
          <w:rFonts w:eastAsia="MS Mincho" w:cs="Arial"/>
        </w:rPr>
      </w:pPr>
      <w:r w:rsidRPr="00E62511">
        <w:rPr>
          <w:rFonts w:eastAsia="MS Mincho" w:cs="Arial"/>
        </w:rPr>
        <w:tab/>
        <w:t>The primary task was quiet stance</w:t>
      </w:r>
      <w:r>
        <w:rPr>
          <w:rFonts w:eastAsia="MS Mincho" w:cs="Arial"/>
        </w:rPr>
        <w:t>, which was</w:t>
      </w:r>
      <w:r w:rsidRPr="00E62511">
        <w:rPr>
          <w:rFonts w:eastAsia="MS Mincho" w:cs="Arial"/>
        </w:rPr>
        <w:t xml:space="preserve"> performed with eyes open (EO) and eyes closed (EC)</w:t>
      </w:r>
      <w:r>
        <w:rPr>
          <w:rFonts w:eastAsia="MS Mincho" w:cs="Arial"/>
        </w:rPr>
        <w:t>. E</w:t>
      </w:r>
      <w:r w:rsidRPr="00E62511">
        <w:rPr>
          <w:rFonts w:eastAsia="MS Mincho" w:cs="Arial"/>
        </w:rPr>
        <w:t xml:space="preserve">ach </w:t>
      </w:r>
      <w:r>
        <w:rPr>
          <w:rFonts w:eastAsia="MS Mincho" w:cs="Arial"/>
        </w:rPr>
        <w:t xml:space="preserve">trial lasted </w:t>
      </w:r>
      <w:r w:rsidRPr="00E62511">
        <w:rPr>
          <w:rFonts w:eastAsia="MS Mincho" w:cs="Arial"/>
        </w:rPr>
        <w:t>for 3 min. The secondary task was a phoneme monitoring task, during which the subjects listened to pre-recorded speech (i.e., an unfamiliar fairytale) through headphones and counted the number of times a specific word occurred. The subjects were instructed to count mentally (i.e., not tally with fingers) and to listen to the details of the story in order to answer questions at the end of the trial. This secondary task provided two outcomes: proportion of correct number of words counted (PM-Tally) and proportion of questions correctly answered (PM-Score). Tally reports greater than the correct tally were scored according to the following example. A report of ‘10’ when the correct tally was ‘8’ was scored as (8-|10-8|)/8 = 6/8 = 75% (</w:t>
      </w:r>
      <w:r w:rsidR="000D3B53">
        <w:rPr>
          <w:rFonts w:eastAsia="MS Mincho" w:cs="Arial"/>
        </w:rPr>
        <w:t xml:space="preserve">see </w:t>
      </w:r>
      <w:r w:rsidRPr="00E62511">
        <w:rPr>
          <w:rFonts w:eastAsia="MS Mincho" w:cs="Arial"/>
        </w:rPr>
        <w:t xml:space="preserve">Manuscript 1). </w:t>
      </w:r>
    </w:p>
    <w:p w14:paraId="1078B264" w14:textId="66F51F37" w:rsidR="00533FFE" w:rsidRPr="00864B56" w:rsidRDefault="00426CB3" w:rsidP="008009D0">
      <w:pPr>
        <w:jc w:val="both"/>
        <w:rPr>
          <w:rFonts w:cs="Arial"/>
        </w:rPr>
      </w:pPr>
      <w:r w:rsidRPr="00E62511">
        <w:rPr>
          <w:rFonts w:eastAsia="MS Mincho" w:cs="Arial"/>
        </w:rPr>
        <w:tab/>
        <w:t>This secondary task was selected because it has face validity with real-life situations, like attending to a conversation while standing</w:t>
      </w:r>
      <w:r>
        <w:rPr>
          <w:rFonts w:eastAsia="MS Mincho" w:cs="Arial"/>
        </w:rPr>
        <w:t xml:space="preserve"> </w:t>
      </w:r>
      <w:r w:rsidRPr="00E62511">
        <w:rPr>
          <w:rFonts w:eastAsia="MS Mincho" w:cs="Arial"/>
        </w:rPr>
        <w:fldChar w:fldCharType="begin" w:fldLock="1"/>
      </w:r>
      <w:r w:rsidR="004B5F8D">
        <w:rPr>
          <w:rFonts w:eastAsia="MS Mincho" w:cs="Arial"/>
        </w:rPr>
        <w:instrText>ADDIN CSL_CITATION {"citationItems":[{"id":"ITEM-1","itemData":{"DOI":"10.1002/mds.20848","ISBN":"0885-3185","ISSN":"0885-3185","PMID":"16541455","abstract":"The objectives of the present study were to test the hypothesis that the dual-tasking effect on gait variability is larger in healthy older adults than it is in healthy young adults; that this effect is larger in idiopathic elderly fallers than it is in healthy older adults; and that the dual-tasking effects on gait variability are correlated with executive function (EF). Young adults and older adults who were classified as fallers and nonfallers were studied. Gait speed, swing time, and swing time variability, a marker of fall risk, were measured during usual walking and during three different dual-tasking conditions. EF and memory were evaluated. When performing dual tasks, all three groups significantly decreased their gait speed. Dual tasking did not affect swing time variability in the young adults and in the nonfallers. Conversely, dual tasking markedly increased swing time variability in the fallers. While memory was similar in fallers and nonfallers, EF was different. The faller-specific response to dual tasking was significantly correlated with tests of EF. These findings demonstrate that dual tasking does not affect the gait variability of elderly nonfallers or young adults. In contrast, dual tasking destabilizes the gait of idiopathic elderly fallers, an effect that appears to be mediated in part by a decline in EF.","author":[{"dropping-particle":"","family":"Springer","given":"Shmuel","non-dropping-particle":"","parse-names":false,"suffix":""},{"dropping-particle":"","family":"Giladi","given":"Nir","non-dropping-particle":"","parse-names":false,"suffix":""},{"dropping-particle":"","family":"Peretz","given":"Chava","non-dropping-particle":"","parse-names":false,"suffix":""},{"dropping-particle":"","family":"Yogev","given":"Galit","non-dropping-particle":"","parse-names":false,"suffix":""},{"dropping-particle":"","family":"Simon","given":"Ely S.","non-dropping-particle":"","parse-names":false,"suffix":""},{"dropping-particle":"","family":"Hausdorff","given":"Jeffrey M.","non-dropping-particle":"","parse-names":false,"suffix":""}],"container-title":"Movement Disorders","id":"ITEM-1","issue":"7","issued":{"date-parts":[["2006","7"]]},"note":"Simple task, complex task, and arithmetic task: During the simple and complex tasks, subjects listened to a text (with headphones) while walking. After completing the walk, they were asked to answer 10 multiple-choice questions regarding the content of the text. In addition to listening to the text, the complex listening task consisted of phoneme monitoring. The arithmetic task: serial subtractions of seven, starting from 500.\n\nNo instruc- tion for priority of one of the tasks (walking vs. cognitive task) was given.\n\nPerformance on the simple task was evaluated by counting the number of mistakes that were made using a multiple-choice test of 10 questions on the content of the text. On the complex task, performance was evaluated both by counting the number of mistakes on the multiple- choice test of content and by evaluating performance on the phoneme monitoring (the percent of mistakes made when counting the predefined words). Evaluation of per- formance on the serial 7 subtractions included the total number of subtractions and the number of mistakes they made during the calculation.\n\nThere was a significant reduction in gait speed in all three groups in each of the three dual-tasking conditions. The interaction was significant when comparing the young adults and the nonfallers.\n\nIn the young adults, average swing time was not significantly affected by dual tasking, but in the two elderly groups, dual tasking significantly reduced the average swing time. In both the young adults and the elderly nonfallers, dual tasking did not significantly affect swing time variability. The fallers displayed a different response. All three dual-tasking conditions significantly increased swing time variability in the fallers.\n\nEF and the effects of dual tasking on the variability of gait differed in the elderly fallers and the elderly non-fallers. There was a small but significant association between scores on EF tests and swing time variability during usual walking and this association became stronger during dual tasking","page":"950-957","title":"Dual-tasking effects on gait variability: The role of aging, falls, and executive function","type":"article-journal","volume":"21"},"uris":["http://www.mendeley.com/documents/?uuid=ac70fd64-0e31-4298-8cfb-9af29a9b9df6"]}],"mendeley":{"formattedCitation":"[18]","plainTextFormattedCitation":"[18]","previouslyFormattedCitation":"[18]"},"properties":{"noteIndex":0},"schema":"https://github.com/citation-style-language/schema/raw/master/csl-citation.json"}</w:instrText>
      </w:r>
      <w:r w:rsidRPr="00E62511">
        <w:rPr>
          <w:rFonts w:eastAsia="MS Mincho" w:cs="Arial"/>
        </w:rPr>
        <w:fldChar w:fldCharType="separate"/>
      </w:r>
      <w:r w:rsidR="001D6C02" w:rsidRPr="001D6C02">
        <w:rPr>
          <w:rFonts w:eastAsia="MS Mincho" w:cs="Arial"/>
          <w:noProof/>
        </w:rPr>
        <w:t>[18]</w:t>
      </w:r>
      <w:r w:rsidRPr="00E62511">
        <w:rPr>
          <w:rFonts w:eastAsia="MS Mincho" w:cs="Arial"/>
        </w:rPr>
        <w:fldChar w:fldCharType="end"/>
      </w:r>
      <w:r w:rsidRPr="00E62511">
        <w:rPr>
          <w:rFonts w:eastAsia="MS Mincho" w:cs="Arial"/>
        </w:rPr>
        <w:t>. In addition, phoneme monitoring allowed for the performance of long-duration balance tasks, which mimic real-life situations</w:t>
      </w:r>
      <w:r>
        <w:rPr>
          <w:rFonts w:eastAsia="MS Mincho" w:cs="Arial"/>
        </w:rPr>
        <w:t xml:space="preserve"> that</w:t>
      </w:r>
      <w:r w:rsidRPr="00E62511">
        <w:rPr>
          <w:rFonts w:eastAsia="MS Mincho" w:cs="Arial"/>
        </w:rPr>
        <w:t xml:space="preserve"> the subjects experience on a daily basis</w:t>
      </w:r>
      <w:r>
        <w:rPr>
          <w:rFonts w:eastAsia="MS Mincho" w:cs="Arial"/>
        </w:rPr>
        <w:t>.</w:t>
      </w:r>
      <w:r w:rsidRPr="00E62511">
        <w:rPr>
          <w:rFonts w:eastAsia="MS Mincho" w:cs="Arial"/>
        </w:rPr>
        <w:t xml:space="preserve"> Several recordings of ~195 s </w:t>
      </w:r>
      <w:r>
        <w:rPr>
          <w:rFonts w:eastAsia="MS Mincho" w:cs="Arial"/>
        </w:rPr>
        <w:t xml:space="preserve">duration </w:t>
      </w:r>
      <w:r w:rsidRPr="00E62511">
        <w:rPr>
          <w:rFonts w:eastAsia="MS Mincho" w:cs="Arial"/>
        </w:rPr>
        <w:t>were prepared so that each trial had a novel recording and phoneme to tally. No familiarization trials were performed.</w:t>
      </w:r>
    </w:p>
    <w:p w14:paraId="016060DA" w14:textId="072250B3" w:rsidR="00533FFE" w:rsidRPr="00864B56" w:rsidRDefault="00533FFE" w:rsidP="008009D0">
      <w:pPr>
        <w:pStyle w:val="Heading3"/>
        <w:jc w:val="both"/>
      </w:pPr>
      <w:bookmarkStart w:id="39" w:name="_Toc527361748"/>
      <w:r w:rsidRPr="00864B56">
        <w:lastRenderedPageBreak/>
        <w:t>Procedures</w:t>
      </w:r>
      <w:bookmarkEnd w:id="39"/>
    </w:p>
    <w:p w14:paraId="1D08E6FB" w14:textId="2438B766" w:rsidR="00F15514" w:rsidRPr="00F12B06" w:rsidRDefault="00533FFE" w:rsidP="008009D0">
      <w:pPr>
        <w:jc w:val="both"/>
        <w:rPr>
          <w:rFonts w:eastAsia="MS Mincho" w:cs="Arial"/>
        </w:rPr>
      </w:pPr>
      <w:r>
        <w:rPr>
          <w:rFonts w:cs="Arial"/>
        </w:rPr>
        <w:tab/>
      </w:r>
      <w:r w:rsidR="00F15514" w:rsidRPr="00F12B06">
        <w:rPr>
          <w:rFonts w:eastAsia="MS Mincho" w:cs="Arial"/>
        </w:rPr>
        <w:t>All testing was performed in one session and began with the off-medication state</w:t>
      </w:r>
      <w:r w:rsidR="00F15514">
        <w:rPr>
          <w:rFonts w:eastAsia="MS Mincho" w:cs="Arial"/>
        </w:rPr>
        <w:t xml:space="preserve"> (OFF)</w:t>
      </w:r>
      <w:r w:rsidR="00F15514" w:rsidRPr="00F12B06">
        <w:rPr>
          <w:rFonts w:eastAsia="MS Mincho" w:cs="Arial"/>
        </w:rPr>
        <w:t xml:space="preserve">. To achieve this, subjects underwent a minimum 12-hour overnight medication withdrawal. </w:t>
      </w:r>
      <w:r w:rsidR="00F15514">
        <w:rPr>
          <w:rFonts w:eastAsia="MS Mincho" w:cs="Arial"/>
        </w:rPr>
        <w:t>Sessions</w:t>
      </w:r>
      <w:r w:rsidR="00F15514" w:rsidRPr="00F12B06">
        <w:rPr>
          <w:rFonts w:eastAsia="MS Mincho" w:cs="Arial"/>
        </w:rPr>
        <w:t xml:space="preserve"> always commenced with the administration of the UPDRS III</w:t>
      </w:r>
      <w:r w:rsidR="00537051">
        <w:rPr>
          <w:rFonts w:eastAsia="MS Mincho" w:cs="Arial"/>
        </w:rPr>
        <w:t>, followed by measuring their foot length (i.e., distance between toes and heels)</w:t>
      </w:r>
      <w:r w:rsidR="00F15514" w:rsidRPr="00F12B06">
        <w:rPr>
          <w:rFonts w:eastAsia="MS Mincho" w:cs="Arial"/>
        </w:rPr>
        <w:t>.</w:t>
      </w:r>
      <w:r w:rsidR="00537051">
        <w:rPr>
          <w:rFonts w:eastAsia="MS Mincho" w:cs="Arial"/>
        </w:rPr>
        <w:t xml:space="preserve"> The latter was necessary for the calculation of i</w:t>
      </w:r>
      <w:r w:rsidR="00537051" w:rsidRPr="00FF345F">
        <w:rPr>
          <w:rFonts w:eastAsia="MS Mincho" w:cs="Arial"/>
        </w:rPr>
        <w:t>n</w:t>
      </w:r>
      <w:r w:rsidR="00537051">
        <w:rPr>
          <w:rFonts w:eastAsia="MS Mincho" w:cs="Arial"/>
        </w:rPr>
        <w:t xml:space="preserve">tegrated time to boundary (iTTB; see below). </w:t>
      </w:r>
      <w:r w:rsidR="00F15514" w:rsidRPr="00F12B06">
        <w:rPr>
          <w:rFonts w:eastAsia="MS Mincho" w:cs="Arial"/>
        </w:rPr>
        <w:t>Subjects then performed the following tasks in random order: 1) phoneme monitoring while seated comfortably in a quiet room, 2) single-task (ST) standing eyes open (STEO), 3) single-task standing eyes closed (STEC), 4) dual-task (DT) standing eyes open (DTEO), and 5) dual-task standing eyes closed (DTEC). The dual-task conditions were a combination of the standing and phoneme monitoring tasks. As mentioned above, each condition was performed one time for 3 min. Sufficient rest (≥ 1 min) between conditions was provided when necessary by having the subjects sit in a chair at the end of a trial. Whenever the subjects performed the phoneme monitoring task, they were reminded of the word they were to tally and that they were going to be asked questions about the content of the story. No other explicit instructions for directing attention were provided.</w:t>
      </w:r>
    </w:p>
    <w:p w14:paraId="06076B27" w14:textId="2EE08B63" w:rsidR="00533FFE" w:rsidRPr="00864B56" w:rsidRDefault="00F15514" w:rsidP="008009D0">
      <w:pPr>
        <w:jc w:val="both"/>
        <w:rPr>
          <w:rFonts w:cs="Arial"/>
        </w:rPr>
      </w:pPr>
      <w:r w:rsidRPr="00F12B06">
        <w:rPr>
          <w:rFonts w:eastAsia="MS Mincho" w:cs="Arial"/>
        </w:rPr>
        <w:tab/>
        <w:t xml:space="preserve">After the </w:t>
      </w:r>
      <w:r>
        <w:rPr>
          <w:rFonts w:eastAsia="MS Mincho" w:cs="Arial"/>
        </w:rPr>
        <w:t>OFF</w:t>
      </w:r>
      <w:r w:rsidRPr="00F12B06">
        <w:rPr>
          <w:rFonts w:eastAsia="MS Mincho" w:cs="Arial"/>
        </w:rPr>
        <w:t xml:space="preserve"> trials were completed, the subjects took their </w:t>
      </w:r>
      <w:r>
        <w:rPr>
          <w:rFonts w:eastAsia="MS Mincho" w:cs="Arial"/>
        </w:rPr>
        <w:t xml:space="preserve">dopaminergic </w:t>
      </w:r>
      <w:r w:rsidRPr="00F12B06">
        <w:rPr>
          <w:rFonts w:eastAsia="MS Mincho" w:cs="Arial"/>
        </w:rPr>
        <w:t>medication as prescribed for their first/morning dose and waited 45 – 60 min later (or longer if the subject needed more time to achieve a stable ‘on’ state) before commencing the on-medication testing</w:t>
      </w:r>
      <w:r>
        <w:rPr>
          <w:rFonts w:eastAsia="MS Mincho" w:cs="Arial"/>
        </w:rPr>
        <w:t xml:space="preserve"> (ON)</w:t>
      </w:r>
      <w:r w:rsidRPr="00F12B06">
        <w:rPr>
          <w:rFonts w:eastAsia="MS Mincho" w:cs="Arial"/>
        </w:rPr>
        <w:t xml:space="preserve">. Subject demographic information (i.e., weight, time since diagnosis, PD medication and dosages) were collected during this transition. Aside from a new set of randomized conditions, </w:t>
      </w:r>
      <w:r>
        <w:rPr>
          <w:rFonts w:eastAsia="MS Mincho" w:cs="Arial"/>
        </w:rPr>
        <w:t>ON</w:t>
      </w:r>
      <w:r w:rsidRPr="00F12B06">
        <w:rPr>
          <w:rFonts w:eastAsia="MS Mincho" w:cs="Arial"/>
        </w:rPr>
        <w:t xml:space="preserve"> testing was the same as </w:t>
      </w:r>
      <w:r>
        <w:rPr>
          <w:rFonts w:eastAsia="MS Mincho" w:cs="Arial"/>
        </w:rPr>
        <w:t>OFF</w:t>
      </w:r>
      <w:r w:rsidRPr="00F12B06">
        <w:rPr>
          <w:rFonts w:eastAsia="MS Mincho" w:cs="Arial"/>
        </w:rPr>
        <w:t>.</w:t>
      </w:r>
    </w:p>
    <w:p w14:paraId="65A662C6" w14:textId="4C8B2563" w:rsidR="00533FFE" w:rsidRPr="00864B56" w:rsidRDefault="00533FFE" w:rsidP="008009D0">
      <w:pPr>
        <w:pStyle w:val="Heading3"/>
        <w:jc w:val="both"/>
      </w:pPr>
      <w:bookmarkStart w:id="40" w:name="_Toc527361749"/>
      <w:r w:rsidRPr="00864B56">
        <w:lastRenderedPageBreak/>
        <w:t xml:space="preserve">Data </w:t>
      </w:r>
      <w:r w:rsidR="001F2E4D">
        <w:t>Processing</w:t>
      </w:r>
      <w:bookmarkEnd w:id="40"/>
    </w:p>
    <w:p w14:paraId="11E0C1A9" w14:textId="59AD6BAE" w:rsidR="0035210A" w:rsidRPr="00E7358B" w:rsidRDefault="00533FFE" w:rsidP="008009D0">
      <w:pPr>
        <w:jc w:val="both"/>
        <w:rPr>
          <w:rFonts w:cs="Arial"/>
        </w:rPr>
      </w:pPr>
      <w:r>
        <w:rPr>
          <w:rFonts w:cs="Arial"/>
        </w:rPr>
        <w:tab/>
      </w:r>
      <w:r w:rsidR="0035210A" w:rsidRPr="00FF345F">
        <w:rPr>
          <w:rFonts w:eastAsia="MS Mincho" w:cs="Arial"/>
        </w:rPr>
        <w:t xml:space="preserve">COP data were exported using the NeuroCom software and imported into MATLAB (The MathWorks, Natick, MA) for analysis. Data were filtered using a second-order Butterworth low-pass filter with a </w:t>
      </w:r>
      <w:r w:rsidR="004B5F8D" w:rsidRPr="00FF345F">
        <w:rPr>
          <w:rFonts w:eastAsia="MS Mincho" w:cs="Arial"/>
        </w:rPr>
        <w:t>10 Hz cutoff</w:t>
      </w:r>
      <w:r w:rsidR="004B5F8D">
        <w:rPr>
          <w:rFonts w:eastAsia="MS Mincho" w:cs="Arial"/>
        </w:rPr>
        <w:t xml:space="preserve"> </w:t>
      </w:r>
      <w:r w:rsidR="004B5F8D">
        <w:rPr>
          <w:rFonts w:eastAsia="MS Mincho" w:cs="Arial"/>
        </w:rPr>
        <w:fldChar w:fldCharType="begin" w:fldLock="1"/>
      </w:r>
      <w:r w:rsidR="003F6A7B">
        <w:rPr>
          <w:rFonts w:eastAsia="MS Mincho" w:cs="Arial"/>
        </w:rPr>
        <w:instrText>ADDIN CSL_CITATION {"citationItems":[{"id":"ITEM-1","itemData":{"ISBN":"978-0-470-39818-0","author":[{"dropping-particle":"","family":"Winter","given":"David A.","non-dropping-particle":"","parse-names":false,"suffix":""}],"id":"ITEM-1","issued":{"date-parts":[["2009"]]},"publisher":"Wiley","publisher-place":"Hoboken, NJ","title":"Biomechanics and Motor Control of Human Movement","type":"book"},"uris":["http://www.mendeley.com/documents/?uuid=76fff62a-86a6-4a3f-a207-6e902c9bba50"]}],"mendeley":{"formattedCitation":"[36]","plainTextFormattedCitation":"[36]","previouslyFormattedCitation":"[36]"},"properties":{"noteIndex":0},"schema":"https://github.com/citation-style-language/schema/raw/master/csl-citation.json"}</w:instrText>
      </w:r>
      <w:r w:rsidR="004B5F8D">
        <w:rPr>
          <w:rFonts w:eastAsia="MS Mincho" w:cs="Arial"/>
        </w:rPr>
        <w:fldChar w:fldCharType="separate"/>
      </w:r>
      <w:r w:rsidR="004B5F8D" w:rsidRPr="004B5F8D">
        <w:rPr>
          <w:rFonts w:eastAsia="MS Mincho" w:cs="Arial"/>
          <w:noProof/>
        </w:rPr>
        <w:t>[36]</w:t>
      </w:r>
      <w:r w:rsidR="004B5F8D">
        <w:rPr>
          <w:rFonts w:eastAsia="MS Mincho" w:cs="Arial"/>
        </w:rPr>
        <w:fldChar w:fldCharType="end"/>
      </w:r>
      <w:r w:rsidR="0035210A" w:rsidRPr="00FF345F">
        <w:rPr>
          <w:rFonts w:eastAsia="MS Mincho" w:cs="Arial"/>
        </w:rPr>
        <w:t>. COP</w:t>
      </w:r>
      <w:r w:rsidR="0035210A" w:rsidRPr="00FF345F">
        <w:rPr>
          <w:rFonts w:eastAsia="MS Mincho" w:cs="Arial"/>
          <w:vertAlign w:val="subscript"/>
        </w:rPr>
        <w:t>area</w:t>
      </w:r>
      <w:r w:rsidR="0035210A" w:rsidRPr="00FF345F">
        <w:rPr>
          <w:rFonts w:eastAsia="MS Mincho" w:cs="Arial"/>
        </w:rPr>
        <w:t xml:space="preserve"> was calculated by plotting the COP path on a coordinate plane and calculating the area of an ellipse that contains 95% of the path data points. The velocity of COP movement in AP and ML directions (AP-Velocity and ML-Velocity, respectively) </w:t>
      </w:r>
      <w:r w:rsidR="0035210A">
        <w:rPr>
          <w:rFonts w:eastAsia="MS Mincho" w:cs="Arial"/>
        </w:rPr>
        <w:t>were</w:t>
      </w:r>
      <w:r w:rsidR="0035210A" w:rsidRPr="00FF345F">
        <w:rPr>
          <w:rFonts w:eastAsia="MS Mincho" w:cs="Arial"/>
        </w:rPr>
        <w:t xml:space="preserve"> calculated by determining the instantaneous speed and direction of the COP path at a given time point. iTTB was calculated using the COP AP velocities to </w:t>
      </w:r>
      <w:r w:rsidR="0035210A">
        <w:rPr>
          <w:rFonts w:eastAsia="MS Mincho" w:cs="Arial"/>
        </w:rPr>
        <w:t xml:space="preserve">determine </w:t>
      </w:r>
      <w:r w:rsidR="0035210A" w:rsidRPr="00FF345F">
        <w:rPr>
          <w:rFonts w:eastAsia="MS Mincho" w:cs="Arial"/>
        </w:rPr>
        <w:t>the time it would take the COP to reach the theor</w:t>
      </w:r>
      <w:r w:rsidR="00550B54">
        <w:rPr>
          <w:rFonts w:eastAsia="MS Mincho" w:cs="Arial"/>
        </w:rPr>
        <w:t xml:space="preserve">etical AP stability boundaries </w:t>
      </w:r>
      <w:r w:rsidR="00550B54" w:rsidRPr="00FF345F">
        <w:rPr>
          <w:rFonts w:eastAsia="MS Mincho" w:cs="Arial"/>
        </w:rPr>
        <w:t xml:space="preserve">(i.e., the toes and the heels) </w:t>
      </w:r>
      <w:r w:rsidR="00550B54">
        <w:rPr>
          <w:rFonts w:eastAsia="MS Mincho" w:cs="Arial"/>
        </w:rPr>
        <w:t xml:space="preserve">from its current position at its current velocity </w:t>
      </w:r>
      <w:r w:rsidR="00550B54" w:rsidRPr="00FF345F">
        <w:rPr>
          <w:rFonts w:eastAsia="MS Mincho" w:cs="Arial"/>
        </w:rPr>
        <w:t>and cause a loss of stability sufficient to warrant a corrective step</w:t>
      </w:r>
      <w:r w:rsidR="0035210A" w:rsidRPr="00FF345F">
        <w:rPr>
          <w:rFonts w:eastAsia="MS Mincho" w:cs="Arial"/>
        </w:rPr>
        <w:t>. This calculation generates a time to boundary series that creates a curve. Integrating this series, and looking only below an arbitrarily selected 10s threshold, iTTB then provides a number that represents relative instability for the entire trial; this variable is expressed as a percentage of the entire area beneath the threshold (i.e., 10s x total duration)</w:t>
      </w:r>
      <w:r w:rsidR="0035210A">
        <w:rPr>
          <w:rFonts w:eastAsia="MS Mincho" w:cs="Arial"/>
        </w:rPr>
        <w:t xml:space="preserve"> </w:t>
      </w:r>
      <w:r w:rsidR="0035210A" w:rsidRPr="00FF345F">
        <w:rPr>
          <w:rFonts w:eastAsia="MS Mincho" w:cs="Arial"/>
        </w:rPr>
        <w:fldChar w:fldCharType="begin" w:fldLock="1"/>
      </w:r>
      <w:r w:rsidR="003F6A7B">
        <w:rPr>
          <w:rFonts w:eastAsia="MS Mincho" w:cs="Arial"/>
        </w:rPr>
        <w:instrText>ADDIN CSL_CITATION {"citationItems":[{"id":"ITEM-1","itemData":{"DOI":"10.1016/j.gaitpost.2013.02.003","ISBN":"1879-2219","ISSN":"09666362","PMID":"23477840","abstract":"To better understand sensorimotor posture control differences between blind and sighted individuals, we examined the role of ankle joint proprioception and ankle muscle strength on postural control in healthy blind ( n= 13, 25-58 years) and age- and sex-matched sighted ( n= 15, 20-65 years) volunteers. We measured ankle joint proprioceptive acuity and isokinetic muscle strength in plantarflexion and dorsiflexion using an isokinetic dynamometer. We also assessed postural control performance during quiet bipedal stance with and without sudden postural perturbations, and during quiet unipedal stance. We found that while our blind subjects exhibited significantly better proprioceptive acuity than our sighted subjects their postural control performance was significantly poorer than that of the sighted group with eyes open, and no different from that of the sighted group with eyes closed suggesting that their superior proprioceptive acuity does not translate to improved balance control. © 2013 Elsevier B.V.","author":[{"dropping-particle":"","family":"Ozdemir","given":"Recep A.","non-dropping-particle":"","parse-names":false,"suffix":""},{"dropping-particle":"","family":"Pourmoghaddam","given":"Amir","non-dropping-particle":"","parse-names":false,"suffix":""},{"dropping-particle":"","family":"Paloski","given":"William H.","non-dropping-particle":"","parse-names":false,"suffix":""}],"container-title":"Gait and Posture","id":"ITEM-1","issue":"4","issued":{"date-parts":[["2013"]]},"page":"603-608","publisher":"Elsevier B.V.","title":"Sensorimotor posture control in the blind: Superior ankle proprioceptive acuity does not compensate for vision loss","type":"article-journal","volume":"38"},"uris":["http://www.mendeley.com/documents/?uuid=2d24dcb5-d16d-4682-8f40-e6297ee1bf79"]}],"mendeley":{"formattedCitation":"[37]","plainTextFormattedCitation":"[37]","previouslyFormattedCitation":"[37]"},"properties":{"noteIndex":0},"schema":"https://github.com/citation-style-language/schema/raw/master/csl-citation.json"}</w:instrText>
      </w:r>
      <w:r w:rsidR="0035210A" w:rsidRPr="00FF345F">
        <w:rPr>
          <w:rFonts w:eastAsia="MS Mincho" w:cs="Arial"/>
        </w:rPr>
        <w:fldChar w:fldCharType="separate"/>
      </w:r>
      <w:r w:rsidR="004B5F8D" w:rsidRPr="004B5F8D">
        <w:rPr>
          <w:rFonts w:eastAsia="MS Mincho" w:cs="Arial"/>
          <w:noProof/>
        </w:rPr>
        <w:t>[37]</w:t>
      </w:r>
      <w:r w:rsidR="0035210A" w:rsidRPr="00FF345F">
        <w:rPr>
          <w:rFonts w:eastAsia="MS Mincho" w:cs="Arial"/>
        </w:rPr>
        <w:fldChar w:fldCharType="end"/>
      </w:r>
      <w:r w:rsidR="0035210A" w:rsidRPr="00FF345F">
        <w:rPr>
          <w:rFonts w:eastAsia="MS Mincho" w:cs="Arial"/>
        </w:rPr>
        <w:t xml:space="preserve">. </w:t>
      </w:r>
      <w:r w:rsidR="0035210A">
        <w:rPr>
          <w:rFonts w:eastAsia="MS Mincho" w:cs="Arial"/>
        </w:rPr>
        <w:t>Traditional interpretations of these variables are that l</w:t>
      </w:r>
      <w:r w:rsidR="0035210A" w:rsidRPr="00FF345F">
        <w:rPr>
          <w:rFonts w:eastAsia="MS Mincho" w:cs="Arial"/>
        </w:rPr>
        <w:t>arger COP</w:t>
      </w:r>
      <w:r w:rsidR="0035210A" w:rsidRPr="00FF345F">
        <w:rPr>
          <w:rFonts w:eastAsia="MS Mincho" w:cs="Arial"/>
          <w:vertAlign w:val="subscript"/>
        </w:rPr>
        <w:t>area</w:t>
      </w:r>
      <w:r w:rsidR="0035210A" w:rsidRPr="00FF345F">
        <w:rPr>
          <w:rFonts w:eastAsia="MS Mincho" w:cs="Arial"/>
        </w:rPr>
        <w:t xml:space="preserve">, faster COP velocities, and larger iTTB </w:t>
      </w:r>
      <w:r w:rsidR="0035210A">
        <w:rPr>
          <w:rFonts w:eastAsia="MS Mincho" w:cs="Arial"/>
        </w:rPr>
        <w:t>indicate</w:t>
      </w:r>
      <w:r w:rsidR="0035210A" w:rsidRPr="00FF345F">
        <w:rPr>
          <w:rFonts w:eastAsia="MS Mincho" w:cs="Arial"/>
        </w:rPr>
        <w:t xml:space="preserve"> instability</w:t>
      </w:r>
      <w:r w:rsidR="0035210A">
        <w:rPr>
          <w:rFonts w:eastAsia="MS Mincho" w:cs="Arial"/>
        </w:rPr>
        <w:t xml:space="preserve"> </w:t>
      </w:r>
      <w:r w:rsidR="0035210A" w:rsidRPr="00FF345F">
        <w:rPr>
          <w:rFonts w:eastAsia="MS Mincho" w:cs="Arial"/>
        </w:rPr>
        <w:fldChar w:fldCharType="begin" w:fldLock="1"/>
      </w:r>
      <w:r w:rsidR="004B5F8D">
        <w:rPr>
          <w:rFonts w:eastAsia="MS Mincho" w:cs="Arial"/>
        </w:rPr>
        <w:instrText>ADDIN CSL_CITATION {"citationItems":[{"id":"ITEM-1","itemData":{"DOI":"S1413-35552010000300003 [pii]","ISBN":"1809-9246 (Electronic)\\r1413-3555 (Linking)","ISSN":"1809-9246","PMID":"20730361","abstract":"BACKGROUND: The maintenance of balance and body orientation in humans is guaranteed by the adequate functioning of the postural control system. The investigation of this control has awakened the interest of professionals from several fields such as Physical Therapy, Physical Education, Engineering, Physics, Medicine, Psychology, and others. OBJECTIVES: The purposes of this study are to revise the methods of data analysis used to investigate the postural control in human beings and to demonstrate the computational algorithms of the main measures used in the postural control evaluation. CONCLUSION: The experimental procedures and measures used in postural control evaluation presented in this review can help in the standardization of postural control investigation.","author":[{"dropping-particle":"","family":"Duarte","given":"M","non-dropping-particle":"","parse-names":false,"suffix":""},{"dropping-particle":"","family":"Freitas","given":"S M","non-dropping-particle":"","parse-names":false,"suffix":""}],"container-title":"Revista Brasileira de Fisioterapia","id":"ITEM-1","issue":"3","issued":{"date-parts":[["2010"]]},"page":"183-192","title":"Revision of posturography based on force plate for balance evaluation","type":"article-journal","volume":"14"},"uris":["http://www.mendeley.com/documents/?uuid=dc803021-dc3d-4f16-a429-3d680d801ee1"]}],"mendeley":{"formattedCitation":"[35]","plainTextFormattedCitation":"[35]","previouslyFormattedCitation":"[35]"},"properties":{"noteIndex":0},"schema":"https://github.com/citation-style-language/schema/raw/master/csl-citation.json"}</w:instrText>
      </w:r>
      <w:r w:rsidR="0035210A" w:rsidRPr="00FF345F">
        <w:rPr>
          <w:rFonts w:eastAsia="MS Mincho" w:cs="Arial"/>
        </w:rPr>
        <w:fldChar w:fldCharType="separate"/>
      </w:r>
      <w:r w:rsidR="001D6C02" w:rsidRPr="001D6C02">
        <w:rPr>
          <w:rFonts w:eastAsia="MS Mincho" w:cs="Arial"/>
          <w:noProof/>
        </w:rPr>
        <w:t>[35]</w:t>
      </w:r>
      <w:r w:rsidR="0035210A" w:rsidRPr="00FF345F">
        <w:rPr>
          <w:rFonts w:eastAsia="MS Mincho" w:cs="Arial"/>
        </w:rPr>
        <w:fldChar w:fldCharType="end"/>
      </w:r>
      <w:r w:rsidR="0035210A" w:rsidRPr="00FF345F">
        <w:rPr>
          <w:rFonts w:eastAsia="MS Mincho" w:cs="Arial"/>
        </w:rPr>
        <w:t>.</w:t>
      </w:r>
      <w:r w:rsidR="0035210A">
        <w:rPr>
          <w:rFonts w:cs="Arial"/>
        </w:rPr>
        <w:t xml:space="preserve"> </w:t>
      </w:r>
    </w:p>
    <w:p w14:paraId="76722EF5" w14:textId="615AD711" w:rsidR="0035210A" w:rsidRPr="00FF345F" w:rsidRDefault="0035210A" w:rsidP="008009D0">
      <w:pPr>
        <w:jc w:val="both"/>
        <w:rPr>
          <w:rFonts w:cs="Arial"/>
          <w:color w:val="000000" w:themeColor="text1"/>
        </w:rPr>
      </w:pPr>
      <w:r>
        <w:rPr>
          <w:rFonts w:cs="Arial"/>
        </w:rPr>
        <w:tab/>
      </w:r>
      <w:r w:rsidRPr="00FF345F">
        <w:rPr>
          <w:rFonts w:cs="Arial"/>
          <w:color w:val="000000" w:themeColor="text1"/>
        </w:rPr>
        <w:t xml:space="preserve">Additionally, in order to better understand the relationship between the primary and secondary tasks, dual-task effect (DTE) </w:t>
      </w:r>
      <w:r w:rsidRPr="00FF345F">
        <w:rPr>
          <w:rFonts w:cs="Arial"/>
          <w:color w:val="000000" w:themeColor="text1"/>
        </w:rPr>
        <w:fldChar w:fldCharType="begin" w:fldLock="1"/>
      </w:r>
      <w:r w:rsidR="004B5F8D">
        <w:rPr>
          <w:rFonts w:cs="Arial"/>
          <w:color w:val="000000" w:themeColor="text1"/>
        </w:rPr>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FF345F">
        <w:rPr>
          <w:rFonts w:cs="Arial"/>
          <w:color w:val="000000" w:themeColor="text1"/>
        </w:rPr>
        <w:fldChar w:fldCharType="separate"/>
      </w:r>
      <w:r w:rsidR="001D6C02" w:rsidRPr="001D6C02">
        <w:rPr>
          <w:rFonts w:cs="Arial"/>
          <w:noProof/>
          <w:color w:val="000000" w:themeColor="text1"/>
        </w:rPr>
        <w:t>[11]</w:t>
      </w:r>
      <w:r w:rsidRPr="00FF345F">
        <w:rPr>
          <w:rFonts w:cs="Arial"/>
          <w:color w:val="000000" w:themeColor="text1"/>
        </w:rPr>
        <w:fldChar w:fldCharType="end"/>
      </w:r>
      <w:r w:rsidRPr="00FF345F">
        <w:rPr>
          <w:rFonts w:cs="Arial"/>
          <w:color w:val="000000" w:themeColor="text1"/>
        </w:rPr>
        <w:t xml:space="preserve"> was calculated as follows: </w:t>
      </w:r>
    </w:p>
    <w:p w14:paraId="1580608C" w14:textId="77777777" w:rsidR="0035210A" w:rsidRPr="00FF345F" w:rsidRDefault="0035210A" w:rsidP="008009D0">
      <w:pPr>
        <w:keepNext/>
        <w:tabs>
          <w:tab w:val="left" w:pos="360"/>
        </w:tabs>
        <w:jc w:val="both"/>
      </w:pPr>
      <m:oMathPara>
        <m:oMath>
          <m:r>
            <w:rPr>
              <w:rFonts w:ascii="Cambria Math" w:hAnsi="Cambria Math" w:cs="Arial"/>
            </w:rPr>
            <w:lastRenderedPageBreak/>
            <m:t>Task DTE</m:t>
          </m:r>
          <m:d>
            <m:dPr>
              <m:ctrlPr>
                <w:rPr>
                  <w:rFonts w:ascii="Cambria Math" w:hAnsi="Cambria Math" w:cs="Arial"/>
                  <w:i/>
                </w:rPr>
              </m:ctrlPr>
            </m:dPr>
            <m:e>
              <m:r>
                <w:rPr>
                  <w:rFonts w:ascii="Cambria Math" w:hAnsi="Cambria Math" w:cs="Arial"/>
                </w:rPr>
                <m:t>%</m:t>
              </m:r>
            </m:e>
          </m:d>
          <m:r>
            <w:rPr>
              <w:rFonts w:ascii="Cambria Math" w:hAnsi="Cambria Math" w:cs="Arial"/>
            </w:rPr>
            <m:t xml:space="preserve">= </m:t>
          </m:r>
          <m:f>
            <m:fPr>
              <m:ctrlPr>
                <w:rPr>
                  <w:rFonts w:ascii="Cambria Math" w:hAnsi="Cambria Math" w:cs="Arial"/>
                  <w:i/>
                </w:rPr>
              </m:ctrlPr>
            </m:fPr>
            <m:num>
              <m:d>
                <m:dPr>
                  <m:ctrlPr>
                    <w:rPr>
                      <w:rFonts w:ascii="Cambria Math" w:hAnsi="Cambria Math" w:cs="Arial"/>
                      <w:i/>
                    </w:rPr>
                  </m:ctrlPr>
                </m:dPr>
                <m:e>
                  <m:r>
                    <w:rPr>
                      <w:rFonts w:ascii="Cambria Math" w:hAnsi="Cambria Math" w:cs="Arial"/>
                    </w:rPr>
                    <m:t xml:space="preserve">DT Task-ST Task </m:t>
                  </m:r>
                </m:e>
              </m:d>
            </m:num>
            <m:den>
              <m:r>
                <w:rPr>
                  <w:rFonts w:ascii="Cambria Math" w:hAnsi="Cambria Math" w:cs="Arial"/>
                </w:rPr>
                <m:t xml:space="preserve">ST Task </m:t>
              </m:r>
            </m:den>
          </m:f>
          <m:r>
            <w:rPr>
              <w:rFonts w:ascii="Cambria Math" w:hAnsi="Cambria Math" w:cs="Arial"/>
            </w:rPr>
            <m:t>×100%</m:t>
          </m:r>
        </m:oMath>
      </m:oMathPara>
    </w:p>
    <w:p w14:paraId="3B283B31" w14:textId="3976B6CC" w:rsidR="00533FFE" w:rsidRPr="001F2E4D" w:rsidRDefault="0035210A" w:rsidP="008009D0">
      <w:pPr>
        <w:jc w:val="both"/>
        <w:rPr>
          <w:rFonts w:cs="Arial"/>
          <w:color w:val="000000" w:themeColor="text1"/>
        </w:rPr>
      </w:pPr>
      <w:r w:rsidRPr="00FF345F">
        <w:rPr>
          <w:rFonts w:cs="Arial"/>
          <w:color w:val="000000" w:themeColor="text1"/>
        </w:rPr>
        <w:t>Where ‘</w:t>
      </w:r>
      <w:r w:rsidRPr="00FF345F">
        <w:rPr>
          <w:rFonts w:cs="Arial"/>
          <w:i/>
          <w:color w:val="000000" w:themeColor="text1"/>
        </w:rPr>
        <w:t>ST/DT</w:t>
      </w:r>
      <w:r w:rsidRPr="00FF345F">
        <w:rPr>
          <w:rFonts w:cs="Arial"/>
          <w:color w:val="000000" w:themeColor="text1"/>
        </w:rPr>
        <w:t xml:space="preserve"> </w:t>
      </w:r>
      <w:r w:rsidRPr="00FF345F">
        <w:rPr>
          <w:rFonts w:cs="Arial"/>
          <w:i/>
          <w:color w:val="000000" w:themeColor="text1"/>
        </w:rPr>
        <w:t>Task</w:t>
      </w:r>
      <w:r w:rsidRPr="00FF345F">
        <w:rPr>
          <w:rFonts w:cs="Arial"/>
          <w:color w:val="000000" w:themeColor="text1"/>
        </w:rPr>
        <w:t>’ respectively represent the single- and dual-task performance for a given variable.</w:t>
      </w:r>
      <w:r>
        <w:rPr>
          <w:rFonts w:cs="Arial"/>
          <w:color w:val="000000" w:themeColor="text1"/>
        </w:rPr>
        <w:t xml:space="preserve"> For measures where a larger value indicates a poorer performance (e.g., COP</w:t>
      </w:r>
      <w:r w:rsidRPr="007B432F">
        <w:rPr>
          <w:rFonts w:cs="Arial"/>
          <w:color w:val="000000" w:themeColor="text1"/>
          <w:vertAlign w:val="subscript"/>
        </w:rPr>
        <w:t>area</w:t>
      </w:r>
      <w:r>
        <w:rPr>
          <w:rFonts w:cs="Arial"/>
          <w:color w:val="000000" w:themeColor="text1"/>
        </w:rPr>
        <w:t xml:space="preserve">), a negative sign is inserted at the beginning of the formula </w:t>
      </w:r>
      <w:r>
        <w:rPr>
          <w:rFonts w:cs="Arial"/>
          <w:color w:val="000000" w:themeColor="text1"/>
        </w:rPr>
        <w:fldChar w:fldCharType="begin" w:fldLock="1"/>
      </w:r>
      <w:r w:rsidR="004B5F8D">
        <w:rPr>
          <w:rFonts w:cs="Arial"/>
          <w:color w:val="000000" w:themeColor="text1"/>
        </w:rPr>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Pr>
          <w:rFonts w:cs="Arial"/>
          <w:color w:val="000000" w:themeColor="text1"/>
        </w:rPr>
        <w:fldChar w:fldCharType="separate"/>
      </w:r>
      <w:r w:rsidR="001D6C02" w:rsidRPr="001D6C02">
        <w:rPr>
          <w:rFonts w:cs="Arial"/>
          <w:noProof/>
          <w:color w:val="000000" w:themeColor="text1"/>
        </w:rPr>
        <w:t>[11]</w:t>
      </w:r>
      <w:r>
        <w:rPr>
          <w:rFonts w:cs="Arial"/>
          <w:color w:val="000000" w:themeColor="text1"/>
        </w:rPr>
        <w:fldChar w:fldCharType="end"/>
      </w:r>
      <w:r>
        <w:rPr>
          <w:rFonts w:cs="Arial"/>
          <w:color w:val="000000" w:themeColor="text1"/>
        </w:rPr>
        <w:t>.</w:t>
      </w:r>
      <w:r w:rsidRPr="00FF345F">
        <w:rPr>
          <w:rFonts w:cs="Arial"/>
          <w:color w:val="000000" w:themeColor="text1"/>
        </w:rPr>
        <w:t xml:space="preserve"> Furthermore, to visually characterize the relationship between the tasks and provide an indication of medication-induced automaticity, DTE </w:t>
      </w:r>
      <w:r>
        <w:rPr>
          <w:rFonts w:cs="Arial"/>
          <w:color w:val="000000" w:themeColor="text1"/>
        </w:rPr>
        <w:t>ON</w:t>
      </w:r>
      <w:r w:rsidRPr="00FF345F">
        <w:rPr>
          <w:rFonts w:cs="Arial"/>
          <w:color w:val="000000" w:themeColor="text1"/>
        </w:rPr>
        <w:t xml:space="preserve"> was subtracted from DTE </w:t>
      </w:r>
      <w:r>
        <w:rPr>
          <w:rFonts w:cs="Arial"/>
          <w:color w:val="000000" w:themeColor="text1"/>
        </w:rPr>
        <w:t>OFF</w:t>
      </w:r>
      <w:r w:rsidRPr="00FF345F">
        <w:rPr>
          <w:rFonts w:cs="Arial"/>
          <w:color w:val="000000" w:themeColor="text1"/>
        </w:rPr>
        <w:t xml:space="preserve"> (i.e., Task </w:t>
      </w:r>
      <m:oMath>
        <m:r>
          <w:rPr>
            <w:rFonts w:ascii="Cambria Math" w:hAnsi="Cambria Math" w:cs="Arial"/>
            <w:color w:val="000000" w:themeColor="text1"/>
          </w:rPr>
          <m:t>∆</m:t>
        </m:r>
      </m:oMath>
      <w:r w:rsidRPr="00FF345F">
        <w:rPr>
          <w:rFonts w:cs="Arial"/>
          <w:color w:val="000000" w:themeColor="text1"/>
        </w:rPr>
        <w:t xml:space="preserve">DTE = ON Task DTE – OFF Task DTE), where ‘Task’ is a primary or secondary task. </w:t>
      </w:r>
      <m:oMath>
        <m:r>
          <w:rPr>
            <w:rFonts w:ascii="Cambria Math" w:hAnsi="Cambria Math" w:cs="Arial"/>
            <w:color w:val="000000" w:themeColor="text1"/>
          </w:rPr>
          <m:t>∆</m:t>
        </m:r>
      </m:oMath>
      <w:r w:rsidRPr="00FF345F">
        <w:rPr>
          <w:rFonts w:cs="Arial"/>
          <w:color w:val="000000" w:themeColor="text1"/>
        </w:rPr>
        <w:t xml:space="preserve">DTE was calculated for </w:t>
      </w:r>
      <w:r w:rsidRPr="00FF345F">
        <w:rPr>
          <w:rFonts w:eastAsia="MS Mincho" w:cs="Arial"/>
        </w:rPr>
        <w:t>COP</w:t>
      </w:r>
      <w:r w:rsidRPr="00FF345F">
        <w:rPr>
          <w:rFonts w:eastAsia="MS Mincho" w:cs="Arial"/>
          <w:vertAlign w:val="subscript"/>
        </w:rPr>
        <w:t>area</w:t>
      </w:r>
      <w:r w:rsidRPr="00FF345F">
        <w:rPr>
          <w:rFonts w:eastAsia="MS Mincho" w:cs="Arial"/>
        </w:rPr>
        <w:t xml:space="preserve"> </w:t>
      </w:r>
      <w:r w:rsidRPr="00FF345F">
        <w:rPr>
          <w:rFonts w:cs="Arial"/>
          <w:color w:val="000000" w:themeColor="text1"/>
        </w:rPr>
        <w:t xml:space="preserve">and the phoneme tally. Then, the DTE relationship between </w:t>
      </w:r>
      <w:r w:rsidRPr="00FF345F">
        <w:rPr>
          <w:rFonts w:eastAsia="MS Mincho" w:cs="Arial"/>
        </w:rPr>
        <w:t>COP</w:t>
      </w:r>
      <w:r w:rsidRPr="00FF345F">
        <w:rPr>
          <w:rFonts w:eastAsia="MS Mincho" w:cs="Arial"/>
          <w:vertAlign w:val="subscript"/>
        </w:rPr>
        <w:t>area</w:t>
      </w:r>
      <w:r w:rsidRPr="00FF345F">
        <w:rPr>
          <w:rFonts w:eastAsia="MS Mincho" w:cs="Arial"/>
        </w:rPr>
        <w:t xml:space="preserve"> </w:t>
      </w:r>
      <w:r w:rsidRPr="00FF345F">
        <w:rPr>
          <w:rFonts w:cs="Arial"/>
          <w:color w:val="000000" w:themeColor="text1"/>
        </w:rPr>
        <w:t>and phoneme tally were plotted on a coordinate plane with (x,y) = (</w:t>
      </w:r>
      <m:oMath>
        <m:r>
          <w:rPr>
            <w:rFonts w:ascii="Cambria Math" w:hAnsi="Cambria Math" w:cs="Arial"/>
            <w:color w:val="000000" w:themeColor="text1"/>
          </w:rPr>
          <m:t>∆</m:t>
        </m:r>
      </m:oMath>
      <w:r w:rsidRPr="00FF345F">
        <w:rPr>
          <w:rFonts w:cs="Arial"/>
          <w:color w:val="000000" w:themeColor="text1"/>
        </w:rPr>
        <w:t>DTE</w:t>
      </w:r>
      <w:r>
        <w:rPr>
          <w:rFonts w:cs="Arial"/>
          <w:color w:val="000000" w:themeColor="text1"/>
          <w:vertAlign w:val="subscript"/>
        </w:rPr>
        <w:t>area</w:t>
      </w:r>
      <w:r w:rsidRPr="00FF345F">
        <w:rPr>
          <w:rFonts w:cs="Arial"/>
          <w:color w:val="000000" w:themeColor="text1"/>
        </w:rPr>
        <w:t xml:space="preserve">, </w:t>
      </w:r>
      <m:oMath>
        <m:r>
          <w:rPr>
            <w:rFonts w:ascii="Cambria Math" w:hAnsi="Cambria Math" w:cs="Arial"/>
            <w:color w:val="000000" w:themeColor="text1"/>
          </w:rPr>
          <m:t>∆</m:t>
        </m:r>
      </m:oMath>
      <w:r w:rsidRPr="00FF345F">
        <w:rPr>
          <w:rFonts w:cs="Arial"/>
          <w:color w:val="000000" w:themeColor="text1"/>
        </w:rPr>
        <w:t>DTE</w:t>
      </w:r>
      <w:r w:rsidRPr="00FF345F">
        <w:rPr>
          <w:rFonts w:cs="Arial"/>
          <w:color w:val="000000" w:themeColor="text1"/>
          <w:vertAlign w:val="subscript"/>
        </w:rPr>
        <w:t>tally</w:t>
      </w:r>
      <w:r w:rsidRPr="00FF345F">
        <w:rPr>
          <w:rFonts w:cs="Arial"/>
          <w:color w:val="000000" w:themeColor="text1"/>
        </w:rPr>
        <w:t xml:space="preserve">) with the x-axis as change in </w:t>
      </w:r>
      <w:r>
        <w:rPr>
          <w:rFonts w:cs="Arial"/>
          <w:color w:val="000000" w:themeColor="text1"/>
        </w:rPr>
        <w:t>balance</w:t>
      </w:r>
      <w:r w:rsidRPr="00FF345F">
        <w:rPr>
          <w:rFonts w:cs="Arial"/>
          <w:color w:val="000000" w:themeColor="text1"/>
        </w:rPr>
        <w:t xml:space="preserve"> effect and y-axis as change in phoneme monitoring effect (</w:t>
      </w:r>
      <w:r w:rsidRPr="00FF345F">
        <w:rPr>
          <w:rFonts w:cs="Arial"/>
        </w:rPr>
        <w:t xml:space="preserve">see </w:t>
      </w:r>
      <w:r w:rsidRPr="00D62AAD">
        <w:rPr>
          <w:rFonts w:cs="Arial"/>
        </w:rPr>
        <w:t xml:space="preserve">Figure </w:t>
      </w:r>
      <w:r w:rsidR="00DB2A38">
        <w:rPr>
          <w:rFonts w:cs="Arial"/>
        </w:rPr>
        <w:t>5</w:t>
      </w:r>
      <w:r w:rsidRPr="00FF345F">
        <w:rPr>
          <w:rFonts w:cs="Arial"/>
        </w:rPr>
        <w:t xml:space="preserve"> below</w:t>
      </w:r>
      <w:r w:rsidRPr="00FF345F">
        <w:rPr>
          <w:rFonts w:cs="Arial"/>
          <w:color w:val="000000" w:themeColor="text1"/>
        </w:rPr>
        <w:t>).</w:t>
      </w:r>
    </w:p>
    <w:p w14:paraId="37EFB237" w14:textId="73A31894" w:rsidR="00533FFE" w:rsidRPr="00864B56" w:rsidRDefault="00533FFE" w:rsidP="008009D0">
      <w:pPr>
        <w:pStyle w:val="Heading3"/>
        <w:jc w:val="both"/>
      </w:pPr>
      <w:bookmarkStart w:id="41" w:name="_Toc527361750"/>
      <w:r w:rsidRPr="00864B56">
        <w:t>Statistical Analysis</w:t>
      </w:r>
      <w:bookmarkEnd w:id="41"/>
    </w:p>
    <w:p w14:paraId="0F12BDC5" w14:textId="38672339" w:rsidR="008C1973" w:rsidRPr="00864B56" w:rsidRDefault="00533FFE" w:rsidP="008009D0">
      <w:pPr>
        <w:jc w:val="both"/>
        <w:rPr>
          <w:rFonts w:cs="Arial"/>
        </w:rPr>
      </w:pPr>
      <w:r>
        <w:rPr>
          <w:rFonts w:cs="Arial"/>
        </w:rPr>
        <w:tab/>
      </w:r>
      <w:r w:rsidR="007B6BCF" w:rsidRPr="007864C9">
        <w:rPr>
          <w:rFonts w:eastAsia="MS Mincho" w:cs="Arial"/>
        </w:rPr>
        <w:t>A 3-factor repeated-measures ANOVA, medication (OFF vs. ON) by task (ST vs. DT) by eyes condition (EO vs. EC), was employed to investigate the hypotheses. COP</w:t>
      </w:r>
      <w:r w:rsidR="007B6BCF" w:rsidRPr="007864C9">
        <w:rPr>
          <w:rFonts w:eastAsia="MS Mincho" w:cs="Arial"/>
          <w:vertAlign w:val="subscript"/>
        </w:rPr>
        <w:t>area</w:t>
      </w:r>
      <w:r w:rsidR="007B6BCF" w:rsidRPr="007864C9">
        <w:rPr>
          <w:rFonts w:eastAsia="MS Mincho" w:cs="Arial"/>
        </w:rPr>
        <w:t xml:space="preserve">, mean AP-Velocity and ML-Velocity, and iTTB were input into this statistical model. Because the phoneme monitoring task did not have two ST performances (i.e., performed once while seated comfortably), a 2-factor repeated measures ANOVA, medication (OFF vs. ON) by task (ST vs DTEO vs. DTEC) was performed for analysis of this task. The assumptions for a repeated measures ANOVA were reviewed or tested. The normality assumption of each variable was checked via histograms, skewness, and </w:t>
      </w:r>
      <w:r w:rsidR="00B00735" w:rsidRPr="007864C9">
        <w:rPr>
          <w:rFonts w:eastAsia="MS Mincho" w:cs="Arial"/>
        </w:rPr>
        <w:t xml:space="preserve">kurtosis </w:t>
      </w:r>
      <w:r w:rsidR="007B6BCF" w:rsidRPr="007864C9">
        <w:rPr>
          <w:rFonts w:eastAsia="MS Mincho" w:cs="Arial"/>
        </w:rPr>
        <w:t xml:space="preserve">statistics. For the phoneme monitoring repeated measures ANOVA, sphericity (i.e., </w:t>
      </w:r>
      <w:r w:rsidR="007B6BCF" w:rsidRPr="007864C9">
        <w:rPr>
          <w:rFonts w:eastAsia="MS Mincho" w:cs="Arial"/>
        </w:rPr>
        <w:lastRenderedPageBreak/>
        <w:t xml:space="preserve">Mauchly’s Test of Sphericity) was also assessed, and where violations occurred, Greenhouse-Geisser corrected statistics were used. </w:t>
      </w:r>
      <w:r w:rsidR="00B16D19" w:rsidRPr="007864C9">
        <w:rPr>
          <w:rFonts w:eastAsia="MS Mincho" w:cs="Arial"/>
          <w:i/>
        </w:rPr>
        <w:t>Post-hoc</w:t>
      </w:r>
      <w:r w:rsidR="00B16D19" w:rsidRPr="007864C9">
        <w:rPr>
          <w:rFonts w:eastAsia="MS Mincho" w:cs="Arial"/>
        </w:rPr>
        <w:t xml:space="preserve"> pairwise </w:t>
      </w:r>
      <w:r w:rsidR="007B6BCF" w:rsidRPr="007864C9">
        <w:rPr>
          <w:rFonts w:eastAsia="MS Mincho" w:cs="Arial"/>
        </w:rPr>
        <w:t>comparisons</w:t>
      </w:r>
      <w:r w:rsidR="00B16D19">
        <w:rPr>
          <w:rFonts w:eastAsia="MS Mincho" w:cs="Arial"/>
        </w:rPr>
        <w:t xml:space="preserve"> (i.e., paired </w:t>
      </w:r>
      <w:r w:rsidR="00B16D19" w:rsidRPr="00E27CEF">
        <w:rPr>
          <w:rFonts w:eastAsia="MS Mincho" w:cs="Arial"/>
          <w:i/>
        </w:rPr>
        <w:t>t</w:t>
      </w:r>
      <w:r w:rsidR="00B16D19">
        <w:rPr>
          <w:rFonts w:eastAsia="MS Mincho" w:cs="Arial"/>
        </w:rPr>
        <w:t>-tests)</w:t>
      </w:r>
      <w:r w:rsidR="007B6BCF" w:rsidRPr="007864C9">
        <w:rPr>
          <w:rFonts w:eastAsia="MS Mincho" w:cs="Arial"/>
        </w:rPr>
        <w:t xml:space="preserve"> were performed to clarify any significant differences. Significance was accepted at </w:t>
      </w:r>
      <w:r w:rsidR="007B6BCF" w:rsidRPr="007864C9">
        <w:rPr>
          <w:rFonts w:eastAsia="MS Mincho" w:cs="Arial"/>
          <w:i/>
        </w:rPr>
        <w:t>p</w:t>
      </w:r>
      <w:r w:rsidR="007B6BCF" w:rsidRPr="007864C9">
        <w:rPr>
          <w:rFonts w:eastAsia="MS Mincho" w:cs="Arial"/>
        </w:rPr>
        <w:t xml:space="preserve"> &lt; 0.05. Statistical analysis was performed using SPSS 23 (IBM Corp., Armonk, NY, USA).</w:t>
      </w:r>
    </w:p>
    <w:p w14:paraId="3BAED187" w14:textId="4DC3EB54" w:rsidR="00533FFE" w:rsidRPr="00864B56" w:rsidRDefault="00533FFE" w:rsidP="008009D0">
      <w:pPr>
        <w:pStyle w:val="Heading2"/>
        <w:jc w:val="both"/>
      </w:pPr>
      <w:bookmarkStart w:id="42" w:name="_Toc527361751"/>
      <w:r w:rsidRPr="00864B56">
        <w:t>Results</w:t>
      </w:r>
      <w:bookmarkEnd w:id="42"/>
    </w:p>
    <w:p w14:paraId="3BBFA101" w14:textId="2DF76FD9" w:rsidR="00533FFE" w:rsidRPr="00083C67" w:rsidRDefault="00533FFE" w:rsidP="008009D0">
      <w:pPr>
        <w:jc w:val="both"/>
        <w:rPr>
          <w:rFonts w:cs="Arial"/>
        </w:rPr>
      </w:pPr>
      <w:r>
        <w:rPr>
          <w:rFonts w:cs="Arial"/>
        </w:rPr>
        <w:tab/>
      </w:r>
      <w:r w:rsidR="00B242AF" w:rsidRPr="00E074F3">
        <w:rPr>
          <w:rFonts w:eastAsia="MS Mincho" w:cs="Arial"/>
        </w:rPr>
        <w:t xml:space="preserve">All subjects completed all of the testing conditions according to </w:t>
      </w:r>
      <w:r w:rsidR="00B242AF">
        <w:rPr>
          <w:rFonts w:eastAsia="MS Mincho" w:cs="Arial"/>
        </w:rPr>
        <w:t xml:space="preserve">the </w:t>
      </w:r>
      <w:r w:rsidR="00B242AF" w:rsidRPr="00E074F3">
        <w:rPr>
          <w:rFonts w:eastAsia="MS Mincho" w:cs="Arial"/>
        </w:rPr>
        <w:t xml:space="preserve">study protocol. Table </w:t>
      </w:r>
      <w:r w:rsidR="00665D28">
        <w:rPr>
          <w:rFonts w:eastAsia="MS Mincho" w:cs="Arial"/>
        </w:rPr>
        <w:t>3</w:t>
      </w:r>
      <w:r w:rsidR="00B242AF" w:rsidRPr="00E074F3">
        <w:rPr>
          <w:rFonts w:eastAsia="MS Mincho" w:cs="Arial"/>
        </w:rPr>
        <w:t xml:space="preserve"> displays the subject demographic information. The assumptions for a repeated measures ANOVA were sufficiently met by all of the variables and there were no violations of the sphericity assumption. </w:t>
      </w:r>
      <w:r w:rsidR="00B242AF" w:rsidRPr="00665D28">
        <w:rPr>
          <w:rFonts w:eastAsia="MS Mincho" w:cs="Arial"/>
        </w:rPr>
        <w:t xml:space="preserve">Table </w:t>
      </w:r>
      <w:r w:rsidR="00665D28">
        <w:rPr>
          <w:rFonts w:eastAsia="MS Mincho" w:cs="Arial"/>
        </w:rPr>
        <w:t>4</w:t>
      </w:r>
      <w:r w:rsidR="00B242AF" w:rsidRPr="00E074F3">
        <w:rPr>
          <w:rFonts w:eastAsia="MS Mincho" w:cs="Arial"/>
        </w:rPr>
        <w:t xml:space="preserve"> contains the results of the analysis, stratified by medication state. </w:t>
      </w:r>
      <w:r w:rsidR="00B242AF" w:rsidRPr="00665D28">
        <w:rPr>
          <w:rFonts w:eastAsia="MS Mincho" w:cs="Arial"/>
        </w:rPr>
        <w:t xml:space="preserve">Figure </w:t>
      </w:r>
      <w:r w:rsidR="0059325C">
        <w:rPr>
          <w:rFonts w:eastAsia="MS Mincho" w:cs="Arial"/>
        </w:rPr>
        <w:t>4</w:t>
      </w:r>
      <w:r w:rsidR="00B242AF" w:rsidRPr="00665D28">
        <w:rPr>
          <w:rFonts w:eastAsia="MS Mincho" w:cs="Arial"/>
        </w:rPr>
        <w:t xml:space="preserve"> displays</w:t>
      </w:r>
      <w:r w:rsidR="00B242AF" w:rsidRPr="00E074F3">
        <w:rPr>
          <w:rFonts w:eastAsia="MS Mincho" w:cs="Arial"/>
        </w:rPr>
        <w:t xml:space="preserve"> the same data in graphical form and indicates the significant differences with lines and tick marks. </w:t>
      </w:r>
      <w:r w:rsidR="00B242AF">
        <w:rPr>
          <w:rFonts w:eastAsia="MS Mincho" w:cs="Arial"/>
        </w:rPr>
        <w:t>S</w:t>
      </w:r>
      <w:r w:rsidR="00B242AF" w:rsidRPr="00E074F3">
        <w:rPr>
          <w:rFonts w:eastAsia="MS Mincho" w:cs="Arial"/>
        </w:rPr>
        <w:t xml:space="preserve">ignificant findings </w:t>
      </w:r>
      <w:r w:rsidR="00B242AF">
        <w:rPr>
          <w:rFonts w:eastAsia="MS Mincho" w:cs="Arial"/>
        </w:rPr>
        <w:t xml:space="preserve">are summarized </w:t>
      </w:r>
      <w:r w:rsidR="00B242AF" w:rsidRPr="00E074F3">
        <w:rPr>
          <w:rFonts w:eastAsia="MS Mincho" w:cs="Arial"/>
        </w:rPr>
        <w:t>below.</w:t>
      </w:r>
    </w:p>
    <w:p w14:paraId="4190855F" w14:textId="00A1C9E9" w:rsidR="00533FFE" w:rsidRPr="00684F22" w:rsidRDefault="006361F8" w:rsidP="008009D0">
      <w:pPr>
        <w:pStyle w:val="Heading3"/>
        <w:jc w:val="both"/>
      </w:pPr>
      <w:bookmarkStart w:id="43" w:name="_Toc527361752"/>
      <w:r w:rsidRPr="00640FA0">
        <w:rPr>
          <w:rFonts w:eastAsia="MS Mincho"/>
        </w:rPr>
        <w:t xml:space="preserve">Center of Pressure 95% </w:t>
      </w:r>
      <w:r>
        <w:rPr>
          <w:rFonts w:eastAsia="MS Mincho"/>
        </w:rPr>
        <w:t>C</w:t>
      </w:r>
      <w:r w:rsidRPr="00640FA0">
        <w:rPr>
          <w:rFonts w:eastAsia="MS Mincho"/>
        </w:rPr>
        <w:t xml:space="preserve">onfidence </w:t>
      </w:r>
      <w:r>
        <w:rPr>
          <w:rFonts w:eastAsia="MS Mincho"/>
        </w:rPr>
        <w:t>E</w:t>
      </w:r>
      <w:r w:rsidRPr="00640FA0">
        <w:rPr>
          <w:rFonts w:eastAsia="MS Mincho"/>
        </w:rPr>
        <w:t>llipse Area</w:t>
      </w:r>
      <w:bookmarkEnd w:id="43"/>
    </w:p>
    <w:p w14:paraId="60595777" w14:textId="49875F69" w:rsidR="00533FFE" w:rsidRDefault="00533FFE" w:rsidP="008009D0">
      <w:pPr>
        <w:jc w:val="both"/>
        <w:rPr>
          <w:rFonts w:cs="Arial"/>
        </w:rPr>
      </w:pPr>
      <w:r>
        <w:rPr>
          <w:rFonts w:cs="Arial"/>
        </w:rPr>
        <w:tab/>
      </w:r>
      <w:r w:rsidR="00507F5B">
        <w:rPr>
          <w:rFonts w:eastAsia="MS Mincho" w:cs="Arial"/>
        </w:rPr>
        <w:t>F</w:t>
      </w:r>
      <w:r w:rsidR="00507F5B" w:rsidRPr="00E0500F">
        <w:rPr>
          <w:rFonts w:eastAsia="MS Mincho" w:cs="Arial"/>
        </w:rPr>
        <w:t>or COP</w:t>
      </w:r>
      <w:r w:rsidR="00507F5B" w:rsidRPr="00E0500F">
        <w:rPr>
          <w:rFonts w:eastAsia="MS Mincho" w:cs="Arial"/>
          <w:vertAlign w:val="subscript"/>
        </w:rPr>
        <w:t>area</w:t>
      </w:r>
      <w:r w:rsidR="00507F5B">
        <w:rPr>
          <w:rFonts w:eastAsia="MS Mincho" w:cs="Arial"/>
        </w:rPr>
        <w:t>, t</w:t>
      </w:r>
      <w:r w:rsidR="00507F5B" w:rsidRPr="00E0500F">
        <w:rPr>
          <w:rFonts w:eastAsia="MS Mincho" w:cs="Arial"/>
        </w:rPr>
        <w:t xml:space="preserve">here </w:t>
      </w:r>
      <w:r w:rsidR="00507F5B">
        <w:rPr>
          <w:rFonts w:eastAsia="MS Mincho" w:cs="Arial"/>
        </w:rPr>
        <w:t xml:space="preserve">were </w:t>
      </w:r>
      <w:r w:rsidR="00507F5B" w:rsidRPr="00E0500F">
        <w:rPr>
          <w:rFonts w:eastAsia="MS Mincho" w:cs="Arial"/>
        </w:rPr>
        <w:t xml:space="preserve">significant medication </w:t>
      </w:r>
      <w:r w:rsidR="00507F5B">
        <w:rPr>
          <w:rFonts w:eastAsia="MS Mincho" w:cs="Arial"/>
        </w:rPr>
        <w:t>(</w:t>
      </w:r>
      <w:r w:rsidR="00507F5B" w:rsidRPr="00E0500F">
        <w:rPr>
          <w:rFonts w:eastAsia="MS Mincho" w:cs="Arial"/>
          <w:i/>
        </w:rPr>
        <w:t>p</w:t>
      </w:r>
      <w:r w:rsidR="00507F5B">
        <w:rPr>
          <w:rFonts w:eastAsia="MS Mincho" w:cs="Arial"/>
        </w:rPr>
        <w:t xml:space="preserve"> = 0.002) and </w:t>
      </w:r>
      <w:r w:rsidR="00507F5B" w:rsidRPr="00E0500F">
        <w:rPr>
          <w:rFonts w:eastAsia="MS Mincho" w:cs="Arial"/>
        </w:rPr>
        <w:t xml:space="preserve">task </w:t>
      </w:r>
      <w:r w:rsidR="00507F5B">
        <w:rPr>
          <w:rFonts w:eastAsia="MS Mincho" w:cs="Arial"/>
        </w:rPr>
        <w:t>(</w:t>
      </w:r>
      <w:r w:rsidR="00507F5B" w:rsidRPr="00E0500F">
        <w:rPr>
          <w:rFonts w:eastAsia="MS Mincho" w:cs="Arial"/>
          <w:i/>
        </w:rPr>
        <w:t>p</w:t>
      </w:r>
      <w:r w:rsidR="00507F5B" w:rsidRPr="00E0500F">
        <w:rPr>
          <w:rFonts w:eastAsia="MS Mincho" w:cs="Arial"/>
        </w:rPr>
        <w:t xml:space="preserve"> = 0.034)</w:t>
      </w:r>
      <w:r w:rsidR="00507F5B">
        <w:rPr>
          <w:rFonts w:eastAsia="MS Mincho" w:cs="Arial"/>
        </w:rPr>
        <w:t xml:space="preserve"> main effects, but not a significant effect of eyes condition (p=0.629)</w:t>
      </w:r>
      <w:r w:rsidR="00507F5B" w:rsidRPr="00E0500F">
        <w:rPr>
          <w:rFonts w:eastAsia="MS Mincho" w:cs="Arial"/>
        </w:rPr>
        <w:t xml:space="preserve">. Further analysis indicated that OFF-STEC was less than ON-STEC </w:t>
      </w:r>
      <w:r w:rsidR="00507F5B">
        <w:rPr>
          <w:rFonts w:eastAsia="MS Mincho" w:cs="Arial"/>
        </w:rPr>
        <w:t>(p = 0.041), OFF-DTEC</w:t>
      </w:r>
      <w:r w:rsidR="00507F5B" w:rsidRPr="00E0500F">
        <w:rPr>
          <w:rFonts w:eastAsia="MS Mincho" w:cs="Arial"/>
        </w:rPr>
        <w:t xml:space="preserve"> was less than ON-DTEC </w:t>
      </w:r>
      <w:r w:rsidR="00507F5B">
        <w:rPr>
          <w:rFonts w:eastAsia="MS Mincho" w:cs="Arial"/>
        </w:rPr>
        <w:t>(</w:t>
      </w:r>
      <w:r w:rsidR="00507F5B" w:rsidRPr="00E0500F">
        <w:rPr>
          <w:rFonts w:eastAsia="MS Mincho" w:cs="Arial"/>
        </w:rPr>
        <w:t xml:space="preserve">p = 0.023), and ON-STEC was greater than ON-DTEC </w:t>
      </w:r>
      <w:r w:rsidR="00507F5B">
        <w:rPr>
          <w:rFonts w:eastAsia="MS Mincho" w:cs="Arial"/>
        </w:rPr>
        <w:t>(</w:t>
      </w:r>
      <w:r w:rsidR="00507F5B" w:rsidRPr="00E0500F">
        <w:rPr>
          <w:rFonts w:eastAsia="MS Mincho" w:cs="Arial"/>
          <w:i/>
        </w:rPr>
        <w:t>p</w:t>
      </w:r>
      <w:r w:rsidR="00507F5B" w:rsidRPr="00E0500F">
        <w:rPr>
          <w:rFonts w:eastAsia="MS Mincho" w:cs="Arial"/>
        </w:rPr>
        <w:t xml:space="preserve"> = 0.021).</w:t>
      </w:r>
      <w:r w:rsidR="00507F5B">
        <w:rPr>
          <w:rFonts w:eastAsia="MS Mincho" w:cs="Arial"/>
        </w:rPr>
        <w:t xml:space="preserve"> This means the subjects utilized a larger area to maintain their balance for the same task and eyes conditions after taking medication and that performing the secondary task ON reverted area measurements toward OFF values</w:t>
      </w:r>
      <w:r w:rsidR="00507F5B" w:rsidRPr="0059325C">
        <w:rPr>
          <w:rFonts w:eastAsia="MS Mincho" w:cs="Arial"/>
        </w:rPr>
        <w:t xml:space="preserve">. Figure </w:t>
      </w:r>
      <w:r w:rsidR="0059325C">
        <w:rPr>
          <w:rFonts w:eastAsia="MS Mincho" w:cs="Arial"/>
        </w:rPr>
        <w:t>4</w:t>
      </w:r>
      <w:r w:rsidR="00507F5B">
        <w:rPr>
          <w:rFonts w:eastAsia="MS Mincho" w:cs="Arial"/>
        </w:rPr>
        <w:t xml:space="preserve"> displays s</w:t>
      </w:r>
      <w:r w:rsidR="00507F5B" w:rsidRPr="00E0500F">
        <w:rPr>
          <w:rFonts w:eastAsia="MS Mincho" w:cs="Arial"/>
        </w:rPr>
        <w:t>everal</w:t>
      </w:r>
      <w:r w:rsidR="00507F5B">
        <w:rPr>
          <w:rFonts w:eastAsia="MS Mincho" w:cs="Arial"/>
        </w:rPr>
        <w:t xml:space="preserve"> other</w:t>
      </w:r>
      <w:r w:rsidR="00507F5B" w:rsidRPr="00E0500F">
        <w:rPr>
          <w:rFonts w:eastAsia="MS Mincho" w:cs="Arial"/>
        </w:rPr>
        <w:t xml:space="preserve"> significant differences</w:t>
      </w:r>
      <w:r w:rsidR="00507F5B">
        <w:rPr>
          <w:rFonts w:eastAsia="MS Mincho" w:cs="Arial"/>
        </w:rPr>
        <w:t xml:space="preserve"> that </w:t>
      </w:r>
      <w:r w:rsidR="00507F5B" w:rsidRPr="00E0500F">
        <w:rPr>
          <w:rFonts w:eastAsia="MS Mincho" w:cs="Arial"/>
        </w:rPr>
        <w:t>were found in the pairwise comparisons.</w:t>
      </w:r>
    </w:p>
    <w:p w14:paraId="092A73B9" w14:textId="53DCB730" w:rsidR="00533FFE" w:rsidRPr="00B8221E" w:rsidRDefault="00533FFE" w:rsidP="008009D0">
      <w:pPr>
        <w:pStyle w:val="Heading3"/>
        <w:jc w:val="both"/>
      </w:pPr>
      <w:bookmarkStart w:id="44" w:name="_Toc527361753"/>
      <w:r>
        <w:lastRenderedPageBreak/>
        <w:t>Integrated Time to Boundary</w:t>
      </w:r>
      <w:bookmarkEnd w:id="44"/>
    </w:p>
    <w:p w14:paraId="5C835328" w14:textId="217CEDC5" w:rsidR="00533FFE" w:rsidRPr="00AC26E9" w:rsidRDefault="00533FFE" w:rsidP="008009D0">
      <w:pPr>
        <w:jc w:val="both"/>
        <w:rPr>
          <w:rFonts w:cs="Arial"/>
        </w:rPr>
      </w:pPr>
      <w:r>
        <w:rPr>
          <w:rFonts w:cs="Arial"/>
        </w:rPr>
        <w:tab/>
      </w:r>
      <w:r w:rsidR="00F54CB4">
        <w:rPr>
          <w:rFonts w:eastAsia="MS Mincho" w:cs="Arial"/>
        </w:rPr>
        <w:t>F</w:t>
      </w:r>
      <w:r w:rsidR="00F54CB4" w:rsidRPr="00E07D64">
        <w:rPr>
          <w:rFonts w:eastAsia="MS Mincho" w:cs="Arial"/>
        </w:rPr>
        <w:t>or iTTB</w:t>
      </w:r>
      <w:r w:rsidR="00F54CB4">
        <w:rPr>
          <w:rFonts w:eastAsia="MS Mincho" w:cs="Arial"/>
        </w:rPr>
        <w:t>,</w:t>
      </w:r>
      <w:r w:rsidR="00F54CB4" w:rsidRPr="00E07D64">
        <w:rPr>
          <w:rFonts w:eastAsia="MS Mincho" w:cs="Arial"/>
        </w:rPr>
        <w:t xml:space="preserve"> </w:t>
      </w:r>
      <w:r w:rsidR="00F54CB4">
        <w:rPr>
          <w:rFonts w:eastAsia="MS Mincho" w:cs="Arial"/>
        </w:rPr>
        <w:t>t</w:t>
      </w:r>
      <w:r w:rsidR="00F54CB4" w:rsidRPr="00E07D64">
        <w:rPr>
          <w:rFonts w:eastAsia="MS Mincho" w:cs="Arial"/>
        </w:rPr>
        <w:t xml:space="preserve">here </w:t>
      </w:r>
      <w:r w:rsidR="00F54CB4">
        <w:rPr>
          <w:rFonts w:eastAsia="MS Mincho" w:cs="Arial"/>
        </w:rPr>
        <w:t>was a</w:t>
      </w:r>
      <w:r w:rsidR="00F54CB4" w:rsidRPr="00E07D64">
        <w:rPr>
          <w:rFonts w:eastAsia="MS Mincho" w:cs="Arial"/>
        </w:rPr>
        <w:t xml:space="preserve"> significant</w:t>
      </w:r>
      <w:r w:rsidR="00F54CB4">
        <w:rPr>
          <w:rFonts w:eastAsia="MS Mincho" w:cs="Arial"/>
        </w:rPr>
        <w:t xml:space="preserve"> main effect of</w:t>
      </w:r>
      <w:r w:rsidR="00F54CB4" w:rsidRPr="00E07D64">
        <w:rPr>
          <w:rFonts w:eastAsia="MS Mincho" w:cs="Arial"/>
        </w:rPr>
        <w:t xml:space="preserve"> eyes </w:t>
      </w:r>
      <w:r w:rsidR="00F54CB4">
        <w:rPr>
          <w:rFonts w:eastAsia="MS Mincho" w:cs="Arial"/>
        </w:rPr>
        <w:t>(p &lt; 0.001) but not significant medication or task main effects (</w:t>
      </w:r>
      <w:r w:rsidR="00F54CB4" w:rsidRPr="00E07D64">
        <w:rPr>
          <w:rFonts w:eastAsia="MS Mincho" w:cs="Arial"/>
          <w:i/>
        </w:rPr>
        <w:t>p</w:t>
      </w:r>
      <w:r w:rsidR="00F54CB4" w:rsidRPr="00E07D64">
        <w:rPr>
          <w:rFonts w:eastAsia="MS Mincho" w:cs="Arial"/>
        </w:rPr>
        <w:t xml:space="preserve"> = 0.</w:t>
      </w:r>
      <w:r w:rsidR="00F54CB4">
        <w:rPr>
          <w:rFonts w:eastAsia="MS Mincho" w:cs="Arial"/>
        </w:rPr>
        <w:t xml:space="preserve">321 and </w:t>
      </w:r>
      <w:r w:rsidR="00F54CB4" w:rsidRPr="00E07D64">
        <w:rPr>
          <w:rFonts w:eastAsia="MS Mincho" w:cs="Arial"/>
          <w:i/>
        </w:rPr>
        <w:t>p</w:t>
      </w:r>
      <w:r w:rsidR="00F54CB4" w:rsidRPr="00E07D64">
        <w:rPr>
          <w:rFonts w:eastAsia="MS Mincho" w:cs="Arial"/>
        </w:rPr>
        <w:t xml:space="preserve"> = 0.</w:t>
      </w:r>
      <w:r w:rsidR="00F54CB4">
        <w:rPr>
          <w:rFonts w:eastAsia="MS Mincho" w:cs="Arial"/>
        </w:rPr>
        <w:t>207, respectively). However, there was a significant</w:t>
      </w:r>
      <w:r w:rsidR="00F54CB4" w:rsidRPr="00E07D64">
        <w:rPr>
          <w:rFonts w:eastAsia="MS Mincho" w:cs="Arial"/>
        </w:rPr>
        <w:t xml:space="preserve"> task by eyes </w:t>
      </w:r>
      <w:r w:rsidR="00F54CB4">
        <w:rPr>
          <w:rFonts w:eastAsia="MS Mincho" w:cs="Arial"/>
        </w:rPr>
        <w:t>interaction effect</w:t>
      </w:r>
      <w:r w:rsidR="00F54CB4" w:rsidRPr="00E07D64">
        <w:rPr>
          <w:rFonts w:eastAsia="MS Mincho" w:cs="Arial"/>
        </w:rPr>
        <w:t xml:space="preserve"> (</w:t>
      </w:r>
      <w:r w:rsidR="00F54CB4" w:rsidRPr="00E07D64">
        <w:rPr>
          <w:rFonts w:eastAsia="MS Mincho" w:cs="Arial"/>
          <w:i/>
        </w:rPr>
        <w:t>p</w:t>
      </w:r>
      <w:r w:rsidR="00F54CB4" w:rsidRPr="00E07D64">
        <w:rPr>
          <w:rFonts w:eastAsia="MS Mincho" w:cs="Arial"/>
        </w:rPr>
        <w:t xml:space="preserve"> = 0.009)</w:t>
      </w:r>
      <w:r w:rsidR="00F54CB4">
        <w:rPr>
          <w:rFonts w:eastAsia="MS Mincho" w:cs="Arial"/>
        </w:rPr>
        <w:t xml:space="preserve">. </w:t>
      </w:r>
      <w:r w:rsidR="00F54CB4" w:rsidRPr="00E07D64">
        <w:rPr>
          <w:rFonts w:eastAsia="MS Mincho" w:cs="Arial"/>
        </w:rPr>
        <w:t xml:space="preserve">Pairwise comparisons further </w:t>
      </w:r>
      <w:r w:rsidR="00F54CB4">
        <w:rPr>
          <w:rFonts w:eastAsia="MS Mincho" w:cs="Arial"/>
        </w:rPr>
        <w:t>clarified</w:t>
      </w:r>
      <w:r w:rsidR="00F54CB4" w:rsidRPr="00E07D64">
        <w:rPr>
          <w:rFonts w:eastAsia="MS Mincho" w:cs="Arial"/>
        </w:rPr>
        <w:t xml:space="preserve"> </w:t>
      </w:r>
      <w:r w:rsidR="00F54CB4">
        <w:rPr>
          <w:rFonts w:eastAsia="MS Mincho" w:cs="Arial"/>
        </w:rPr>
        <w:t>these effects. During OFF, the effect of eyes was that STEO</w:t>
      </w:r>
      <w:r w:rsidR="00F54CB4" w:rsidRPr="00E07D64">
        <w:rPr>
          <w:rFonts w:eastAsia="MS Mincho" w:cs="Arial"/>
        </w:rPr>
        <w:t xml:space="preserve"> </w:t>
      </w:r>
      <w:r w:rsidR="00F54CB4">
        <w:rPr>
          <w:rFonts w:eastAsia="MS Mincho" w:cs="Arial"/>
        </w:rPr>
        <w:t xml:space="preserve">was </w:t>
      </w:r>
      <w:r w:rsidR="00F54CB4" w:rsidRPr="00E07D64">
        <w:rPr>
          <w:rFonts w:eastAsia="MS Mincho" w:cs="Arial"/>
        </w:rPr>
        <w:t>less than</w:t>
      </w:r>
      <w:r w:rsidR="00F54CB4">
        <w:rPr>
          <w:rFonts w:eastAsia="MS Mincho" w:cs="Arial"/>
        </w:rPr>
        <w:t xml:space="preserve"> both</w:t>
      </w:r>
      <w:r w:rsidR="00F54CB4" w:rsidRPr="00E07D64">
        <w:rPr>
          <w:rFonts w:eastAsia="MS Mincho" w:cs="Arial"/>
        </w:rPr>
        <w:t xml:space="preserve"> STEC (</w:t>
      </w:r>
      <w:r w:rsidR="00F54CB4" w:rsidRPr="00E07D64">
        <w:rPr>
          <w:rFonts w:eastAsia="MS Mincho" w:cs="Arial"/>
          <w:i/>
        </w:rPr>
        <w:t>p</w:t>
      </w:r>
      <w:r w:rsidR="00F54CB4" w:rsidRPr="00E07D64">
        <w:rPr>
          <w:rFonts w:eastAsia="MS Mincho" w:cs="Arial"/>
        </w:rPr>
        <w:t xml:space="preserve"> &lt; 0.001) and DTEC (</w:t>
      </w:r>
      <w:r w:rsidR="00F54CB4" w:rsidRPr="00E07D64">
        <w:rPr>
          <w:rFonts w:eastAsia="MS Mincho" w:cs="Arial"/>
          <w:i/>
        </w:rPr>
        <w:t>p</w:t>
      </w:r>
      <w:r w:rsidR="00F54CB4">
        <w:rPr>
          <w:rFonts w:eastAsia="MS Mincho" w:cs="Arial"/>
        </w:rPr>
        <w:t xml:space="preserve"> = 0.003), and </w:t>
      </w:r>
      <w:r w:rsidR="00F54CB4" w:rsidRPr="00E07D64">
        <w:rPr>
          <w:rFonts w:eastAsia="MS Mincho" w:cs="Arial"/>
        </w:rPr>
        <w:t>DTEO was less than DTEC (</w:t>
      </w:r>
      <w:r w:rsidR="00F54CB4" w:rsidRPr="00E07D64">
        <w:rPr>
          <w:rFonts w:eastAsia="MS Mincho" w:cs="Arial"/>
          <w:i/>
        </w:rPr>
        <w:t>p</w:t>
      </w:r>
      <w:r w:rsidR="00F54CB4">
        <w:rPr>
          <w:rFonts w:eastAsia="MS Mincho" w:cs="Arial"/>
        </w:rPr>
        <w:t xml:space="preserve"> = 0.005). For the OFF interaction effect, STEC</w:t>
      </w:r>
      <w:r w:rsidR="00F54CB4" w:rsidRPr="00E07D64">
        <w:rPr>
          <w:rFonts w:eastAsia="MS Mincho" w:cs="Arial"/>
        </w:rPr>
        <w:t xml:space="preserve"> was greater than DTEO (</w:t>
      </w:r>
      <w:r w:rsidR="00F54CB4" w:rsidRPr="00E07D64">
        <w:rPr>
          <w:rFonts w:eastAsia="MS Mincho" w:cs="Arial"/>
          <w:i/>
        </w:rPr>
        <w:t>p</w:t>
      </w:r>
      <w:r w:rsidR="00F54CB4">
        <w:rPr>
          <w:rFonts w:eastAsia="MS Mincho" w:cs="Arial"/>
        </w:rPr>
        <w:t xml:space="preserve"> &lt; 0.001).</w:t>
      </w:r>
      <w:r w:rsidR="00F54CB4" w:rsidRPr="00E07D64">
        <w:rPr>
          <w:rFonts w:eastAsia="MS Mincho" w:cs="Arial"/>
        </w:rPr>
        <w:t xml:space="preserve"> </w:t>
      </w:r>
      <w:r w:rsidR="00F54CB4">
        <w:rPr>
          <w:rFonts w:eastAsia="MS Mincho" w:cs="Arial"/>
        </w:rPr>
        <w:t>The effect of eyes while ON was similar to OFF, with</w:t>
      </w:r>
      <w:r w:rsidR="00F54CB4" w:rsidRPr="00E07D64">
        <w:rPr>
          <w:rFonts w:eastAsia="MS Mincho" w:cs="Arial"/>
        </w:rPr>
        <w:t xml:space="preserve"> STEO was less than</w:t>
      </w:r>
      <w:r w:rsidR="00F54CB4">
        <w:rPr>
          <w:rFonts w:eastAsia="MS Mincho" w:cs="Arial"/>
        </w:rPr>
        <w:t xml:space="preserve"> both</w:t>
      </w:r>
      <w:r w:rsidR="00F54CB4" w:rsidRPr="00E07D64">
        <w:rPr>
          <w:rFonts w:eastAsia="MS Mincho" w:cs="Arial"/>
        </w:rPr>
        <w:t xml:space="preserve"> STEC (</w:t>
      </w:r>
      <w:r w:rsidR="00F54CB4" w:rsidRPr="00E07D64">
        <w:rPr>
          <w:rFonts w:eastAsia="MS Mincho" w:cs="Arial"/>
          <w:i/>
        </w:rPr>
        <w:t>p</w:t>
      </w:r>
      <w:r w:rsidR="00F54CB4" w:rsidRPr="00E07D64">
        <w:rPr>
          <w:rFonts w:eastAsia="MS Mincho" w:cs="Arial"/>
        </w:rPr>
        <w:t xml:space="preserve"> &lt; 0.001) and DTEC (</w:t>
      </w:r>
      <w:r w:rsidR="00F54CB4" w:rsidRPr="00E07D64">
        <w:rPr>
          <w:rFonts w:eastAsia="MS Mincho" w:cs="Arial"/>
          <w:i/>
        </w:rPr>
        <w:t>p</w:t>
      </w:r>
      <w:r w:rsidR="00F54CB4">
        <w:rPr>
          <w:rFonts w:eastAsia="MS Mincho" w:cs="Arial"/>
        </w:rPr>
        <w:t xml:space="preserve"> &lt; 0.001), and </w:t>
      </w:r>
      <w:r w:rsidR="00F54CB4" w:rsidRPr="00E07D64">
        <w:rPr>
          <w:rFonts w:eastAsia="MS Mincho" w:cs="Arial"/>
        </w:rPr>
        <w:t>DTEO less than DTEC (</w:t>
      </w:r>
      <w:r w:rsidR="00F54CB4" w:rsidRPr="00E07D64">
        <w:rPr>
          <w:rFonts w:eastAsia="MS Mincho" w:cs="Arial"/>
          <w:i/>
        </w:rPr>
        <w:t>p</w:t>
      </w:r>
      <w:r w:rsidR="00F54CB4" w:rsidRPr="00E07D64">
        <w:rPr>
          <w:rFonts w:eastAsia="MS Mincho" w:cs="Arial"/>
        </w:rPr>
        <w:t xml:space="preserve"> &lt; 0.001)</w:t>
      </w:r>
      <w:r w:rsidR="00F54CB4">
        <w:rPr>
          <w:rFonts w:eastAsia="MS Mincho" w:cs="Arial"/>
        </w:rPr>
        <w:t xml:space="preserve">. For the ON interaction effect, </w:t>
      </w:r>
      <w:r w:rsidR="00F54CB4" w:rsidRPr="00E07D64">
        <w:rPr>
          <w:rFonts w:eastAsia="MS Mincho" w:cs="Arial"/>
        </w:rPr>
        <w:t>STEC was greater than</w:t>
      </w:r>
      <w:r w:rsidR="00F54CB4">
        <w:rPr>
          <w:rFonts w:eastAsia="MS Mincho" w:cs="Arial"/>
        </w:rPr>
        <w:t xml:space="preserve"> both</w:t>
      </w:r>
      <w:r w:rsidR="00F54CB4" w:rsidRPr="00E07D64">
        <w:rPr>
          <w:rFonts w:eastAsia="MS Mincho" w:cs="Arial"/>
        </w:rPr>
        <w:t xml:space="preserve"> DTEO (</w:t>
      </w:r>
      <w:r w:rsidR="00F54CB4" w:rsidRPr="00E07D64">
        <w:rPr>
          <w:rFonts w:eastAsia="MS Mincho" w:cs="Arial"/>
          <w:i/>
        </w:rPr>
        <w:t>p</w:t>
      </w:r>
      <w:r w:rsidR="00F54CB4" w:rsidRPr="00E07D64">
        <w:rPr>
          <w:rFonts w:eastAsia="MS Mincho" w:cs="Arial"/>
        </w:rPr>
        <w:t xml:space="preserve"> &lt; 0.001) and DTEC (</w:t>
      </w:r>
      <w:r w:rsidR="00F54CB4" w:rsidRPr="00E07D64">
        <w:rPr>
          <w:rFonts w:eastAsia="MS Mincho" w:cs="Arial"/>
          <w:i/>
        </w:rPr>
        <w:t>p</w:t>
      </w:r>
      <w:r w:rsidR="00F54CB4" w:rsidRPr="00E07D64">
        <w:rPr>
          <w:rFonts w:eastAsia="MS Mincho" w:cs="Arial"/>
        </w:rPr>
        <w:t xml:space="preserve"> &lt; 0.018</w:t>
      </w:r>
      <w:r w:rsidR="00F54CB4">
        <w:rPr>
          <w:rFonts w:eastAsia="MS Mincho" w:cs="Arial"/>
        </w:rPr>
        <w:t xml:space="preserve">). Thus, the subjects’ iTTB values worsened after closing their eyes (i.e., eyes open less than eyes closed), and taking dopaminergic medication or performing a secondary task did not influence this pattern. Indeed, as can be seen in Table </w:t>
      </w:r>
      <w:r w:rsidR="00EE3DAB">
        <w:rPr>
          <w:rFonts w:eastAsia="MS Mincho" w:cs="Arial"/>
        </w:rPr>
        <w:t>4</w:t>
      </w:r>
      <w:r w:rsidR="00F54CB4">
        <w:rPr>
          <w:rFonts w:eastAsia="MS Mincho" w:cs="Arial"/>
        </w:rPr>
        <w:t xml:space="preserve">, iTTB values for the same balance conditions were very similar across medication states. </w:t>
      </w:r>
      <w:r w:rsidR="00F54CB4" w:rsidRPr="0059325C">
        <w:rPr>
          <w:rFonts w:eastAsia="MS Mincho" w:cs="Arial"/>
        </w:rPr>
        <w:t xml:space="preserve">Figure </w:t>
      </w:r>
      <w:r w:rsidR="0059325C">
        <w:rPr>
          <w:rFonts w:eastAsia="MS Mincho" w:cs="Arial"/>
        </w:rPr>
        <w:t>4</w:t>
      </w:r>
      <w:r w:rsidR="00F54CB4">
        <w:rPr>
          <w:rFonts w:eastAsia="MS Mincho" w:cs="Arial"/>
        </w:rPr>
        <w:t xml:space="preserve"> displays the other</w:t>
      </w:r>
      <w:r w:rsidR="00F54CB4" w:rsidRPr="00E0500F">
        <w:rPr>
          <w:rFonts w:eastAsia="MS Mincho" w:cs="Arial"/>
        </w:rPr>
        <w:t xml:space="preserve"> significant differences</w:t>
      </w:r>
      <w:r w:rsidR="00F54CB4">
        <w:rPr>
          <w:rFonts w:eastAsia="MS Mincho" w:cs="Arial"/>
        </w:rPr>
        <w:t xml:space="preserve"> that </w:t>
      </w:r>
      <w:r w:rsidR="00F54CB4" w:rsidRPr="00E0500F">
        <w:rPr>
          <w:rFonts w:eastAsia="MS Mincho" w:cs="Arial"/>
        </w:rPr>
        <w:t>were found in the pairwise comparisons.</w:t>
      </w:r>
    </w:p>
    <w:p w14:paraId="462F3A17" w14:textId="556C9902" w:rsidR="00533FFE" w:rsidRPr="00B8221E" w:rsidRDefault="00533FFE" w:rsidP="008009D0">
      <w:pPr>
        <w:pStyle w:val="Heading3"/>
        <w:jc w:val="both"/>
      </w:pPr>
      <w:bookmarkStart w:id="45" w:name="_Toc527361754"/>
      <w:r>
        <w:t>COP Velocity, Anterior-Posterior</w:t>
      </w:r>
      <w:bookmarkEnd w:id="45"/>
    </w:p>
    <w:p w14:paraId="033EA5AF" w14:textId="7EE5EF08" w:rsidR="007C070E" w:rsidRPr="00AC26E9" w:rsidRDefault="00533FFE" w:rsidP="008009D0">
      <w:pPr>
        <w:jc w:val="both"/>
        <w:rPr>
          <w:rFonts w:cs="Arial"/>
        </w:rPr>
      </w:pPr>
      <w:r>
        <w:rPr>
          <w:rFonts w:cs="Arial"/>
        </w:rPr>
        <w:tab/>
      </w:r>
      <w:r w:rsidR="00234252" w:rsidRPr="00D611DC">
        <w:rPr>
          <w:rFonts w:eastAsia="MS Mincho" w:cs="Arial"/>
        </w:rPr>
        <w:t xml:space="preserve">AP-Velocity also had </w:t>
      </w:r>
      <w:r w:rsidR="00234252">
        <w:rPr>
          <w:rFonts w:eastAsia="MS Mincho" w:cs="Arial"/>
        </w:rPr>
        <w:t>a</w:t>
      </w:r>
      <w:r w:rsidR="00234252" w:rsidRPr="00E07D64">
        <w:rPr>
          <w:rFonts w:eastAsia="MS Mincho" w:cs="Arial"/>
        </w:rPr>
        <w:t xml:space="preserve"> significant</w:t>
      </w:r>
      <w:r w:rsidR="00234252">
        <w:rPr>
          <w:rFonts w:eastAsia="MS Mincho" w:cs="Arial"/>
        </w:rPr>
        <w:t xml:space="preserve"> main effect of</w:t>
      </w:r>
      <w:r w:rsidR="00234252" w:rsidRPr="00E07D64">
        <w:rPr>
          <w:rFonts w:eastAsia="MS Mincho" w:cs="Arial"/>
        </w:rPr>
        <w:t xml:space="preserve"> eyes </w:t>
      </w:r>
      <w:r w:rsidR="00234252">
        <w:rPr>
          <w:rFonts w:eastAsia="MS Mincho" w:cs="Arial"/>
        </w:rPr>
        <w:t>(p &lt; 0.001) but not significant medication or task main effects (</w:t>
      </w:r>
      <w:r w:rsidR="00234252" w:rsidRPr="00E07D64">
        <w:rPr>
          <w:rFonts w:eastAsia="MS Mincho" w:cs="Arial"/>
          <w:i/>
        </w:rPr>
        <w:t>p</w:t>
      </w:r>
      <w:r w:rsidR="00234252" w:rsidRPr="00E07D64">
        <w:rPr>
          <w:rFonts w:eastAsia="MS Mincho" w:cs="Arial"/>
        </w:rPr>
        <w:t xml:space="preserve"> = 0.</w:t>
      </w:r>
      <w:r w:rsidR="00234252">
        <w:rPr>
          <w:rFonts w:eastAsia="MS Mincho" w:cs="Arial"/>
        </w:rPr>
        <w:t xml:space="preserve">237 and </w:t>
      </w:r>
      <w:r w:rsidR="00234252" w:rsidRPr="00E07D64">
        <w:rPr>
          <w:rFonts w:eastAsia="MS Mincho" w:cs="Arial"/>
          <w:i/>
        </w:rPr>
        <w:t>p</w:t>
      </w:r>
      <w:r w:rsidR="00234252" w:rsidRPr="00E07D64">
        <w:rPr>
          <w:rFonts w:eastAsia="MS Mincho" w:cs="Arial"/>
        </w:rPr>
        <w:t xml:space="preserve"> = 0.</w:t>
      </w:r>
      <w:r w:rsidR="00234252">
        <w:rPr>
          <w:rFonts w:eastAsia="MS Mincho" w:cs="Arial"/>
        </w:rPr>
        <w:t xml:space="preserve">125, respectively). Additionally, there was a significant </w:t>
      </w:r>
      <w:r w:rsidR="00234252" w:rsidRPr="00D611DC">
        <w:rPr>
          <w:rFonts w:eastAsia="MS Mincho" w:cs="Arial"/>
        </w:rPr>
        <w:t xml:space="preserve">task by eyes </w:t>
      </w:r>
      <w:r w:rsidR="00234252">
        <w:rPr>
          <w:rFonts w:eastAsia="MS Mincho" w:cs="Arial"/>
        </w:rPr>
        <w:t>interaction effect</w:t>
      </w:r>
      <w:r w:rsidR="00234252" w:rsidRPr="00D611DC">
        <w:rPr>
          <w:rFonts w:eastAsia="MS Mincho" w:cs="Arial"/>
        </w:rPr>
        <w:t xml:space="preserve"> (</w:t>
      </w:r>
      <w:r w:rsidR="00234252" w:rsidRPr="00D611DC">
        <w:rPr>
          <w:rFonts w:eastAsia="MS Mincho" w:cs="Arial"/>
          <w:i/>
        </w:rPr>
        <w:t>p</w:t>
      </w:r>
      <w:r w:rsidR="00234252" w:rsidRPr="00D611DC">
        <w:rPr>
          <w:rFonts w:eastAsia="MS Mincho" w:cs="Arial"/>
        </w:rPr>
        <w:t xml:space="preserve"> = 0.015</w:t>
      </w:r>
      <w:r w:rsidR="00234252">
        <w:rPr>
          <w:rFonts w:eastAsia="MS Mincho" w:cs="Arial"/>
        </w:rPr>
        <w:t xml:space="preserve">). </w:t>
      </w:r>
      <w:r w:rsidR="00234252" w:rsidRPr="00D611DC">
        <w:rPr>
          <w:rFonts w:eastAsia="MS Mincho" w:cs="Arial"/>
        </w:rPr>
        <w:t xml:space="preserve">Pairwise comparisons </w:t>
      </w:r>
      <w:r w:rsidR="00234252">
        <w:rPr>
          <w:rFonts w:eastAsia="MS Mincho" w:cs="Arial"/>
        </w:rPr>
        <w:t>for AP-Velocity closely mirrored iTTB results, with the eyes closed conditions significantly faster (i.e., worse) than the eyes open conditions, despite medication state. Specifically, during</w:t>
      </w:r>
      <w:r w:rsidR="00234252" w:rsidRPr="00D611DC">
        <w:rPr>
          <w:rFonts w:eastAsia="MS Mincho" w:cs="Arial"/>
        </w:rPr>
        <w:t xml:space="preserve"> </w:t>
      </w:r>
      <w:r w:rsidR="00234252">
        <w:rPr>
          <w:rFonts w:eastAsia="MS Mincho" w:cs="Arial"/>
        </w:rPr>
        <w:t>OFF</w:t>
      </w:r>
      <w:r w:rsidR="00234252" w:rsidRPr="00D611DC">
        <w:rPr>
          <w:rFonts w:eastAsia="MS Mincho" w:cs="Arial"/>
        </w:rPr>
        <w:t xml:space="preserve">, STEO was slower than </w:t>
      </w:r>
      <w:r w:rsidR="00234252">
        <w:rPr>
          <w:rFonts w:eastAsia="MS Mincho" w:cs="Arial"/>
        </w:rPr>
        <w:t>both STEC</w:t>
      </w:r>
      <w:r w:rsidR="00234252" w:rsidRPr="00D611DC">
        <w:rPr>
          <w:rFonts w:eastAsia="MS Mincho" w:cs="Arial"/>
        </w:rPr>
        <w:t xml:space="preserve"> and DTEC (</w:t>
      </w:r>
      <w:r w:rsidR="00234252" w:rsidRPr="00D611DC">
        <w:rPr>
          <w:rFonts w:eastAsia="MS Mincho" w:cs="Arial"/>
          <w:i/>
        </w:rPr>
        <w:t>p</w:t>
      </w:r>
      <w:r w:rsidR="00234252" w:rsidRPr="00D611DC">
        <w:rPr>
          <w:rFonts w:eastAsia="MS Mincho" w:cs="Arial"/>
        </w:rPr>
        <w:t xml:space="preserve"> &lt; 0.001</w:t>
      </w:r>
      <w:r w:rsidR="00234252">
        <w:rPr>
          <w:rFonts w:eastAsia="MS Mincho" w:cs="Arial"/>
        </w:rPr>
        <w:t xml:space="preserve"> and </w:t>
      </w:r>
      <w:r w:rsidR="00234252" w:rsidRPr="00D611DC">
        <w:rPr>
          <w:rFonts w:eastAsia="MS Mincho" w:cs="Arial"/>
          <w:i/>
        </w:rPr>
        <w:t>p</w:t>
      </w:r>
      <w:r w:rsidR="00234252" w:rsidRPr="00D611DC">
        <w:rPr>
          <w:rFonts w:eastAsia="MS Mincho" w:cs="Arial"/>
        </w:rPr>
        <w:t xml:space="preserve"> &lt; 0.001</w:t>
      </w:r>
      <w:r w:rsidR="00234252">
        <w:rPr>
          <w:rFonts w:eastAsia="MS Mincho" w:cs="Arial"/>
        </w:rPr>
        <w:t xml:space="preserve">, </w:t>
      </w:r>
      <w:r w:rsidR="00234252">
        <w:rPr>
          <w:rFonts w:eastAsia="MS Mincho" w:cs="Arial"/>
        </w:rPr>
        <w:lastRenderedPageBreak/>
        <w:t>respectively</w:t>
      </w:r>
      <w:r w:rsidR="00234252" w:rsidRPr="00D611DC">
        <w:rPr>
          <w:rFonts w:eastAsia="MS Mincho" w:cs="Arial"/>
        </w:rPr>
        <w:t>)</w:t>
      </w:r>
      <w:r w:rsidR="00234252">
        <w:rPr>
          <w:rFonts w:eastAsia="MS Mincho" w:cs="Arial"/>
        </w:rPr>
        <w:t xml:space="preserve">, while </w:t>
      </w:r>
      <w:r w:rsidR="00234252" w:rsidRPr="00D611DC">
        <w:rPr>
          <w:rFonts w:eastAsia="MS Mincho" w:cs="Arial"/>
        </w:rPr>
        <w:t>DTEO was slower than DTEC (</w:t>
      </w:r>
      <w:r w:rsidR="00234252" w:rsidRPr="00D611DC">
        <w:rPr>
          <w:rFonts w:eastAsia="MS Mincho" w:cs="Arial"/>
          <w:i/>
        </w:rPr>
        <w:t>p</w:t>
      </w:r>
      <w:r w:rsidR="00234252" w:rsidRPr="00D611DC">
        <w:rPr>
          <w:rFonts w:eastAsia="MS Mincho" w:cs="Arial"/>
        </w:rPr>
        <w:t xml:space="preserve"> = 0.001)</w:t>
      </w:r>
      <w:r w:rsidR="00234252">
        <w:rPr>
          <w:rFonts w:eastAsia="MS Mincho" w:cs="Arial"/>
        </w:rPr>
        <w:t xml:space="preserve">. The OFF interaction effect maintained this theme and indicated that </w:t>
      </w:r>
      <w:r w:rsidR="00234252" w:rsidRPr="00D611DC">
        <w:rPr>
          <w:rFonts w:eastAsia="MS Mincho" w:cs="Arial"/>
        </w:rPr>
        <w:t>STEC was faster than DTEO (</w:t>
      </w:r>
      <w:r w:rsidR="00234252" w:rsidRPr="00D611DC">
        <w:rPr>
          <w:rFonts w:eastAsia="MS Mincho" w:cs="Arial"/>
          <w:i/>
        </w:rPr>
        <w:t>p</w:t>
      </w:r>
      <w:r w:rsidR="00234252">
        <w:rPr>
          <w:rFonts w:eastAsia="MS Mincho" w:cs="Arial"/>
        </w:rPr>
        <w:t xml:space="preserve"> &lt; 0.001). During ON, </w:t>
      </w:r>
      <w:r w:rsidR="00234252" w:rsidRPr="00D611DC">
        <w:rPr>
          <w:rFonts w:eastAsia="MS Mincho" w:cs="Arial"/>
        </w:rPr>
        <w:t>STEO was slower than</w:t>
      </w:r>
      <w:r w:rsidR="00615428">
        <w:rPr>
          <w:rFonts w:eastAsia="MS Mincho" w:cs="Arial"/>
        </w:rPr>
        <w:t xml:space="preserve"> both</w:t>
      </w:r>
      <w:r w:rsidR="00234252">
        <w:rPr>
          <w:rFonts w:eastAsia="MS Mincho" w:cs="Arial"/>
        </w:rPr>
        <w:t xml:space="preserve"> STEC and </w:t>
      </w:r>
      <w:r w:rsidR="00234252" w:rsidRPr="00D611DC">
        <w:rPr>
          <w:rFonts w:eastAsia="MS Mincho" w:cs="Arial"/>
        </w:rPr>
        <w:t>DTEC (</w:t>
      </w:r>
      <w:r w:rsidR="00234252" w:rsidRPr="00D611DC">
        <w:rPr>
          <w:rFonts w:eastAsia="MS Mincho" w:cs="Arial"/>
          <w:i/>
        </w:rPr>
        <w:t>p</w:t>
      </w:r>
      <w:r w:rsidR="00234252">
        <w:rPr>
          <w:rFonts w:eastAsia="MS Mincho" w:cs="Arial"/>
        </w:rPr>
        <w:t xml:space="preserve"> &lt; 0.001 and </w:t>
      </w:r>
      <w:r w:rsidR="00234252" w:rsidRPr="00D611DC">
        <w:rPr>
          <w:rFonts w:eastAsia="MS Mincho" w:cs="Arial"/>
          <w:i/>
        </w:rPr>
        <w:t>p</w:t>
      </w:r>
      <w:r w:rsidR="00234252" w:rsidRPr="00D611DC">
        <w:rPr>
          <w:rFonts w:eastAsia="MS Mincho" w:cs="Arial"/>
        </w:rPr>
        <w:t xml:space="preserve"> &lt; 0.001</w:t>
      </w:r>
      <w:r w:rsidR="00234252">
        <w:rPr>
          <w:rFonts w:eastAsia="MS Mincho" w:cs="Arial"/>
        </w:rPr>
        <w:t>, respectively</w:t>
      </w:r>
      <w:r w:rsidR="00234252" w:rsidRPr="00D611DC">
        <w:rPr>
          <w:rFonts w:eastAsia="MS Mincho" w:cs="Arial"/>
        </w:rPr>
        <w:t>)</w:t>
      </w:r>
      <w:r w:rsidR="00234252">
        <w:rPr>
          <w:rFonts w:eastAsia="MS Mincho" w:cs="Arial"/>
        </w:rPr>
        <w:t xml:space="preserve">, and </w:t>
      </w:r>
      <w:r w:rsidR="00234252" w:rsidRPr="00D611DC">
        <w:rPr>
          <w:rFonts w:eastAsia="MS Mincho" w:cs="Arial"/>
        </w:rPr>
        <w:t>DTEO was slower than DTEC (</w:t>
      </w:r>
      <w:r w:rsidR="00234252" w:rsidRPr="00D611DC">
        <w:rPr>
          <w:rFonts w:eastAsia="MS Mincho" w:cs="Arial"/>
          <w:i/>
        </w:rPr>
        <w:t>p</w:t>
      </w:r>
      <w:r w:rsidR="00234252" w:rsidRPr="00D611DC">
        <w:rPr>
          <w:rFonts w:eastAsia="MS Mincho" w:cs="Arial"/>
        </w:rPr>
        <w:t xml:space="preserve"> &lt; 0.001).</w:t>
      </w:r>
      <w:r w:rsidR="00234252">
        <w:rPr>
          <w:rFonts w:eastAsia="MS Mincho" w:cs="Arial"/>
        </w:rPr>
        <w:t xml:space="preserve"> The ON interaction effect also indicated that </w:t>
      </w:r>
      <w:r w:rsidR="00234252" w:rsidRPr="00D611DC">
        <w:rPr>
          <w:rFonts w:eastAsia="MS Mincho" w:cs="Arial"/>
        </w:rPr>
        <w:t>STEC was faster than DTEO (</w:t>
      </w:r>
      <w:r w:rsidR="00234252" w:rsidRPr="00D611DC">
        <w:rPr>
          <w:rFonts w:eastAsia="MS Mincho" w:cs="Arial"/>
          <w:i/>
        </w:rPr>
        <w:t>p</w:t>
      </w:r>
      <w:r w:rsidR="00234252" w:rsidRPr="00D611DC">
        <w:rPr>
          <w:rFonts w:eastAsia="MS Mincho" w:cs="Arial"/>
        </w:rPr>
        <w:t xml:space="preserve"> &lt; 0.001)</w:t>
      </w:r>
      <w:r w:rsidR="00234252">
        <w:rPr>
          <w:rFonts w:eastAsia="MS Mincho" w:cs="Arial"/>
        </w:rPr>
        <w:t xml:space="preserve">. Thus, as was seen in the iTTB results, AP-Velocity was worsened after the subjects closed their eyes and was not affected by medication state or the secondary task. The remaining significant </w:t>
      </w:r>
      <w:r w:rsidR="00234252" w:rsidRPr="00D611DC">
        <w:rPr>
          <w:rFonts w:eastAsia="MS Mincho" w:cs="Arial"/>
        </w:rPr>
        <w:t xml:space="preserve">differences </w:t>
      </w:r>
      <w:r w:rsidR="00234252">
        <w:rPr>
          <w:rFonts w:eastAsia="MS Mincho" w:cs="Arial"/>
        </w:rPr>
        <w:t xml:space="preserve">are shown in </w:t>
      </w:r>
      <w:r w:rsidR="00ED5032">
        <w:rPr>
          <w:rFonts w:eastAsia="MS Mincho" w:cs="Arial"/>
        </w:rPr>
        <w:t>Figure 4</w:t>
      </w:r>
      <w:r w:rsidR="00234252">
        <w:rPr>
          <w:rFonts w:eastAsia="MS Mincho" w:cs="Arial"/>
        </w:rPr>
        <w:t>.</w:t>
      </w:r>
    </w:p>
    <w:p w14:paraId="2BBCEA53" w14:textId="4236C322" w:rsidR="00533FFE" w:rsidRPr="00B8221E" w:rsidRDefault="00533FFE" w:rsidP="008009D0">
      <w:pPr>
        <w:pStyle w:val="Heading3"/>
        <w:jc w:val="both"/>
      </w:pPr>
      <w:bookmarkStart w:id="46" w:name="_Toc527361755"/>
      <w:r>
        <w:t>COP Velocity, Medial-Lateral</w:t>
      </w:r>
      <w:bookmarkEnd w:id="46"/>
    </w:p>
    <w:p w14:paraId="1679ED0C" w14:textId="0F451690" w:rsidR="00533FFE" w:rsidRPr="00AC26E9" w:rsidRDefault="00533FFE" w:rsidP="008009D0">
      <w:pPr>
        <w:jc w:val="both"/>
        <w:rPr>
          <w:rFonts w:cs="Arial"/>
        </w:rPr>
      </w:pPr>
      <w:r>
        <w:rPr>
          <w:rFonts w:cs="Arial"/>
        </w:rPr>
        <w:tab/>
      </w:r>
      <w:r w:rsidR="00072AF9" w:rsidRPr="00356C06">
        <w:rPr>
          <w:rFonts w:eastAsia="MS Mincho" w:cs="Arial"/>
        </w:rPr>
        <w:t xml:space="preserve">There was a significant eyes condition </w:t>
      </w:r>
      <w:r w:rsidR="00072AF9">
        <w:rPr>
          <w:rFonts w:eastAsia="MS Mincho" w:cs="Arial"/>
        </w:rPr>
        <w:t xml:space="preserve">main </w:t>
      </w:r>
      <w:r w:rsidR="00072AF9" w:rsidRPr="00356C06">
        <w:rPr>
          <w:rFonts w:eastAsia="MS Mincho" w:cs="Arial"/>
        </w:rPr>
        <w:t>effect for ML-Velocity (</w:t>
      </w:r>
      <w:r w:rsidR="00072AF9" w:rsidRPr="00356C06">
        <w:rPr>
          <w:rFonts w:eastAsia="MS Mincho" w:cs="Arial"/>
          <w:i/>
        </w:rPr>
        <w:t>p</w:t>
      </w:r>
      <w:r w:rsidR="00072AF9" w:rsidRPr="00356C06">
        <w:rPr>
          <w:rFonts w:eastAsia="MS Mincho" w:cs="Arial"/>
        </w:rPr>
        <w:t xml:space="preserve"> &lt; 0.001),</w:t>
      </w:r>
      <w:r w:rsidR="00072AF9">
        <w:rPr>
          <w:rFonts w:eastAsia="MS Mincho" w:cs="Arial"/>
        </w:rPr>
        <w:t xml:space="preserve"> but not significant medication or task main effects (</w:t>
      </w:r>
      <w:r w:rsidR="00072AF9" w:rsidRPr="00356C06">
        <w:rPr>
          <w:rFonts w:eastAsia="MS Mincho" w:cs="Arial"/>
          <w:i/>
        </w:rPr>
        <w:t>p</w:t>
      </w:r>
      <w:r w:rsidR="00072AF9" w:rsidRPr="00356C06">
        <w:rPr>
          <w:rFonts w:eastAsia="MS Mincho" w:cs="Arial"/>
        </w:rPr>
        <w:t xml:space="preserve"> = 0.</w:t>
      </w:r>
      <w:r w:rsidR="00072AF9">
        <w:rPr>
          <w:rFonts w:eastAsia="MS Mincho" w:cs="Arial"/>
        </w:rPr>
        <w:t>268 and</w:t>
      </w:r>
      <w:r w:rsidR="00072AF9" w:rsidRPr="007903CD">
        <w:rPr>
          <w:rFonts w:eastAsia="MS Mincho" w:cs="Arial"/>
          <w:i/>
        </w:rPr>
        <w:t xml:space="preserve"> </w:t>
      </w:r>
      <w:r w:rsidR="00072AF9" w:rsidRPr="00356C06">
        <w:rPr>
          <w:rFonts w:eastAsia="MS Mincho" w:cs="Arial"/>
          <w:i/>
        </w:rPr>
        <w:t>p</w:t>
      </w:r>
      <w:r w:rsidR="00072AF9" w:rsidRPr="00356C06">
        <w:rPr>
          <w:rFonts w:eastAsia="MS Mincho" w:cs="Arial"/>
        </w:rPr>
        <w:t xml:space="preserve"> = 0.</w:t>
      </w:r>
      <w:r w:rsidR="00072AF9">
        <w:rPr>
          <w:rFonts w:eastAsia="MS Mincho" w:cs="Arial"/>
        </w:rPr>
        <w:t xml:space="preserve">802, respectively). </w:t>
      </w:r>
      <w:r w:rsidR="00072AF9" w:rsidRPr="00356C06">
        <w:rPr>
          <w:rFonts w:eastAsia="MS Mincho" w:cs="Arial"/>
        </w:rPr>
        <w:t>Pairwise comparisons further indicated that OFF-STEO was slower than OFF-STEC (</w:t>
      </w:r>
      <w:r w:rsidR="00072AF9" w:rsidRPr="00356C06">
        <w:rPr>
          <w:rFonts w:eastAsia="MS Mincho" w:cs="Arial"/>
          <w:i/>
        </w:rPr>
        <w:t>p</w:t>
      </w:r>
      <w:r w:rsidR="00072AF9" w:rsidRPr="00356C06">
        <w:rPr>
          <w:rFonts w:eastAsia="MS Mincho" w:cs="Arial"/>
        </w:rPr>
        <w:t xml:space="preserve"> = 0.002) and </w:t>
      </w:r>
      <w:r w:rsidR="00072AF9">
        <w:rPr>
          <w:rFonts w:eastAsia="MS Mincho" w:cs="Arial"/>
        </w:rPr>
        <w:t xml:space="preserve">that </w:t>
      </w:r>
      <w:r w:rsidR="00072AF9" w:rsidRPr="00356C06">
        <w:rPr>
          <w:rFonts w:eastAsia="MS Mincho" w:cs="Arial"/>
        </w:rPr>
        <w:t>ON-STEO was slower than</w:t>
      </w:r>
      <w:r w:rsidR="00072AF9">
        <w:rPr>
          <w:rFonts w:eastAsia="MS Mincho" w:cs="Arial"/>
        </w:rPr>
        <w:t xml:space="preserve"> </w:t>
      </w:r>
      <w:r w:rsidR="00072AF9" w:rsidRPr="00356C06">
        <w:rPr>
          <w:rFonts w:eastAsia="MS Mincho" w:cs="Arial"/>
        </w:rPr>
        <w:t>ON-STEC (</w:t>
      </w:r>
      <w:r w:rsidR="00072AF9" w:rsidRPr="00356C06">
        <w:rPr>
          <w:rFonts w:eastAsia="MS Mincho" w:cs="Arial"/>
          <w:i/>
        </w:rPr>
        <w:t>p</w:t>
      </w:r>
      <w:r w:rsidR="00072AF9" w:rsidRPr="00356C06">
        <w:rPr>
          <w:rFonts w:eastAsia="MS Mincho" w:cs="Arial"/>
        </w:rPr>
        <w:t xml:space="preserve"> = 0.007). </w:t>
      </w:r>
      <w:r w:rsidR="00072AF9">
        <w:rPr>
          <w:rFonts w:eastAsia="MS Mincho" w:cs="Arial"/>
        </w:rPr>
        <w:t xml:space="preserve">See </w:t>
      </w:r>
      <w:r w:rsidR="00393AA0">
        <w:rPr>
          <w:rFonts w:eastAsia="MS Mincho" w:cs="Arial"/>
        </w:rPr>
        <w:t>Figure 4</w:t>
      </w:r>
      <w:r w:rsidR="00072AF9">
        <w:rPr>
          <w:rFonts w:eastAsia="MS Mincho" w:cs="Arial"/>
        </w:rPr>
        <w:t xml:space="preserve"> for other significant, pairwise findings</w:t>
      </w:r>
      <w:r w:rsidR="00072AF9" w:rsidRPr="00356C06">
        <w:rPr>
          <w:rFonts w:eastAsia="MS Mincho" w:cs="Arial"/>
        </w:rPr>
        <w:t>.</w:t>
      </w:r>
    </w:p>
    <w:p w14:paraId="6CFCAA3C" w14:textId="08F632C9" w:rsidR="00533FFE" w:rsidRDefault="00533FFE" w:rsidP="008009D0">
      <w:pPr>
        <w:pStyle w:val="Heading3"/>
        <w:jc w:val="both"/>
      </w:pPr>
      <w:bookmarkStart w:id="47" w:name="_Toc527361756"/>
      <w:r w:rsidRPr="005A7F8B">
        <w:t>Phoneme Monitoring</w:t>
      </w:r>
      <w:bookmarkEnd w:id="47"/>
    </w:p>
    <w:p w14:paraId="72DD7974" w14:textId="41395905" w:rsidR="00E12339" w:rsidRDefault="00533FFE" w:rsidP="008009D0">
      <w:pPr>
        <w:jc w:val="both"/>
        <w:rPr>
          <w:rFonts w:eastAsia="MS Mincho" w:cs="Arial"/>
        </w:rPr>
      </w:pPr>
      <w:r>
        <w:rPr>
          <w:rFonts w:cs="Arial"/>
        </w:rPr>
        <w:tab/>
      </w:r>
      <w:r w:rsidR="00D02B48" w:rsidRPr="001913C4">
        <w:rPr>
          <w:rFonts w:eastAsia="MS Mincho" w:cs="Arial"/>
        </w:rPr>
        <w:t>There was a significant medication effect of for PM-</w:t>
      </w:r>
      <w:r w:rsidR="00295B79">
        <w:rPr>
          <w:rFonts w:eastAsia="MS Mincho" w:cs="Arial"/>
        </w:rPr>
        <w:t>Score</w:t>
      </w:r>
      <w:r w:rsidR="00D02B48" w:rsidRPr="001913C4">
        <w:rPr>
          <w:rFonts w:eastAsia="MS Mincho" w:cs="Arial"/>
        </w:rPr>
        <w:t xml:space="preserve"> (</w:t>
      </w:r>
      <w:r w:rsidR="00D02B48" w:rsidRPr="001913C4">
        <w:rPr>
          <w:rFonts w:eastAsia="MS Mincho" w:cs="Arial"/>
          <w:i/>
        </w:rPr>
        <w:t>p</w:t>
      </w:r>
      <w:r w:rsidR="00D02B48" w:rsidRPr="001913C4">
        <w:rPr>
          <w:rFonts w:eastAsia="MS Mincho" w:cs="Arial"/>
        </w:rPr>
        <w:t xml:space="preserve"> = 0.004), with OFF-DTEC greater than ON-DTEC (</w:t>
      </w:r>
      <w:r w:rsidR="00D02B48" w:rsidRPr="001913C4">
        <w:rPr>
          <w:rFonts w:eastAsia="MS Mincho" w:cs="Arial"/>
          <w:i/>
        </w:rPr>
        <w:t>p</w:t>
      </w:r>
      <w:r w:rsidR="00D02B48" w:rsidRPr="001913C4">
        <w:rPr>
          <w:rFonts w:eastAsia="MS Mincho" w:cs="Arial"/>
        </w:rPr>
        <w:t xml:space="preserve"> = 0</w:t>
      </w:r>
      <w:r w:rsidR="00D02B48">
        <w:rPr>
          <w:rFonts w:eastAsia="MS Mincho" w:cs="Arial"/>
        </w:rPr>
        <w:t>.002), but not a significant task main effect (</w:t>
      </w:r>
      <w:r w:rsidR="00D02B48" w:rsidRPr="001913C4">
        <w:rPr>
          <w:rFonts w:eastAsia="MS Mincho" w:cs="Arial"/>
          <w:i/>
        </w:rPr>
        <w:t>p</w:t>
      </w:r>
      <w:r w:rsidR="00D02B48" w:rsidRPr="001913C4">
        <w:rPr>
          <w:rFonts w:eastAsia="MS Mincho" w:cs="Arial"/>
        </w:rPr>
        <w:t xml:space="preserve"> = 0.</w:t>
      </w:r>
      <w:r w:rsidR="00D02B48">
        <w:rPr>
          <w:rFonts w:eastAsia="MS Mincho" w:cs="Arial"/>
        </w:rPr>
        <w:t xml:space="preserve">567). </w:t>
      </w:r>
      <w:r w:rsidR="00D02B48" w:rsidRPr="001913C4">
        <w:rPr>
          <w:rFonts w:eastAsia="MS Mincho" w:cs="Arial"/>
        </w:rPr>
        <w:t>There was also a significant interaction effect for PM-Score (</w:t>
      </w:r>
      <w:r w:rsidR="00D02B48" w:rsidRPr="001913C4">
        <w:rPr>
          <w:rFonts w:eastAsia="MS Mincho" w:cs="Arial"/>
          <w:i/>
        </w:rPr>
        <w:t>p</w:t>
      </w:r>
      <w:r w:rsidR="00D02B48" w:rsidRPr="001913C4">
        <w:rPr>
          <w:rFonts w:eastAsia="MS Mincho" w:cs="Arial"/>
        </w:rPr>
        <w:t xml:space="preserve"> = 0.044). Pairwise comparisons </w:t>
      </w:r>
      <w:r w:rsidR="00D02B48">
        <w:rPr>
          <w:rFonts w:eastAsia="MS Mincho" w:cs="Arial"/>
        </w:rPr>
        <w:t>indicated that OFF-DTEC</w:t>
      </w:r>
      <w:r w:rsidR="00D02B48" w:rsidRPr="001913C4">
        <w:rPr>
          <w:rFonts w:eastAsia="MS Mincho" w:cs="Arial"/>
        </w:rPr>
        <w:t xml:space="preserve"> was greater than ON-ST (</w:t>
      </w:r>
      <w:r w:rsidR="00D02B48" w:rsidRPr="001913C4">
        <w:rPr>
          <w:rFonts w:eastAsia="MS Mincho" w:cs="Arial"/>
          <w:i/>
        </w:rPr>
        <w:t>p</w:t>
      </w:r>
      <w:r w:rsidR="00D02B48" w:rsidRPr="001913C4">
        <w:rPr>
          <w:rFonts w:eastAsia="MS Mincho" w:cs="Arial"/>
        </w:rPr>
        <w:t xml:space="preserve"> = 0.009).</w:t>
      </w:r>
    </w:p>
    <w:p w14:paraId="5018ED02" w14:textId="2D06406C" w:rsidR="0050170F" w:rsidRDefault="0050170F" w:rsidP="008009D0">
      <w:pPr>
        <w:jc w:val="both"/>
        <w:rPr>
          <w:rFonts w:eastAsia="MS Mincho" w:cs="Arial"/>
        </w:rPr>
      </w:pPr>
    </w:p>
    <w:p w14:paraId="63E23BE2" w14:textId="77777777" w:rsidR="0050170F" w:rsidRDefault="0050170F" w:rsidP="008009D0">
      <w:pPr>
        <w:jc w:val="both"/>
        <w:rPr>
          <w:rFonts w:cs="Arial"/>
        </w:rPr>
      </w:pPr>
    </w:p>
    <w:p w14:paraId="4A090363" w14:textId="77777777" w:rsidR="00373D8A" w:rsidRDefault="00373D8A" w:rsidP="008009D0">
      <w:pPr>
        <w:pStyle w:val="Heading3"/>
        <w:jc w:val="both"/>
      </w:pPr>
      <w:bookmarkStart w:id="48" w:name="_Toc527361757"/>
      <w:r>
        <w:lastRenderedPageBreak/>
        <w:t>Dual-Task Effect</w:t>
      </w:r>
      <w:bookmarkEnd w:id="48"/>
    </w:p>
    <w:p w14:paraId="0B6F55E9" w14:textId="1C804335" w:rsidR="00F72163" w:rsidRDefault="00373D8A" w:rsidP="008009D0">
      <w:pPr>
        <w:jc w:val="both"/>
        <w:rPr>
          <w:rFonts w:cs="Arial"/>
        </w:rPr>
      </w:pPr>
      <w:r>
        <w:rPr>
          <w:rFonts w:cs="Arial"/>
        </w:rPr>
        <w:tab/>
      </w:r>
      <w:r w:rsidR="005C3C38">
        <w:rPr>
          <w:rFonts w:cs="Arial"/>
        </w:rPr>
        <w:t>Figure 5</w:t>
      </w:r>
      <w:r w:rsidR="00CD452E">
        <w:rPr>
          <w:rFonts w:cs="Arial"/>
        </w:rPr>
        <w:t xml:space="preserve"> shows the </w:t>
      </w:r>
      <m:oMath>
        <m:r>
          <w:rPr>
            <w:rFonts w:ascii="Cambria Math" w:hAnsi="Cambria Math" w:cs="Arial"/>
            <w:color w:val="000000" w:themeColor="text1"/>
          </w:rPr>
          <m:t>∆</m:t>
        </m:r>
      </m:oMath>
      <w:r w:rsidR="00CD452E" w:rsidRPr="00FF345F">
        <w:rPr>
          <w:rFonts w:cs="Arial"/>
          <w:color w:val="000000" w:themeColor="text1"/>
        </w:rPr>
        <w:t>DTE</w:t>
      </w:r>
      <w:r w:rsidR="00CD452E">
        <w:rPr>
          <w:rFonts w:cs="Arial"/>
          <w:color w:val="000000" w:themeColor="text1"/>
        </w:rPr>
        <w:t xml:space="preserve"> for </w:t>
      </w:r>
      <w:r w:rsidR="00CD452E" w:rsidRPr="00FF345F">
        <w:rPr>
          <w:rFonts w:cs="Arial"/>
          <w:color w:val="000000" w:themeColor="text1"/>
        </w:rPr>
        <w:t>(x,y) = (</w:t>
      </w:r>
      <m:oMath>
        <m:r>
          <w:rPr>
            <w:rFonts w:ascii="Cambria Math" w:hAnsi="Cambria Math" w:cs="Arial"/>
            <w:color w:val="000000" w:themeColor="text1"/>
          </w:rPr>
          <m:t>∆</m:t>
        </m:r>
      </m:oMath>
      <w:r w:rsidR="00CD452E" w:rsidRPr="00FF345F">
        <w:rPr>
          <w:rFonts w:cs="Arial"/>
          <w:color w:val="000000" w:themeColor="text1"/>
        </w:rPr>
        <w:t>DTE</w:t>
      </w:r>
      <w:r w:rsidR="00CD452E">
        <w:rPr>
          <w:rFonts w:cs="Arial"/>
          <w:color w:val="000000" w:themeColor="text1"/>
          <w:vertAlign w:val="subscript"/>
        </w:rPr>
        <w:t>area</w:t>
      </w:r>
      <w:r w:rsidR="00CD452E" w:rsidRPr="00FF345F">
        <w:rPr>
          <w:rFonts w:cs="Arial"/>
          <w:color w:val="000000" w:themeColor="text1"/>
        </w:rPr>
        <w:t xml:space="preserve">, </w:t>
      </w:r>
      <m:oMath>
        <m:r>
          <w:rPr>
            <w:rFonts w:ascii="Cambria Math" w:hAnsi="Cambria Math" w:cs="Arial"/>
            <w:color w:val="000000" w:themeColor="text1"/>
          </w:rPr>
          <m:t>∆</m:t>
        </m:r>
      </m:oMath>
      <w:r w:rsidR="00CD452E" w:rsidRPr="00FF345F">
        <w:rPr>
          <w:rFonts w:cs="Arial"/>
          <w:color w:val="000000" w:themeColor="text1"/>
        </w:rPr>
        <w:t>DTE</w:t>
      </w:r>
      <w:r w:rsidR="00CD452E" w:rsidRPr="00FF345F">
        <w:rPr>
          <w:rFonts w:cs="Arial"/>
          <w:color w:val="000000" w:themeColor="text1"/>
          <w:vertAlign w:val="subscript"/>
        </w:rPr>
        <w:t>tally</w:t>
      </w:r>
      <w:r w:rsidR="00CD452E" w:rsidRPr="00FF345F">
        <w:rPr>
          <w:rFonts w:cs="Arial"/>
          <w:color w:val="000000" w:themeColor="text1"/>
        </w:rPr>
        <w:t xml:space="preserve">) with the x-axis as change in </w:t>
      </w:r>
      <w:r w:rsidR="00CD452E">
        <w:rPr>
          <w:rFonts w:cs="Arial"/>
          <w:color w:val="000000" w:themeColor="text1"/>
        </w:rPr>
        <w:t>balance</w:t>
      </w:r>
      <w:r w:rsidR="00CD452E" w:rsidRPr="00FF345F">
        <w:rPr>
          <w:rFonts w:cs="Arial"/>
          <w:color w:val="000000" w:themeColor="text1"/>
        </w:rPr>
        <w:t xml:space="preserve"> effect and y-axis as change in phoneme monitoring effect</w:t>
      </w:r>
      <w:r w:rsidR="00CD452E">
        <w:rPr>
          <w:rFonts w:cs="Arial"/>
          <w:color w:val="000000" w:themeColor="text1"/>
        </w:rPr>
        <w:t>. Visual inspection of this figure does not indicate any noteworthy patterns.</w:t>
      </w:r>
    </w:p>
    <w:p w14:paraId="53395455" w14:textId="6807003D" w:rsidR="00533FFE" w:rsidRPr="00F1326B" w:rsidRDefault="00533FFE" w:rsidP="008009D0">
      <w:pPr>
        <w:pStyle w:val="Heading2"/>
        <w:jc w:val="both"/>
      </w:pPr>
      <w:bookmarkStart w:id="49" w:name="_Toc527361758"/>
      <w:r w:rsidRPr="00AC26E9">
        <w:t>Discussion</w:t>
      </w:r>
      <w:bookmarkEnd w:id="49"/>
    </w:p>
    <w:p w14:paraId="45F185F5" w14:textId="5B300621" w:rsidR="00231482" w:rsidRDefault="00DB64BB" w:rsidP="008009D0">
      <w:pPr>
        <w:jc w:val="both"/>
        <w:rPr>
          <w:rFonts w:eastAsia="MS Mincho" w:cs="Arial"/>
        </w:rPr>
      </w:pPr>
      <w:r>
        <w:rPr>
          <w:rFonts w:cs="Arial"/>
        </w:rPr>
        <w:tab/>
      </w:r>
      <w:r w:rsidR="00231482" w:rsidRPr="00AD0BE7">
        <w:rPr>
          <w:rFonts w:eastAsia="MS Mincho" w:cs="Arial"/>
        </w:rPr>
        <w:t xml:space="preserve">The goal of this study was to determine to what extent </w:t>
      </w:r>
      <w:r w:rsidR="0042263D">
        <w:rPr>
          <w:rFonts w:eastAsia="MS Mincho" w:cs="Arial"/>
        </w:rPr>
        <w:t xml:space="preserve">the </w:t>
      </w:r>
      <w:r w:rsidR="00231482" w:rsidRPr="00AD0BE7">
        <w:rPr>
          <w:rFonts w:eastAsia="MS Mincho" w:cs="Arial"/>
        </w:rPr>
        <w:t>medication</w:t>
      </w:r>
      <w:r w:rsidR="0042263D">
        <w:rPr>
          <w:rFonts w:eastAsia="MS Mincho" w:cs="Arial"/>
        </w:rPr>
        <w:t>s</w:t>
      </w:r>
      <w:r w:rsidR="00231482" w:rsidRPr="00AD0BE7">
        <w:rPr>
          <w:rFonts w:eastAsia="MS Mincho" w:cs="Arial"/>
        </w:rPr>
        <w:t xml:space="preserve"> would improve </w:t>
      </w:r>
      <w:r w:rsidR="00231482">
        <w:rPr>
          <w:rFonts w:eastAsia="MS Mincho" w:cs="Arial"/>
        </w:rPr>
        <w:t xml:space="preserve">balance </w:t>
      </w:r>
      <w:r w:rsidR="00231482" w:rsidRPr="00AD0BE7">
        <w:rPr>
          <w:rFonts w:eastAsia="MS Mincho" w:cs="Arial"/>
        </w:rPr>
        <w:t xml:space="preserve">automaticity such that </w:t>
      </w:r>
      <w:r w:rsidR="00231482">
        <w:rPr>
          <w:rFonts w:eastAsia="MS Mincho" w:cs="Arial"/>
        </w:rPr>
        <w:t>ON</w:t>
      </w:r>
      <w:r w:rsidR="00231482" w:rsidRPr="00AD0BE7">
        <w:rPr>
          <w:rFonts w:eastAsia="MS Mincho" w:cs="Arial"/>
        </w:rPr>
        <w:t xml:space="preserve"> dual-task conditions would be significantly improved over </w:t>
      </w:r>
      <w:r w:rsidR="00231482">
        <w:rPr>
          <w:rFonts w:eastAsia="MS Mincho" w:cs="Arial"/>
        </w:rPr>
        <w:t>OFF</w:t>
      </w:r>
      <w:r w:rsidR="00231482" w:rsidRPr="00AD0BE7">
        <w:rPr>
          <w:rFonts w:eastAsia="MS Mincho" w:cs="Arial"/>
        </w:rPr>
        <w:t xml:space="preserve"> single-task conditions. </w:t>
      </w:r>
      <w:r w:rsidR="00231482">
        <w:rPr>
          <w:rFonts w:eastAsia="MS Mincho" w:cs="Arial"/>
        </w:rPr>
        <w:t xml:space="preserve">Given that the only significant medication changes occurred with </w:t>
      </w:r>
      <w:r w:rsidR="00231482" w:rsidRPr="00AD0BE7">
        <w:rPr>
          <w:rFonts w:eastAsia="MS Mincho" w:cs="Arial"/>
        </w:rPr>
        <w:t>COP</w:t>
      </w:r>
      <w:r w:rsidR="00231482" w:rsidRPr="00AD0BE7">
        <w:rPr>
          <w:rFonts w:eastAsia="MS Mincho" w:cs="Arial"/>
          <w:vertAlign w:val="subscript"/>
        </w:rPr>
        <w:t>area</w:t>
      </w:r>
      <w:r w:rsidR="00231482">
        <w:rPr>
          <w:rFonts w:eastAsia="MS Mincho" w:cs="Arial"/>
          <w:vertAlign w:val="subscript"/>
        </w:rPr>
        <w:t xml:space="preserve"> </w:t>
      </w:r>
      <w:r w:rsidR="00231482" w:rsidRPr="00D0645A">
        <w:rPr>
          <w:rFonts w:eastAsia="MS Mincho" w:cs="Arial"/>
        </w:rPr>
        <w:t>and there were not</w:t>
      </w:r>
      <w:r w:rsidR="00231482">
        <w:rPr>
          <w:rFonts w:eastAsia="MS Mincho" w:cs="Arial"/>
          <w:vertAlign w:val="subscript"/>
        </w:rPr>
        <w:t xml:space="preserve"> </w:t>
      </w:r>
      <w:r w:rsidR="00231482">
        <w:rPr>
          <w:rFonts w:eastAsia="MS Mincho" w:cs="Arial"/>
        </w:rPr>
        <w:t>any significant interactions, the results</w:t>
      </w:r>
      <w:r w:rsidR="00231482" w:rsidRPr="00AD0BE7">
        <w:rPr>
          <w:rFonts w:eastAsia="MS Mincho" w:cs="Arial"/>
        </w:rPr>
        <w:t xml:space="preserve"> do not support </w:t>
      </w:r>
      <w:r w:rsidR="00231482">
        <w:rPr>
          <w:rFonts w:eastAsia="MS Mincho" w:cs="Arial"/>
        </w:rPr>
        <w:t>this</w:t>
      </w:r>
      <w:r w:rsidR="00231482" w:rsidRPr="00AD0BE7">
        <w:rPr>
          <w:rFonts w:eastAsia="MS Mincho" w:cs="Arial"/>
        </w:rPr>
        <w:t xml:space="preserve"> hypoth</w:t>
      </w:r>
      <w:r w:rsidR="00231482">
        <w:rPr>
          <w:rFonts w:eastAsia="MS Mincho" w:cs="Arial"/>
        </w:rPr>
        <w:t>esis</w:t>
      </w:r>
      <w:r w:rsidR="00231482" w:rsidRPr="007E782C">
        <w:rPr>
          <w:rFonts w:eastAsia="MS Mincho" w:cs="Arial"/>
        </w:rPr>
        <w:t>.</w:t>
      </w:r>
      <w:r w:rsidR="00231482">
        <w:rPr>
          <w:rFonts w:eastAsia="MS Mincho" w:cs="Arial"/>
        </w:rPr>
        <w:t xml:space="preserve"> Additionally, l</w:t>
      </w:r>
      <w:r w:rsidR="00231482" w:rsidRPr="00AD0BE7">
        <w:rPr>
          <w:rFonts w:eastAsia="MS Mincho" w:cs="Arial"/>
        </w:rPr>
        <w:t>arger COP</w:t>
      </w:r>
      <w:r w:rsidR="00231482" w:rsidRPr="00AD0BE7">
        <w:rPr>
          <w:rFonts w:eastAsia="MS Mincho" w:cs="Arial"/>
          <w:vertAlign w:val="subscript"/>
        </w:rPr>
        <w:t>area</w:t>
      </w:r>
      <w:r w:rsidR="00231482" w:rsidRPr="00AD0BE7">
        <w:rPr>
          <w:rFonts w:eastAsia="MS Mincho" w:cs="Arial"/>
        </w:rPr>
        <w:t>, COP velocities, and iTTB values indicate instability</w:t>
      </w:r>
      <w:r w:rsidR="00231482">
        <w:rPr>
          <w:rFonts w:eastAsia="MS Mincho" w:cs="Arial"/>
        </w:rPr>
        <w:t xml:space="preserve"> when traditionally interpreted </w:t>
      </w:r>
      <w:r w:rsidR="00231482" w:rsidRPr="00AD0BE7">
        <w:rPr>
          <w:rFonts w:eastAsia="MS Mincho" w:cs="Arial"/>
        </w:rPr>
        <w:fldChar w:fldCharType="begin" w:fldLock="1"/>
      </w:r>
      <w:r w:rsidR="004B5F8D">
        <w:rPr>
          <w:rFonts w:eastAsia="MS Mincho" w:cs="Arial"/>
        </w:rPr>
        <w:instrText>ADDIN CSL_CITATION {"citationItems":[{"id":"ITEM-1","itemData":{"DOI":"S1413-35552010000300003 [pii]","ISBN":"1809-9246 (Electronic)\\r1413-3555 (Linking)","ISSN":"1809-9246","PMID":"20730361","abstract":"BACKGROUND: The maintenance of balance and body orientation in humans is guaranteed by the adequate functioning of the postural control system. The investigation of this control has awakened the interest of professionals from several fields such as Physical Therapy, Physical Education, Engineering, Physics, Medicine, Psychology, and others. OBJECTIVES: The purposes of this study are to revise the methods of data analysis used to investigate the postural control in human beings and to demonstrate the computational algorithms of the main measures used in the postural control evaluation. CONCLUSION: The experimental procedures and measures used in postural control evaluation presented in this review can help in the standardization of postural control investigation.","author":[{"dropping-particle":"","family":"Duarte","given":"M","non-dropping-particle":"","parse-names":false,"suffix":""},{"dropping-particle":"","family":"Freitas","given":"S M","non-dropping-particle":"","parse-names":false,"suffix":""}],"container-title":"Revista Brasileira de Fisioterapia","id":"ITEM-1","issue":"3","issued":{"date-parts":[["2010"]]},"page":"183-192","title":"Revision of posturography based on force plate for balance evaluation","type":"article-journal","volume":"14"},"uris":["http://www.mendeley.com/documents/?uuid=dc803021-dc3d-4f16-a429-3d680d801ee1"]}],"mendeley":{"formattedCitation":"[35]","plainTextFormattedCitation":"[35]","previouslyFormattedCitation":"[35]"},"properties":{"noteIndex":0},"schema":"https://github.com/citation-style-language/schema/raw/master/csl-citation.json"}</w:instrText>
      </w:r>
      <w:r w:rsidR="00231482" w:rsidRPr="00AD0BE7">
        <w:rPr>
          <w:rFonts w:eastAsia="MS Mincho" w:cs="Arial"/>
        </w:rPr>
        <w:fldChar w:fldCharType="separate"/>
      </w:r>
      <w:r w:rsidR="001D6C02" w:rsidRPr="001D6C02">
        <w:rPr>
          <w:rFonts w:eastAsia="MS Mincho" w:cs="Arial"/>
          <w:noProof/>
        </w:rPr>
        <w:t>[35]</w:t>
      </w:r>
      <w:r w:rsidR="00231482" w:rsidRPr="00AD0BE7">
        <w:rPr>
          <w:rFonts w:eastAsia="MS Mincho" w:cs="Arial"/>
        </w:rPr>
        <w:fldChar w:fldCharType="end"/>
      </w:r>
      <w:r w:rsidR="00231482">
        <w:rPr>
          <w:rFonts w:eastAsia="MS Mincho" w:cs="Arial"/>
        </w:rPr>
        <w:t>, and our</w:t>
      </w:r>
      <w:r w:rsidR="00231482" w:rsidRPr="00AD0BE7">
        <w:rPr>
          <w:rFonts w:eastAsia="MS Mincho" w:cs="Arial"/>
        </w:rPr>
        <w:t xml:space="preserve"> results agree with previous findings that PD medication increases COP</w:t>
      </w:r>
      <w:r w:rsidR="00231482" w:rsidRPr="00AD0BE7">
        <w:rPr>
          <w:rFonts w:eastAsia="MS Mincho" w:cs="Arial"/>
          <w:vertAlign w:val="subscript"/>
        </w:rPr>
        <w:t>area</w:t>
      </w:r>
      <w:r w:rsidR="00231482" w:rsidRPr="00AD0BE7">
        <w:rPr>
          <w:rFonts w:eastAsia="MS Mincho" w:cs="Arial"/>
        </w:rPr>
        <w:t xml:space="preserve"> and functional limits of stability</w:t>
      </w:r>
      <w:r w:rsidR="00231482">
        <w:rPr>
          <w:rFonts w:eastAsia="MS Mincho" w:cs="Arial"/>
        </w:rPr>
        <w:t xml:space="preserve"> </w:t>
      </w:r>
      <w:r w:rsidR="00231482" w:rsidRPr="00AD0BE7">
        <w:rPr>
          <w:rFonts w:eastAsia="MS Mincho" w:cs="Arial"/>
        </w:rPr>
        <w:fldChar w:fldCharType="begin" w:fldLock="1"/>
      </w:r>
      <w:r w:rsidR="004B5F8D">
        <w:rPr>
          <w:rFonts w:eastAsia="MS Mincho" w:cs="Arial"/>
        </w:rPr>
        <w:instrText>ADDIN CSL_CITATION {"citationItems":[{"id":"ITEM-1","itemData":{"DOI":"10.1016/j.clinbiomech.2007.11.007","ISBN":"2122633255","ISSN":"02680033","PMID":"18155331","abstract":"Background: The voluntary, maximum inclined posture reflects the self-perceived limits of stability. Parkinson's disease is associated with small, bradykinetic postural weight shifts while standing but it is unclear whether this is due to reduced limits of stability and/or to the selection of abnormal strategies for leaning. The aim of this study was to investigate the effects of Parkinson's disease and levodopa medication on voluntary limits of stability and strategies used to reach these limits. Methods: Fourteen subjects with Parkinson's disease (OFF and ON levodopa) and 10 age-matched controls participated in the study. Functional limits of stability were quantified as the maximum center of pressure excursion during voluntary forward and backward leaning. Postural strategies to achieve functional limits of stability were assessed by (i) body segments alignment, (ii) the difference between center of pressure and center of mass in preparation for a lean, (iii) the timing and the velocity of the preparation phase. Findings: Functional limits of stability were significantly smaller in subjects with Parkinson's disease compared to control subjects. Subjects with Parkinson's disease maintained their stooped posture while leaning, initiated leaning with a smaller difference between center of pressure and center of mass and had a slower leaning velocity compared to control subjects. Levodopa enlarged the limits of stability in subjects with Parkinson's disease because of an increase in maximum forward, but not backward leans, but did not significantly improve postural alignment, preparation for a leaning movement, or velocity of leaning. Interpretation: Parkinson's disease reduces functional limits of stability as well as the magnitude and velocity of postural preparation during voluntary, forward and backward leaning while standing. Levodopa improves the limits of stability but not the postural strategies used to achieve the leaning. © 2007 Elsevier Ltd. All rights reserved.","author":[{"dropping-particle":"","family":"Mancini","given":"Martina","non-dropping-particle":"","parse-names":false,"suffix":""},{"dropping-particle":"","family":"Rocchi","given":"Laura","non-dropping-particle":"","parse-names":false,"suffix":""},{"dropping-particle":"","family":"Horak","given":"Fay B.","non-dropping-particle":"","parse-names":false,"suffix":""},{"dropping-particle":"","family":"Chiari","given":"Lorenzo","non-dropping-particle":"","parse-names":false,"suffix":""}],"container-title":"Clinical Biomechanics","id":"ITEM-1","issue":"4","issued":{"date-parts":[["2008"]]},"page":"450-458","title":"Effects of Parkinson's disease and levodopa on functional limits of stability","type":"article-journal","volume":"23"},"uris":["http://www.mendeley.com/documents/?uuid=6d72a960-9573-4fae-804f-615c5ec53787"]},{"id":"ITEM-2","itemData":{"DOI":"10.1136/jnnp.73.3.267","ISBN":"0022-3050","ISSN":"00223050","PMID":"12185157","abstract":"OBJECTIVE: To quantify postural sway in subjects with Parkinson's disease and elderly controls, and determine the effects of Parkinson's disease, deep brain stimulation, levodopa, and their interactions on postural control during quiet stance. METHODS: Centre of foot pressure (CoP) displacement under each foot was measured during three 60 s trials of quiet stance with eyes open in 11 controls and six patients with Parkinson's disease. Subjects with Parkinson's disease were tested in four treatment conditions: off both deep brain stimulation and levodopa (off condition); on deep brain stimulation; on levodopa; and on both deep brain stimulation and levodopa. The variables extracted from CoP included: root mean square distance (rms), mean velocity, 95% power frequency (f(95%)), area of the 95% confidence ellipse (ellipse area), direction of its major axis (mdir), and postural asymmetry between the feet. RESULTS: rms and area of postural sway were larger than normal in subjects with Parkinson's disease in the off condition, increased further with levodopa, and significantly decreased with deep brain stimulation. Mean velocity and f(95%) were also larger than normal but were restored to normal by all treatments, especially by deep brain stimulation. The combined effect of deep brain stimulation and levodopa resulted in a postural sway that was an average of the effect of each treatment individually. Levodopa increased sway more in the mediolateral than in the anterior-posterior direction. Subjects with Parkinson's disease had asymmetrical mean velocity and f(95%) between the feet, and this asymmetry increased with levodopa but decreased with deep brain stimulation. The f(95%) of the CoP correlated with tremor, posture, and gait subcomponents of the unified Parkinson's disease rating scale. CONCLUSIONS: Subjects with Parkinson's disease have abnormal postural sway in stance. Treatment with levodopa increases postural sway abnormalities, whereas treatment with deep brain stimulation improves postural sway. Quantitative evaluation of static posturography may be a useful adjunct to clinical measures in patients with Parkinson's disease.","author":[{"dropping-particle":"","family":"Rocchi","given":"Laura","non-dropping-particle":"","parse-names":false,"suffix":""},{"dropping-particle":"","family":"Chiari","given":"Lorenzo","non-dropping-particle":"","parse-names":false,"suffix":""},{"dropping-particle":"","family":"Horak","given":"Fay B","non-dropping-particle":"","parse-names":false,"suffix":""}],"container-title":"Journal of Neurology, Neurosurgery &amp; Psychiatry","id":"ITEM-2","issue":"3","issued":{"date-parts":[["2002","9","1"]]},"page":"267-274","title":"Effects of deep brain stimulation and levodopa on postural sway in Parkinson's disease","type":"article-journal","volume":"73"},"uris":["http://www.mendeley.com/documents/?uuid=b59352f9-f26b-4dbd-9f85-8e7b929077f6"]},{"id":"ITEM-3","itemData":{"DOI":"10.1093/brain/awf207","ISBN":"0006-8950 (Print)\\n0006-8950 (Linking)","ISSN":"14602156","PMID":"12183355","abstract":"Postural instability (PI) is common in idiopathic Parkinson's disease (IPD). We measured sensory and motor contributions to PI in 50 patients with advanced IPD, off and on medication and in a subset pre- and 3, 6 and 12 months post-unilateral pallidotomy, using computerized dynamic posturography [specifically, the Sensory Organization Test (SOT) and the Unified Parkinson's Disease Rating Scale (UPDRS) subscale PIGD (Postural Instability and Gait Disorder)]. Off medication, all patients had abnormal PIGD scores. The group could be separated into those with normal SOT equilibrium scores (SOTN) and those, the majority, with abnormal postural control when sensory feedback was limited (SOTABN). Medication improved the PIGD scores but worsened the SOT scores in the majority of patients. Increases in spontaneous sway in some patients contributed to the negative effect of medication on SOT scores. However, this could not explain the detrimental effect of medication on SOT scores in at least 40% of patients. On the other hand, pallidotomy improved both PIGD and SOT scores in both groups. A predictor of good outcome from pallidotomy concerning PI was the degree of worsening of the effect that medication had on SOT5 scores. PI in IPD appears to be multifactorial. We propose that the PIGD score reflects sensory and motor aspects of postural control, with normal sensory feedback, while the SOT equilibrium scores measure the sensory organizational process of postural control in the presence of altered sensory inputs. There is a dissociation between the effects of medication and pallidotomy on motor and sensory components of postural control, which may reflect the underlying pathophysiological mechanism responsible for these different components of PI. We suggest that patients with advanced IPD and PI on medication should consider adjuvant surgical treatment for better postural control.","author":[{"dropping-particle":"","family":"Bronte-Stewart","given":"Helen M.","non-dropping-particle":"","parse-names":false,"suffix":""},{"dropping-particle":"","family":"Minn","given":"A Yuriko","non-dropping-particle":"","parse-names":false,"suffix":""},{"dropping-particle":"","family":"Rodrigues","given":"Kamala","non-dropping-particle":"","parse-names":false,"suffix":""},{"dropping-particle":"","family":"Buckley","given":"Ellie L","non-dropping-particle":"","parse-names":false,"suffix":""},{"dropping-particle":"","family":"Nashner","given":"Lewis M","non-dropping-particle":"","parse-names":false,"suffix":""}],"container-title":"Brain","id":"ITEM-3","issue":"9","issued":{"date-parts":[["2002","9","1"]]},"page":"2100-2114","title":"Postural instability in idiopathic Parkinson's disease: the role of medication and unilateral pallidotomy","type":"article-journal","volume":"125"},"uris":["http://www.mendeley.com/documents/?uuid=38bd23f8-f56d-4fb7-a45b-61612e8821ea"]}],"mendeley":{"formattedCitation":"[31–33]","plainTextFormattedCitation":"[31–33]","previouslyFormattedCitation":"[31–33]"},"properties":{"noteIndex":0},"schema":"https://github.com/citation-style-language/schema/raw/master/csl-citation.json"}</w:instrText>
      </w:r>
      <w:r w:rsidR="00231482" w:rsidRPr="00AD0BE7">
        <w:rPr>
          <w:rFonts w:eastAsia="MS Mincho" w:cs="Arial"/>
        </w:rPr>
        <w:fldChar w:fldCharType="separate"/>
      </w:r>
      <w:r w:rsidR="001D6C02" w:rsidRPr="001D6C02">
        <w:rPr>
          <w:rFonts w:eastAsia="MS Mincho" w:cs="Arial"/>
          <w:noProof/>
        </w:rPr>
        <w:t>[31–33]</w:t>
      </w:r>
      <w:r w:rsidR="00231482" w:rsidRPr="00AD0BE7">
        <w:rPr>
          <w:rFonts w:eastAsia="MS Mincho" w:cs="Arial"/>
        </w:rPr>
        <w:fldChar w:fldCharType="end"/>
      </w:r>
      <w:r w:rsidR="00231482" w:rsidRPr="00AD0BE7">
        <w:rPr>
          <w:rFonts w:eastAsia="MS Mincho" w:cs="Arial"/>
        </w:rPr>
        <w:t>, but not necessarily clinical balance scales</w:t>
      </w:r>
      <w:r w:rsidR="00231482">
        <w:rPr>
          <w:rFonts w:eastAsia="MS Mincho" w:cs="Arial"/>
        </w:rPr>
        <w:t xml:space="preserve"> </w:t>
      </w:r>
      <w:r w:rsidR="00231482" w:rsidRPr="00AD0BE7">
        <w:rPr>
          <w:rFonts w:eastAsia="MS Mincho" w:cs="Arial"/>
        </w:rPr>
        <w:fldChar w:fldCharType="begin" w:fldLock="1"/>
      </w:r>
      <w:r w:rsidR="004B5F8D">
        <w:rPr>
          <w:rFonts w:eastAsia="MS Mincho" w:cs="Arial"/>
        </w:rPr>
        <w:instrText>ADDIN CSL_CITATION {"citationItems":[{"id":"ITEM-1","itemData":{"DOI":"10.1016/j.gaitpost.2012.02.009","ISBN":"1110301197","ISSN":"09666362","PMID":"19772347","abstract":"Gait and balance impairments in people with Parkinson disease (PD) may lead to falls and serious injuries. Therefore, it is critical to improve our understanding of the nature of these impairments, including how they respond to prescribed anti-Parkinson medication. This is particularly important for complex balance and gait tasks that may be associated with falls. We evaluated motor function, functional balance, and gait performance during various gait tasks in 22 people with PD off and on medication (PD OFF, PD ON) and 20 healthy older adults. Although MDS-UPDRS-III score, Berg Balance Scale, mini-Balance Evaluations Systems test, and Timed-Up-and-Go improved in PD with medication, impairments persisted in all measures on medication, compared to controls. Dual task Timed-Up-and-Go did not improve with medication, and PD ON required more time than controls. Gait velocity and stride length improved similarly with medication in PD across forward, fast, backward, dual task forward, and dual task backward gait tasks. Cadence did not change with medication, nor did it differ between PD ON and controls. Velocity and stride length were reduced in PD ON compared to controls. Velocity reductions in PD ON during fast gait were cadence-mediated, while velocity reductions in backward gait were stride length-mediated. Our results suggest functional balance improves with medication in PD and gait performance improves with medication, regardless of task complexity. Remaining impairments on medication highlight the need to examine additional therapeutic options for individuals with PD to reduce the risk of falls.","author":[{"dropping-particle":"","family":"McNeely","given":"Marie E.","non-dropping-particle":"","parse-names":false,"suffix":""},{"dropping-particle":"","family":"Duncan","given":"Ryan P.","non-dropping-particle":"","parse-names":false,"suffix":""},{"dropping-particle":"","family":"Earhart","given":"Gammon M.","non-dropping-particle":"","parse-names":false,"suffix":""}],"container-title":"Gait &amp; Posture","id":"ITEM-1","issue":"1","issued":{"date-parts":[["2012","5"]]},"note":"Timed-Up-and-Go (TUG) and dual task TUG (DT-TUG) times were extracted from the mini-BESTest to measure functional mobility with and without a dual task.The dual task was random number listing.\n\n\nParticipants performed three trials each of preferred pace forward (Fwd), fast as possible forward (Fast), preferred-pace backward (Bkd), and preferred-pace dual task forward (DT-Fwd) and backward (DT-Bkd) gait. During dual task trials, participants walked\nforward or backward at preferred pace while completing a phonemic listing task (list words starting with a certain letter; aka, verbal fluency). A different letter was given for each trial, and correct words and errors were quantified.\n\n\nDT-TUG time (Fig 1D) did not improve (t(21)= −1.17, p=0.52).\n\n\nSeated and DT-Fwd phonemic listing performance (correct word rate and error rates) did not differ between PD ON and OFF or between PD ON and controls (p&amp;gt;0.05). Correct word rate during DT-Bkd gait improved in PD with medication (p=0.003), but correct word rate did not differ between PD ON and controls, and error rates did not differ in either comparison (p&amp;gt;0.05).\n\n\nCadence was also higher in Fwd compared to DT-Fwd (p&amp;lt;0.001), and Bkd compared to DT-Bkd (p=0.01).","page":"144-148","title":"Medication improves balance and complex gait performance in Parkinson disease","type":"article-journal","volume":"36"},"uris":["http://www.mendeley.com/documents/?uuid=49acee09-4b27-4ec8-8949-e01b61da950c"]}],"mendeley":{"formattedCitation":"[13]","plainTextFormattedCitation":"[13]","previouslyFormattedCitation":"[13]"},"properties":{"noteIndex":0},"schema":"https://github.com/citation-style-language/schema/raw/master/csl-citation.json"}</w:instrText>
      </w:r>
      <w:r w:rsidR="00231482" w:rsidRPr="00AD0BE7">
        <w:rPr>
          <w:rFonts w:eastAsia="MS Mincho" w:cs="Arial"/>
        </w:rPr>
        <w:fldChar w:fldCharType="separate"/>
      </w:r>
      <w:r w:rsidR="001D6C02" w:rsidRPr="001D6C02">
        <w:rPr>
          <w:rFonts w:eastAsia="MS Mincho" w:cs="Arial"/>
          <w:noProof/>
        </w:rPr>
        <w:t>[13]</w:t>
      </w:r>
      <w:r w:rsidR="00231482" w:rsidRPr="00AD0BE7">
        <w:rPr>
          <w:rFonts w:eastAsia="MS Mincho" w:cs="Arial"/>
        </w:rPr>
        <w:fldChar w:fldCharType="end"/>
      </w:r>
      <w:r w:rsidR="00231482" w:rsidRPr="00AD0BE7">
        <w:rPr>
          <w:rFonts w:eastAsia="MS Mincho" w:cs="Arial"/>
        </w:rPr>
        <w:t>.</w:t>
      </w:r>
      <w:r w:rsidR="00231482">
        <w:rPr>
          <w:rFonts w:eastAsia="MS Mincho" w:cs="Arial"/>
        </w:rPr>
        <w:t xml:space="preserve"> </w:t>
      </w:r>
    </w:p>
    <w:p w14:paraId="5DACE7D6" w14:textId="2439CEC5" w:rsidR="00231482" w:rsidRPr="00AD0BE7" w:rsidRDefault="00231482" w:rsidP="008009D0">
      <w:pPr>
        <w:jc w:val="both"/>
        <w:rPr>
          <w:rFonts w:eastAsia="MS Mincho" w:cs="Arial"/>
        </w:rPr>
      </w:pPr>
      <w:r>
        <w:rPr>
          <w:rFonts w:eastAsia="MS Mincho" w:cs="Arial"/>
        </w:rPr>
        <w:tab/>
        <w:t xml:space="preserve">These apparent discrepancies can be reconciled with alternate interpretations of the gestalt of these variables in PD. For example, consider the stability/maneuverability tradeoff </w:t>
      </w:r>
      <w:r>
        <w:rPr>
          <w:rFonts w:eastAsia="MS Mincho" w:cs="Arial"/>
        </w:rPr>
        <w:fldChar w:fldCharType="begin" w:fldLock="1"/>
      </w:r>
      <w:r w:rsidR="003F6A7B">
        <w:rPr>
          <w:rFonts w:eastAsia="MS Mincho" w:cs="Arial"/>
        </w:rPr>
        <w:instrText>ADDIN CSL_CITATION {"citationItems":[{"id":"ITEM-1","itemData":{"DOI":"10.1371/journal.pone.0021815","ISBN":"1932-6203 (Electronic)\\n1932-6203 (Linking)","ISSN":"1932-6203","PMID":"21779336","abstract":"BACKGROUND Understanding how stability and/or maneuverability affects motor control strategies can provide insight on moving about safely in an unpredictable world. Stability in human movement has been well-studied while maneuverability has not. Further, a tradeoff between stability and maneuverability during movement seems apparent, yet has not been quantified. We proposed that greater maneuverability, the ability to rapidly and purposefully change movement direction and speed, is beneficial in uncertain environments. We also hypothesized that gaining maneuverability comes at the expense of stability and perhaps also corresponds with decreased muscle coactivation. MATERIALS AND METHODS We used a goal-directed forward lean movement task that integrated both stability and maneuverability. Subjects (n = 11) used their center of pressure to control a cursor on a computer monitor to reach a target. We added task uncertainty by shifting the target anterior-posterior position mid-movement. We used a balance board with a narrow beam that reduced the base of support in the medio-lateral direction and defined stability as the probability that subjects could keep the balance board level during the task. RESULTS During the uncertainty condition, subjects were able to change direction of their anterior-posterior center of pressure more rapidly, indicating that subjects were more maneuverable. Furthermore, medio-lateral center of pressure excursions also approached the edges of the beam and reduced stability margins, implying that subjects were less stable (i.e. less able to keep the board level). On the narrow beam board, subjects increased muscle coactivation of lateral muscle pairs and had greater muscle activity in the left leg. However, there were no statistically significant differences in muscle activity amplitudes or coactivation with uncertainty. CONCLUSIONS/SIGNIFICANCE These results demonstrate that there is a tradeoff between stability and maneuverability during a goal-directed whole-body movement. Tasks with added uncertainty could help individuals learn to be more maneuverable yet sufficiently stable.","author":[{"dropping-particle":"","family":"Huang","given":"Helen J.","non-dropping-particle":"","parse-names":false,"suffix":""},{"dropping-particle":"","family":"Ahmed","given":"Alaa A.","non-dropping-particle":"","parse-names":false,"suffix":""}],"container-title":"PLoS ONE","editor":[{"dropping-particle":"","family":"Lucia","given":"Alejandro","non-dropping-particle":"","parse-names":false,"suffix":""}],"id":"ITEM-1","issue":"7","issued":{"date-parts":[["2011","7","14"]]},"page":"e21815","title":"Tradeoff Between Stability and Maneuverability During Whole-Body Movements","type":"article-journal","volume":"6"},"uris":["http://www.mendeley.com/documents/?uuid=76241e35-ada4-47ef-bd86-89e0ea16dfd0"]}],"mendeley":{"formattedCitation":"[38]","plainTextFormattedCitation":"[38]","previouslyFormattedCitation":"[38]"},"properties":{"noteIndex":0},"schema":"https://github.com/citation-style-language/schema/raw/master/csl-citation.json"}</w:instrText>
      </w:r>
      <w:r>
        <w:rPr>
          <w:rFonts w:eastAsia="MS Mincho" w:cs="Arial"/>
        </w:rPr>
        <w:fldChar w:fldCharType="separate"/>
      </w:r>
      <w:r w:rsidR="004B5F8D" w:rsidRPr="004B5F8D">
        <w:rPr>
          <w:rFonts w:eastAsia="MS Mincho" w:cs="Arial"/>
          <w:noProof/>
        </w:rPr>
        <w:t>[38]</w:t>
      </w:r>
      <w:r>
        <w:rPr>
          <w:rFonts w:eastAsia="MS Mincho" w:cs="Arial"/>
        </w:rPr>
        <w:fldChar w:fldCharType="end"/>
      </w:r>
      <w:r>
        <w:rPr>
          <w:rFonts w:eastAsia="MS Mincho" w:cs="Arial"/>
        </w:rPr>
        <w:t xml:space="preserve">, which postulates that an increase in stability (i.e., stiffness) is accompanied by a decrease in maneuverability (i.e., </w:t>
      </w:r>
      <w:r w:rsidR="000B5B43">
        <w:rPr>
          <w:rFonts w:eastAsia="MS Mincho" w:cs="Arial"/>
        </w:rPr>
        <w:t>freedom of</w:t>
      </w:r>
      <w:r>
        <w:rPr>
          <w:rFonts w:eastAsia="MS Mincho" w:cs="Arial"/>
        </w:rPr>
        <w:t xml:space="preserve"> movement). However, some PD symptoms, e.g., stiffness and bradykinesia, might simulate stability in some posturographic measures. For example, PD subjects score in normal or above normal ranges on stable-platform sensory organization test (SOT) trials (i.e., SOT1 and SOT2; see Bronte-Stewart </w:t>
      </w:r>
      <w:r>
        <w:rPr>
          <w:rFonts w:eastAsia="MS Mincho" w:cs="Arial"/>
        </w:rPr>
        <w:fldChar w:fldCharType="begin" w:fldLock="1"/>
      </w:r>
      <w:r w:rsidR="004B5F8D">
        <w:rPr>
          <w:rFonts w:eastAsia="MS Mincho" w:cs="Arial"/>
        </w:rPr>
        <w:instrText>ADDIN CSL_CITATION {"citationItems":[{"id":"ITEM-1","itemData":{"DOI":"10.1093/brain/awf207","ISBN":"0006-8950 (Print)\\n0006-8950 (Linking)","ISSN":"14602156","PMID":"12183355","abstract":"Postural instability (PI) is common in idiopathic Parkinson's disease (IPD). We measured sensory and motor contributions to PI in 50 patients with advanced IPD, off and on medication and in a subset pre- and 3, 6 and 12 months post-unilateral pallidotomy, using computerized dynamic posturography [specifically, the Sensory Organization Test (SOT) and the Unified Parkinson's Disease Rating Scale (UPDRS) subscale PIGD (Postural Instability and Gait Disorder)]. Off medication, all patients had abnormal PIGD scores. The group could be separated into those with normal SOT equilibrium scores (SOTN) and those, the majority, with abnormal postural control when sensory feedback was limited (SOTABN). Medication improved the PIGD scores but worsened the SOT scores in the majority of patients. Increases in spontaneous sway in some patients contributed to the negative effect of medication on SOT scores. However, this could not explain the detrimental effect of medication on SOT scores in at least 40% of patients. On the other hand, pallidotomy improved both PIGD and SOT scores in both groups. A predictor of good outcome from pallidotomy concerning PI was the degree of worsening of the effect that medication had on SOT5 scores. PI in IPD appears to be multifactorial. We propose that the PIGD score reflects sensory and motor aspects of postural control, with normal sensory feedback, while the SOT equilibrium scores measure the sensory organizational process of postural control in the presence of altered sensory inputs. There is a dissociation between the effects of medication and pallidotomy on motor and sensory components of postural control, which may reflect the underlying pathophysiological mechanism responsible for these different components of PI. We suggest that patients with advanced IPD and PI on medication should consider adjuvant surgical treatment for better postural control.","author":[{"dropping-particle":"","family":"Bronte-Stewart","given":"Helen M.","non-dropping-particle":"","parse-names":false,"suffix":""},{"dropping-particle":"","family":"Minn","given":"A Yuriko","non-dropping-particle":"","parse-names":false,"suffix":""},{"dropping-particle":"","family":"Rodrigues","given":"Kamala","non-dropping-particle":"","parse-names":false,"suffix":""},{"dropping-particle":"","family":"Buckley","given":"Ellie L","non-dropping-particle":"","parse-names":false,"suffix":""},{"dropping-particle":"","family":"Nashner","given":"Lewis M","non-dropping-particle":"","parse-names":false,"suffix":""}],"container-title":"Brain","id":"ITEM-1","issue":"9","issued":{"date-parts":[["2002","9","1"]]},"page":"2100-2114","title":"Postural instability in idiopathic Parkinson's disease: the role of medication and unilateral pallidotomy","type":"article-journal","volume":"125"},"uris":["http://www.mendeley.com/documents/?uuid=38bd23f8-f56d-4fb7-a45b-61612e8821ea"]}],"mendeley":{"formattedCitation":"[33]","plainTextFormattedCitation":"[33]","previouslyFormattedCitation":"[33]"},"properties":{"noteIndex":0},"schema":"https://github.com/citation-style-language/schema/raw/master/csl-citation.json"}</w:instrText>
      </w:r>
      <w:r>
        <w:rPr>
          <w:rFonts w:eastAsia="MS Mincho" w:cs="Arial"/>
        </w:rPr>
        <w:fldChar w:fldCharType="separate"/>
      </w:r>
      <w:r w:rsidR="001D6C02" w:rsidRPr="001D6C02">
        <w:rPr>
          <w:rFonts w:eastAsia="MS Mincho" w:cs="Arial"/>
          <w:noProof/>
        </w:rPr>
        <w:t>[33]</w:t>
      </w:r>
      <w:r>
        <w:rPr>
          <w:rFonts w:eastAsia="MS Mincho" w:cs="Arial"/>
        </w:rPr>
        <w:fldChar w:fldCharType="end"/>
      </w:r>
      <w:r>
        <w:rPr>
          <w:rFonts w:eastAsia="MS Mincho" w:cs="Arial"/>
        </w:rPr>
        <w:t xml:space="preserve"> for an example). Furthermore, because dopaminergic medication causes well-accepted improvements in these stability-simulating symptoms </w:t>
      </w:r>
      <w:r w:rsidRPr="004859B6">
        <w:fldChar w:fldCharType="begin" w:fldLock="1"/>
      </w:r>
      <w:r>
        <w:instrText>ADDIN CSL_CITATION {"citationItems":[{"id":"ITEM-1","itemData":{"DOI":"10.1016/S1474-4422(09)70293-5","ISBN":"1474-4422","ISSN":"14744422","PMID":"19909911","abstract":"A dopaminergic deficiency in patients with Parkinson's disease (PD) causes abnormalities of movement, behaviour, learning, and emotions. The main motor features (ie, tremor, rigidity, and akinesia) are associated with a deficiency of dopamine in the posterior putamen and the motor circuit. Hypokinesia and bradykinesia might have a dual anatomo-functional basis: hypokinesia mediated by brainstem mechanisms and bradykinesia by cortical mechanisms. The classic pathophysiological model for PD (ie, hyperactivity in the globus pallidus pars interna and substantia nigra pars reticulata) does not explain rigidity and tremor, which might be caused by changes in primary motor cortex activity. Executive functions (ie, planning and problem solving) are also impaired in early PD, but are usually not clinically noticed. These impairments are associated with dopamine deficiency in the caudate nucleus and with dysfunction of the associative and other non-motor circuits. Apathy, anxiety, and depression are the main psychiatric manifestations in untreated PD, which might be caused by ventral striatum dopaminergic deficit and depletion of serotonin and norepinephrine. In this Review we discuss the motor, cognitive, and psychiatric manifestations associated with the dopaminergic deficiency in the early phase of the parkinsonian state and the different circuits implicated, and we propose distinct mechanisms to explain the wide clinical range of PD symptoms at the time of diagnosis. © 2009 Elsevier Ltd. All rights reserved.","author":[{"dropping-particle":"","family":"Rodriguez-Oroz","given":"Maria C.","non-dropping-particle":"","parse-names":false,"suffix":""},{"dropping-particle":"","family":"Jahanshahi","given":"Marjan","non-dropping-particle":"","parse-names":false,"suffix":""},{"dropping-particle":"","family":"Krack","given":"Paul","non-dropping-particle":"","parse-names":false,"suffix":""},{"dropping-particle":"","family":"Litvan","given":"Irene","non-dropping-particle":"","parse-names":false,"suffix":""},{"dropping-particle":"","family":"Macias","given":"Raúl","non-dropping-particle":"","parse-names":false,"suffix":""},{"dropping-particle":"","family":"Bezard","given":"Erwan","non-dropping-particle":"","parse-names":false,"suffix":""},{"dropping-particle":"","family":"Obeso","given":"José a.","non-dropping-particle":"","parse-names":false,"suffix":""}],"container-title":"The Lancet Neurology","id":"ITEM-1","issue":"12","issued":{"date-parts":[["2009","12"]]},"page":"1128-1139","title":"Initial clinical manifestations of Parkinson's disease: features and pathophysiological mechanisms","type":"article-journal","volume":"8"},"uris":["http://www.mendeley.com/documents/?uuid=f283f2c3-68a7-4e8d-9b57-8e74dacc1f4a"]},{"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diagnosis","type":"article-journal","volume":"79"},"uris":["http://www.mendeley.com/documents/?uuid=3e459de4-5162-482b-be13-cae6e8fdadbe"]},{"id":"ITEM-4","itemData":{"DOI":"10.1016/0022-510X(73)90175-5","ISBN":"0022-510X (Print) 0022-510X (Linking)","ISSN":"0022510X","PMID":"4272516","abstract":"A clinical, morphological and neurochemical correlative study in patients with Parkinson's syndrome and Huntington's chorea is reported. In the former group of patients, 69 brains were examined morphologically and 28 biochemically; in the latter group, 4 brains were examined morphologically and 14 biochemically. The results were as follows: (1) The main morphological alteration common to all forms of Parkinsonism was damage to the substantia nigra with a loss of the melanin-containing nerve cells in the zona compacta; the degree and pattern of this cell loss varied in a manner characteristic of the different forms of Parkinsonism. (2) Neurochemically, Parkinson's syndrome was characterized by a decrease in the concentrations of dopamine (DA) and its metabolite homovanillic acid (HVA) in the striatum (caudate nucleus and putamen) and pallidum. (3) A satisfactory positive correlation could be established between the degree of cell loss in the zona compacta of the substantia nigra and the disturbance of DA metabolism in the nuclei of the basal ganglia. (4) The nosological classification of Parkinson's syndrome (based on clinical and morphological criteria) into 3 main groups, viz. postencephalitic, idiopathic and “arteriosclerotic”-senile, was supported by distinct, though not in all cases statistically significant, differences in the degree of disturbance of striatal DA metabolism. (5) In general, mild Parkinsonism, just manifest clinically, was associated with a disproportionately high degree of striatal DA deficiency. From this it was concluded that: (a) clinically manifest Parkinsonism represents the late, “decompensated”, stage of a disease characterized by a progressive striatal DA deficiency; and (b) the striatum can compensate functionally for lower degrees of DA deficiency. (6) Positive correlations could be established, within a certain range, between the severity of individual Parkinsonian symptoms (especially akinesia and tremor) and (a) the degree, and also the site, of the disturbance of DA metabolism within the nuclei of the basal ganglia; and (b) the sensitivity of the patients to levodopa's acute anti-akinesia effect. The latter observation was interpreted as suggesting that in Parkinsonism there exists a supersensitivity (probably of the “denervation type”) of striatal receptors to DA. (7) Based on the correlations, levodopa therapy can be regarded as a specific, though probably predominantly symptomatic, treatment of the main extrapyrami…","author":[{"dropping-particle":"","family":"Bernheimer","given":"H","non-dropping-particle":"","parse-names":false,"suffix":""},{"dropping-particle":"","family":"Birkmayer","given":"W","non-dropping-particle":"","parse-names":false,"suffix":""},{"dropping-particle":"","family":"Hornykiewicz","given":"O","non-dropping-particle":"","parse-names":false,"suffix":""},{"dropping-particle":"","family":"Jellinger","given":"K","non-dropping-particle":"","parse-names":false,"suffix":""},{"dropping-particle":"","family":"Seitelberger","given":"F","non-dropping-particle":"","parse-names":false,"suffix":""}],"container-title":"Journal of the Neurological Sciences","id":"ITEM-4","issue":"4","issued":{"date-parts":[["1973","12"]]},"page":"415-455","title":"Brain dopamine and the syndromes of Parkinson and Huntington Clinical, morphological and neurochemical correlations","type":"article-journal","volume":"20"},"uris":["http://www.mendeley.com/documents/?uuid=2b108045-04a4-453b-a687-4c15377e673b"]},{"id":"ITEM-5","itemData":{"abstract":"Parkinsonism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Sciences","id":"ITEM-5","issued":{"date-parts":[["2003"]]},"page":"1-14","title":"Description of Parkinson’ s Disease as a Clinical Syndrome","type":"article-journal","volume":"991"},"uris":["http://www.mendeley.com/documents/?uuid=63b3f15d-72bd-4a15-a52d-94491c167cb5"]}],"mendeley":{"formattedCitation":"[2–6]","plainTextFormattedCitation":"[2–6]","previouslyFormattedCitation":"[2–6]"},"properties":{"noteIndex":0},"schema":"https://github.com/citation-style-language/schema/raw/master/csl-citation.json"}</w:instrText>
      </w:r>
      <w:r w:rsidRPr="004859B6">
        <w:fldChar w:fldCharType="separate"/>
      </w:r>
      <w:r w:rsidRPr="00FF345F">
        <w:rPr>
          <w:noProof/>
        </w:rPr>
        <w:t>[2–6]</w:t>
      </w:r>
      <w:r w:rsidRPr="004859B6">
        <w:fldChar w:fldCharType="end"/>
      </w:r>
      <w:r>
        <w:t xml:space="preserve">, it may </w:t>
      </w:r>
      <w:r>
        <w:lastRenderedPageBreak/>
        <w:t>not be appropriate to attribute the composite of the changes found in this study as an increase in maneuverability and a decrease in stability</w:t>
      </w:r>
      <w:r>
        <w:rPr>
          <w:rFonts w:eastAsia="MS Mincho" w:cs="Arial"/>
        </w:rPr>
        <w:t>. Rather, because our subjects increased COP</w:t>
      </w:r>
      <w:r w:rsidRPr="00FC7F2B">
        <w:rPr>
          <w:rFonts w:eastAsia="MS Mincho" w:cs="Arial"/>
          <w:vertAlign w:val="subscript"/>
        </w:rPr>
        <w:t>area</w:t>
      </w:r>
      <w:r>
        <w:rPr>
          <w:rFonts w:eastAsia="MS Mincho" w:cs="Arial"/>
        </w:rPr>
        <w:t xml:space="preserve"> after taking dopaminergic medication without experiencing any other medication-induced balance performance detriments, our data expand on the stability/maneuverability model and suggest that dopaminergic medication increased maneuverability in PD subjects, but not necessarily a decrease in stability.</w:t>
      </w:r>
    </w:p>
    <w:p w14:paraId="4D46E2CB" w14:textId="636C6E74" w:rsidR="00231482" w:rsidRPr="00AD0BE7" w:rsidRDefault="00231482" w:rsidP="008009D0">
      <w:pPr>
        <w:jc w:val="both"/>
      </w:pPr>
      <w:r w:rsidRPr="00AD0BE7">
        <w:tab/>
        <w:t>The effects on the phoneme monitoring task, especially the significant negative medication effect while dual-tasking</w:t>
      </w:r>
      <w:r>
        <w:t>,</w:t>
      </w:r>
      <w:r w:rsidRPr="00AD0BE7">
        <w:t xml:space="preserve"> </w:t>
      </w:r>
      <w:r>
        <w:t>do</w:t>
      </w:r>
      <w:r w:rsidRPr="00AD0BE7">
        <w:t xml:space="preserve"> not support the concept of a medication-induced improvement in automaticity. Rather, these findings add to the idea that motor automaticity is centrally controlled, especially considering that PD medication has variable effects on executive functions</w:t>
      </w:r>
      <w:r>
        <w:t xml:space="preserve"> </w:t>
      </w:r>
      <w:r w:rsidRPr="00AD0BE7">
        <w:fldChar w:fldCharType="begin" w:fldLock="1"/>
      </w:r>
      <w:r w:rsidR="004B5F8D">
        <w:instrText>ADDIN CSL_CITATION {"citationItems":[{"id":"ITEM-1","itemData":{"DOI":"10.1111/jnp.12028","ISBN":"1748-6653 (Electronic)\\r1748-6645 (Linking)","ISSN":"17486645","PMID":"24007368","abstract":"Executive dysfunction can be present from the early stages of Parkinson's disease (PD). It is characterized by deficits in internal control of attention, set shifting, planning, inhibitory control, dual task performance, and on a range of decision-making and social cognition tasks. Treatment with dopaminergic medication has variable effects on executive deficits, improving some, leaving some unchanged, and worsening others. In this review, we start by defining the specific nature of executive dysfunction in PD and describe suitable neuropsychological tests. We then discuss how executive deficits relate to pathology in specific territories of the basal ganglia, consider the impact of dopaminergic treatment on executive function (EF) in this context, and review the changes in EFs with disease progression. In later sections, we summarize correlates of executive dysfunction in PD with motor performance (e.g., postural instability, freezing of gait) and a variety of psychiatric (e.g., depression, apathy) and other clinical symptoms, and finally discuss the implications of these for the patients' daily life.","author":[{"dropping-particle":"","family":"Dirnberger","given":"Georg","non-dropping-particle":"","parse-names":false,"suffix":""},{"dropping-particle":"","family":"Jahanshahi","given":"Marjan","non-dropping-particle":"","parse-names":false,"suffix":""}],"container-title":"Journal of Neuropsychology","id":"ITEM-1","issue":"2","issued":{"date-parts":[["2013"]]},"page":"193-224","title":"Executive dysfunction in Parkinson's disease: A review","type":"article-journal","volume":"7"},"uris":["http://www.mendeley.com/documents/?uuid=5117d802-e5b0-41ff-8b5b-87c95248fd47"]}],"mendeley":{"formattedCitation":"[19]","plainTextFormattedCitation":"[19]","previouslyFormattedCitation":"[19]"},"properties":{"noteIndex":0},"schema":"https://github.com/citation-style-language/schema/raw/master/csl-citation.json"}</w:instrText>
      </w:r>
      <w:r w:rsidRPr="00AD0BE7">
        <w:fldChar w:fldCharType="separate"/>
      </w:r>
      <w:r w:rsidR="001D6C02" w:rsidRPr="001D6C02">
        <w:rPr>
          <w:noProof/>
        </w:rPr>
        <w:t>[19]</w:t>
      </w:r>
      <w:r w:rsidRPr="00AD0BE7">
        <w:fldChar w:fldCharType="end"/>
      </w:r>
      <w:r w:rsidRPr="00AD0BE7">
        <w:t xml:space="preserve">. </w:t>
      </w:r>
    </w:p>
    <w:p w14:paraId="21A5DD14" w14:textId="7DD84C4D" w:rsidR="0060260E" w:rsidRPr="00D66FC6" w:rsidRDefault="00231482" w:rsidP="008009D0">
      <w:pPr>
        <w:jc w:val="both"/>
        <w:rPr>
          <w:rFonts w:cs="Arial"/>
        </w:rPr>
      </w:pPr>
      <w:r>
        <w:tab/>
        <w:t>Lastly, s</w:t>
      </w:r>
      <w:r w:rsidRPr="00AD0BE7">
        <w:t>everal dual-tasking models have been suggested to describe how dual-tasking is controlled</w:t>
      </w:r>
      <w:r>
        <w:t xml:space="preserve">, with two </w:t>
      </w:r>
      <w:r w:rsidRPr="00AD0BE7">
        <w:t>models</w:t>
      </w:r>
      <w:r>
        <w:t xml:space="preserve"> as the most</w:t>
      </w:r>
      <w:r w:rsidRPr="00AD0BE7">
        <w:t xml:space="preserve"> popular. The first is the capacity sharing model, which suggests a finite capacity for performing all tasks and concurrent</w:t>
      </w:r>
      <w:r>
        <w:t>ly performed</w:t>
      </w:r>
      <w:r w:rsidRPr="00AD0BE7">
        <w:t xml:space="preserve"> tasks that </w:t>
      </w:r>
      <w:r>
        <w:t>exceed that</w:t>
      </w:r>
      <w:r w:rsidRPr="00AD0BE7">
        <w:t xml:space="preserve"> capacity </w:t>
      </w:r>
      <w:r>
        <w:t>result</w:t>
      </w:r>
      <w:r w:rsidRPr="00AD0BE7">
        <w:t xml:space="preserve"> in interference of one or both tasks</w:t>
      </w:r>
      <w:r>
        <w:t xml:space="preserve"> </w:t>
      </w:r>
      <w:r w:rsidRPr="00AD0BE7">
        <w:fldChar w:fldCharType="begin" w:fldLock="1"/>
      </w:r>
      <w:r w:rsidR="004B5F8D">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AD0BE7">
        <w:fldChar w:fldCharType="separate"/>
      </w:r>
      <w:r w:rsidR="001D6C02" w:rsidRPr="001D6C02">
        <w:rPr>
          <w:noProof/>
        </w:rPr>
        <w:t>[11]</w:t>
      </w:r>
      <w:r w:rsidRPr="00AD0BE7">
        <w:fldChar w:fldCharType="end"/>
      </w:r>
      <w:r w:rsidRPr="00AD0BE7">
        <w:t>. The second is the bottleneck theory which divides tasks into</w:t>
      </w:r>
      <w:r>
        <w:t xml:space="preserve"> different</w:t>
      </w:r>
      <w:r w:rsidRPr="00AD0BE7">
        <w:t xml:space="preserve"> mechanisms</w:t>
      </w:r>
      <w:r>
        <w:t xml:space="preserve"> (e.g.</w:t>
      </w:r>
      <w:r w:rsidRPr="0053660B">
        <w:t xml:space="preserve"> </w:t>
      </w:r>
      <w:r w:rsidRPr="00AD0BE7">
        <w:t>motor and cognitive</w:t>
      </w:r>
      <w:r>
        <w:t>)</w:t>
      </w:r>
      <w:r w:rsidRPr="00AD0BE7">
        <w:t xml:space="preserve">. </w:t>
      </w:r>
      <w:r>
        <w:t>In this model, i</w:t>
      </w:r>
      <w:r w:rsidRPr="00AD0BE7">
        <w:t xml:space="preserve">nterference occurs when two concurrent tasks </w:t>
      </w:r>
      <w:r>
        <w:t xml:space="preserve">try to use </w:t>
      </w:r>
      <w:r w:rsidRPr="00AD0BE7">
        <w:t>the same mechanism</w:t>
      </w:r>
      <w:r>
        <w:t xml:space="preserve"> </w:t>
      </w:r>
      <w:r w:rsidRPr="00AD0BE7">
        <w:fldChar w:fldCharType="begin" w:fldLock="1"/>
      </w:r>
      <w:r w:rsidR="004B5F8D">
        <w:instrText>ADDIN CSL_CITATION {"citationItems":[{"id":"ITEM-1","itemData":{"DOI":"10.3389/fnhum.2015.00225","ISBN":"1662-5161","ISSN":"1662-5161","PMID":"25972801","abstract":"The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Neuroscience","id":"ITEM-1","issue":"April","issued":{"date-parts":[["2015","4","28"]]},"page":"225","title":"Measuring treatment effects on dual-task performance: a framework for research and clinical practice","type":"article-journal","volume":"9"},"uris":["http://www.mendeley.com/documents/?uuid=72512a00-ef5a-47f8-a3f2-45222c97e3d7"]}],"mendeley":{"formattedCitation":"[11]","plainTextFormattedCitation":"[11]","previouslyFormattedCitation":"[11]"},"properties":{"noteIndex":0},"schema":"https://github.com/citation-style-language/schema/raw/master/csl-citation.json"}</w:instrText>
      </w:r>
      <w:r w:rsidRPr="00AD0BE7">
        <w:fldChar w:fldCharType="separate"/>
      </w:r>
      <w:r w:rsidR="001D6C02" w:rsidRPr="001D6C02">
        <w:rPr>
          <w:noProof/>
        </w:rPr>
        <w:t>[11]</w:t>
      </w:r>
      <w:r w:rsidRPr="00AD0BE7">
        <w:fldChar w:fldCharType="end"/>
      </w:r>
      <w:r w:rsidRPr="00AD0BE7">
        <w:t xml:space="preserve">. Because phoneme monitoring is purely cognitive, and standing balance requires little or no cognitive demand, the tasks of this study were assumed to operate using </w:t>
      </w:r>
      <w:r>
        <w:t xml:space="preserve">different </w:t>
      </w:r>
      <w:r w:rsidRPr="00AD0BE7">
        <w:t xml:space="preserve">mechanisms and </w:t>
      </w:r>
      <w:r>
        <w:t xml:space="preserve">our results </w:t>
      </w:r>
      <w:r w:rsidR="00B8634B">
        <w:t>are more consistent with</w:t>
      </w:r>
      <w:r>
        <w:t xml:space="preserve"> the capacity sharing model.</w:t>
      </w:r>
    </w:p>
    <w:p w14:paraId="4206D168" w14:textId="77777777" w:rsidR="00794421" w:rsidRDefault="00794421" w:rsidP="008009D0">
      <w:pPr>
        <w:jc w:val="both"/>
        <w:rPr>
          <w:rFonts w:cs="Arial"/>
        </w:rPr>
      </w:pPr>
    </w:p>
    <w:p w14:paraId="19055015" w14:textId="4337D391" w:rsidR="00533FFE" w:rsidRDefault="00533FFE" w:rsidP="008009D0">
      <w:pPr>
        <w:pStyle w:val="Heading2"/>
        <w:jc w:val="both"/>
      </w:pPr>
      <w:bookmarkStart w:id="50" w:name="_Toc527361759"/>
      <w:r w:rsidRPr="00864B56">
        <w:lastRenderedPageBreak/>
        <w:t>Conclusions</w:t>
      </w:r>
      <w:bookmarkEnd w:id="50"/>
    </w:p>
    <w:p w14:paraId="2D0F1165" w14:textId="034854F8" w:rsidR="00533FFE" w:rsidRPr="00864B56" w:rsidRDefault="00533FFE" w:rsidP="008009D0">
      <w:pPr>
        <w:jc w:val="both"/>
        <w:rPr>
          <w:rFonts w:cs="Arial"/>
        </w:rPr>
        <w:sectPr w:rsidR="00533FFE" w:rsidRPr="00864B56" w:rsidSect="00C55D12">
          <w:pgSz w:w="12240" w:h="15840"/>
          <w:pgMar w:top="1800" w:right="1440" w:bottom="1440" w:left="1440" w:header="720" w:footer="720" w:gutter="0"/>
          <w:cols w:space="720"/>
        </w:sectPr>
      </w:pPr>
      <w:r>
        <w:rPr>
          <w:rFonts w:cs="Arial"/>
        </w:rPr>
        <w:tab/>
      </w:r>
      <w:r w:rsidR="007B5AA1">
        <w:rPr>
          <w:rFonts w:cs="Arial"/>
        </w:rPr>
        <w:t xml:space="preserve">Using traditional interpretations of posturographic measures, </w:t>
      </w:r>
      <w:r w:rsidR="007B5AA1">
        <w:rPr>
          <w:rFonts w:eastAsia="MS Mincho" w:cs="Arial"/>
        </w:rPr>
        <w:t>d</w:t>
      </w:r>
      <w:r w:rsidR="007B5AA1" w:rsidRPr="005F0245">
        <w:rPr>
          <w:rFonts w:eastAsia="MS Mincho" w:cs="Arial"/>
        </w:rPr>
        <w:t>opaminergic medication hindered balance in the mild-moderate PD subjects in both single- and dual-task conditions.</w:t>
      </w:r>
      <w:r w:rsidR="007B5AA1">
        <w:rPr>
          <w:rFonts w:eastAsia="MS Mincho" w:cs="Arial"/>
        </w:rPr>
        <w:t xml:space="preserve"> However, when considered in light of a stability/maneuverability tradeoff expanded for PD, subjects may experience only an increase in freedom of movement rather than instability.</w:t>
      </w:r>
      <w:r w:rsidR="007B5AA1" w:rsidRPr="005F0245">
        <w:rPr>
          <w:rFonts w:eastAsia="MS Mincho" w:cs="Arial"/>
        </w:rPr>
        <w:t xml:space="preserve"> Secondary task performance was either not improved or significantly worsened with medication. These data do not support the idea of a medication-induced improvement in automaticity. </w:t>
      </w:r>
      <w:r w:rsidR="007B5AA1">
        <w:rPr>
          <w:rFonts w:eastAsia="MS Mincho" w:cs="Arial"/>
          <w:color w:val="000000"/>
        </w:rPr>
        <w:t>T</w:t>
      </w:r>
      <w:r w:rsidR="007B5AA1" w:rsidRPr="005F0245">
        <w:rPr>
          <w:rFonts w:eastAsia="MS Mincho" w:cs="Arial"/>
          <w:color w:val="000000"/>
        </w:rPr>
        <w:t>his study adds evidence to the capacity sharing model of dual-task interference, because the purely cognitive secondary task was sufficient to interfere with balance performance.</w:t>
      </w:r>
    </w:p>
    <w:p w14:paraId="74EB3B06" w14:textId="32297570" w:rsidR="00B84AF5" w:rsidRDefault="00B84AF5" w:rsidP="008009D0">
      <w:pPr>
        <w:pStyle w:val="Caption"/>
        <w:keepNext/>
        <w:jc w:val="both"/>
      </w:pP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95"/>
      </w:tblGrid>
      <w:tr w:rsidR="00533FFE" w:rsidRPr="00431CEE" w14:paraId="0199A04B" w14:textId="77777777" w:rsidTr="005D1CB3">
        <w:trPr>
          <w:trHeight w:val="260"/>
        </w:trPr>
        <w:tc>
          <w:tcPr>
            <w:tcW w:w="5580" w:type="dxa"/>
            <w:gridSpan w:val="2"/>
            <w:tcBorders>
              <w:bottom w:val="single" w:sz="4" w:space="0" w:color="auto"/>
            </w:tcBorders>
            <w:vAlign w:val="center"/>
          </w:tcPr>
          <w:p w14:paraId="38B48D33" w14:textId="566C47F7" w:rsidR="00533FFE" w:rsidRPr="00431CEE" w:rsidRDefault="00B84AF5" w:rsidP="008009D0">
            <w:pPr>
              <w:jc w:val="both"/>
              <w:rPr>
                <w:rFonts w:cs="Arial"/>
              </w:rPr>
            </w:pPr>
            <w:bookmarkStart w:id="51" w:name="_Toc527361779"/>
            <w:r>
              <w:t xml:space="preserve">Table </w:t>
            </w:r>
            <w:r w:rsidR="009B1116">
              <w:rPr>
                <w:noProof/>
              </w:rPr>
              <w:fldChar w:fldCharType="begin"/>
            </w:r>
            <w:r w:rsidR="009B1116">
              <w:rPr>
                <w:noProof/>
              </w:rPr>
              <w:instrText xml:space="preserve"> SEQ Table \* ARABIC </w:instrText>
            </w:r>
            <w:r w:rsidR="009B1116">
              <w:rPr>
                <w:noProof/>
              </w:rPr>
              <w:fldChar w:fldCharType="separate"/>
            </w:r>
            <w:r w:rsidR="006C3AB1">
              <w:rPr>
                <w:noProof/>
              </w:rPr>
              <w:t>3</w:t>
            </w:r>
            <w:r w:rsidR="009B1116">
              <w:rPr>
                <w:noProof/>
              </w:rPr>
              <w:fldChar w:fldCharType="end"/>
            </w:r>
            <w:r w:rsidRPr="00F3267C">
              <w:t>. Subject demographic information. Data are mean ± SD, where appropriate.</w:t>
            </w:r>
            <w:bookmarkEnd w:id="51"/>
          </w:p>
        </w:tc>
      </w:tr>
      <w:tr w:rsidR="00533FFE" w:rsidRPr="00431CEE" w14:paraId="0C50855C" w14:textId="77777777" w:rsidTr="005D1CB3">
        <w:tc>
          <w:tcPr>
            <w:tcW w:w="5580" w:type="dxa"/>
            <w:gridSpan w:val="2"/>
            <w:tcBorders>
              <w:top w:val="single" w:sz="4" w:space="0" w:color="auto"/>
              <w:bottom w:val="single" w:sz="4" w:space="0" w:color="auto"/>
            </w:tcBorders>
            <w:vAlign w:val="center"/>
          </w:tcPr>
          <w:p w14:paraId="7DA70AA6" w14:textId="77777777" w:rsidR="00533FFE" w:rsidRPr="00D4113D" w:rsidRDefault="00533FFE" w:rsidP="008009D0">
            <w:pPr>
              <w:jc w:val="both"/>
              <w:rPr>
                <w:rFonts w:cs="Arial"/>
                <w:b/>
              </w:rPr>
            </w:pPr>
            <w:r w:rsidRPr="00D4113D">
              <w:rPr>
                <w:rFonts w:cs="Arial"/>
                <w:b/>
              </w:rPr>
              <w:t>Demographics</w:t>
            </w:r>
          </w:p>
        </w:tc>
      </w:tr>
      <w:tr w:rsidR="00533FFE" w:rsidRPr="00431CEE" w14:paraId="64D15CE5" w14:textId="77777777" w:rsidTr="005D1CB3">
        <w:tc>
          <w:tcPr>
            <w:tcW w:w="0" w:type="auto"/>
            <w:tcBorders>
              <w:top w:val="single" w:sz="4" w:space="0" w:color="auto"/>
            </w:tcBorders>
            <w:vAlign w:val="center"/>
          </w:tcPr>
          <w:p w14:paraId="0818CD9A" w14:textId="77777777" w:rsidR="00533FFE" w:rsidRPr="00431CEE" w:rsidRDefault="00533FFE" w:rsidP="008009D0">
            <w:pPr>
              <w:jc w:val="both"/>
              <w:rPr>
                <w:rFonts w:cs="Arial"/>
              </w:rPr>
            </w:pPr>
            <w:r>
              <w:rPr>
                <w:rFonts w:cs="Arial"/>
              </w:rPr>
              <w:t>Sex</w:t>
            </w:r>
          </w:p>
        </w:tc>
        <w:tc>
          <w:tcPr>
            <w:tcW w:w="2495" w:type="dxa"/>
            <w:tcBorders>
              <w:top w:val="single" w:sz="4" w:space="0" w:color="auto"/>
            </w:tcBorders>
            <w:vAlign w:val="center"/>
          </w:tcPr>
          <w:p w14:paraId="3A9442BF" w14:textId="77777777" w:rsidR="00533FFE" w:rsidRPr="00431CEE" w:rsidRDefault="00533FFE" w:rsidP="002D57F1">
            <w:pPr>
              <w:jc w:val="center"/>
              <w:rPr>
                <w:rFonts w:cs="Arial"/>
              </w:rPr>
            </w:pPr>
            <w:r>
              <w:rPr>
                <w:rFonts w:cs="Arial"/>
              </w:rPr>
              <w:t>12 male, 4 female</w:t>
            </w:r>
          </w:p>
        </w:tc>
      </w:tr>
      <w:tr w:rsidR="00533FFE" w:rsidRPr="00431CEE" w14:paraId="4A426F4F" w14:textId="77777777" w:rsidTr="005D1CB3">
        <w:tc>
          <w:tcPr>
            <w:tcW w:w="0" w:type="auto"/>
            <w:vAlign w:val="center"/>
          </w:tcPr>
          <w:p w14:paraId="4EE5B048" w14:textId="77777777" w:rsidR="00533FFE" w:rsidRPr="00431CEE" w:rsidRDefault="00533FFE" w:rsidP="008009D0">
            <w:pPr>
              <w:jc w:val="both"/>
              <w:rPr>
                <w:rFonts w:cs="Arial"/>
              </w:rPr>
            </w:pPr>
            <w:r>
              <w:rPr>
                <w:rFonts w:cs="Arial"/>
              </w:rPr>
              <w:t>Age</w:t>
            </w:r>
          </w:p>
        </w:tc>
        <w:tc>
          <w:tcPr>
            <w:tcW w:w="2495" w:type="dxa"/>
            <w:vAlign w:val="center"/>
          </w:tcPr>
          <w:p w14:paraId="5CA893FE" w14:textId="77777777" w:rsidR="00533FFE" w:rsidRPr="00431CEE" w:rsidRDefault="00533FFE" w:rsidP="002D57F1">
            <w:pPr>
              <w:jc w:val="center"/>
              <w:rPr>
                <w:rFonts w:cs="Arial"/>
              </w:rPr>
            </w:pPr>
            <w:r>
              <w:rPr>
                <w:rFonts w:cs="Arial"/>
              </w:rPr>
              <w:t>67.13 ± 7.54 yrs.</w:t>
            </w:r>
          </w:p>
        </w:tc>
      </w:tr>
      <w:tr w:rsidR="00533FFE" w:rsidRPr="00431CEE" w14:paraId="00E0BAE3" w14:textId="77777777" w:rsidTr="005D1CB3">
        <w:tc>
          <w:tcPr>
            <w:tcW w:w="0" w:type="auto"/>
            <w:vAlign w:val="center"/>
          </w:tcPr>
          <w:p w14:paraId="71B50316" w14:textId="77777777" w:rsidR="00533FFE" w:rsidRPr="00431CEE" w:rsidRDefault="00533FFE" w:rsidP="008009D0">
            <w:pPr>
              <w:jc w:val="both"/>
              <w:rPr>
                <w:rFonts w:cs="Arial"/>
              </w:rPr>
            </w:pPr>
            <w:r>
              <w:rPr>
                <w:rFonts w:cs="Arial"/>
              </w:rPr>
              <w:t>Height</w:t>
            </w:r>
          </w:p>
        </w:tc>
        <w:tc>
          <w:tcPr>
            <w:tcW w:w="2495" w:type="dxa"/>
            <w:vAlign w:val="center"/>
          </w:tcPr>
          <w:p w14:paraId="48445795" w14:textId="77777777" w:rsidR="00533FFE" w:rsidRPr="00431CEE" w:rsidRDefault="00533FFE" w:rsidP="002D57F1">
            <w:pPr>
              <w:jc w:val="center"/>
              <w:rPr>
                <w:rFonts w:cs="Arial"/>
              </w:rPr>
            </w:pPr>
            <w:r>
              <w:rPr>
                <w:rFonts w:cs="Arial"/>
              </w:rPr>
              <w:t>171.16 ± 9.53 cm</w:t>
            </w:r>
          </w:p>
        </w:tc>
      </w:tr>
      <w:tr w:rsidR="00533FFE" w:rsidRPr="00431CEE" w14:paraId="4FF00DCA" w14:textId="77777777" w:rsidTr="005D1CB3">
        <w:tc>
          <w:tcPr>
            <w:tcW w:w="0" w:type="auto"/>
            <w:vAlign w:val="center"/>
          </w:tcPr>
          <w:p w14:paraId="486E3C14" w14:textId="77777777" w:rsidR="00533FFE" w:rsidRPr="00431CEE" w:rsidRDefault="00533FFE" w:rsidP="008009D0">
            <w:pPr>
              <w:jc w:val="both"/>
              <w:rPr>
                <w:rFonts w:cs="Arial"/>
              </w:rPr>
            </w:pPr>
            <w:r>
              <w:rPr>
                <w:rFonts w:cs="Arial"/>
              </w:rPr>
              <w:t>Mass</w:t>
            </w:r>
          </w:p>
        </w:tc>
        <w:tc>
          <w:tcPr>
            <w:tcW w:w="2495" w:type="dxa"/>
            <w:vAlign w:val="center"/>
          </w:tcPr>
          <w:p w14:paraId="4803AC26" w14:textId="77777777" w:rsidR="00533FFE" w:rsidRPr="00431CEE" w:rsidRDefault="00533FFE" w:rsidP="002D57F1">
            <w:pPr>
              <w:jc w:val="center"/>
              <w:rPr>
                <w:rFonts w:cs="Arial"/>
              </w:rPr>
            </w:pPr>
            <w:r>
              <w:rPr>
                <w:rFonts w:cs="Arial"/>
              </w:rPr>
              <w:t>80.93 ± 14.28 kg</w:t>
            </w:r>
          </w:p>
        </w:tc>
      </w:tr>
      <w:tr w:rsidR="00533FFE" w:rsidRPr="00431CEE" w14:paraId="0346FA74" w14:textId="77777777" w:rsidTr="005D1CB3">
        <w:tc>
          <w:tcPr>
            <w:tcW w:w="0" w:type="auto"/>
            <w:vAlign w:val="center"/>
          </w:tcPr>
          <w:p w14:paraId="474DCC02" w14:textId="77777777" w:rsidR="00533FFE" w:rsidRDefault="00533FFE" w:rsidP="008009D0">
            <w:pPr>
              <w:jc w:val="both"/>
              <w:rPr>
                <w:rFonts w:cs="Arial"/>
              </w:rPr>
            </w:pPr>
            <w:r>
              <w:rPr>
                <w:rFonts w:cs="Arial"/>
              </w:rPr>
              <w:t>UPDRS III (OFF)</w:t>
            </w:r>
          </w:p>
        </w:tc>
        <w:tc>
          <w:tcPr>
            <w:tcW w:w="2495" w:type="dxa"/>
            <w:vAlign w:val="center"/>
          </w:tcPr>
          <w:p w14:paraId="0E984976" w14:textId="77777777" w:rsidR="00533FFE" w:rsidRPr="00431CEE" w:rsidRDefault="00533FFE" w:rsidP="002D57F1">
            <w:pPr>
              <w:jc w:val="center"/>
              <w:rPr>
                <w:rFonts w:cs="Arial"/>
              </w:rPr>
            </w:pPr>
            <w:r>
              <w:rPr>
                <w:rFonts w:cs="Arial"/>
              </w:rPr>
              <w:t>44.44 ± 13.34</w:t>
            </w:r>
          </w:p>
        </w:tc>
      </w:tr>
      <w:tr w:rsidR="00533FFE" w:rsidRPr="00431CEE" w14:paraId="61D87B07" w14:textId="77777777" w:rsidTr="005D1CB3">
        <w:tc>
          <w:tcPr>
            <w:tcW w:w="0" w:type="auto"/>
            <w:vAlign w:val="center"/>
          </w:tcPr>
          <w:p w14:paraId="5502EBA9" w14:textId="77777777" w:rsidR="00533FFE" w:rsidRDefault="00533FFE" w:rsidP="008009D0">
            <w:pPr>
              <w:jc w:val="both"/>
              <w:rPr>
                <w:rFonts w:cs="Arial"/>
              </w:rPr>
            </w:pPr>
            <w:r>
              <w:rPr>
                <w:rFonts w:cs="Arial"/>
              </w:rPr>
              <w:t>UPDRS III (ON)</w:t>
            </w:r>
          </w:p>
        </w:tc>
        <w:tc>
          <w:tcPr>
            <w:tcW w:w="2495" w:type="dxa"/>
            <w:vAlign w:val="center"/>
          </w:tcPr>
          <w:p w14:paraId="6C17A316" w14:textId="77777777" w:rsidR="00533FFE" w:rsidRPr="00431CEE" w:rsidRDefault="00533FFE" w:rsidP="002D57F1">
            <w:pPr>
              <w:jc w:val="center"/>
              <w:rPr>
                <w:rFonts w:cs="Arial"/>
              </w:rPr>
            </w:pPr>
            <w:r>
              <w:rPr>
                <w:rFonts w:cs="Arial"/>
              </w:rPr>
              <w:t>24.44 ± 8.17</w:t>
            </w:r>
          </w:p>
        </w:tc>
      </w:tr>
      <w:tr w:rsidR="00533FFE" w:rsidRPr="00431CEE" w14:paraId="552B8941" w14:textId="77777777" w:rsidTr="005D1CB3">
        <w:tc>
          <w:tcPr>
            <w:tcW w:w="0" w:type="auto"/>
            <w:vAlign w:val="center"/>
          </w:tcPr>
          <w:p w14:paraId="48F49515" w14:textId="77777777" w:rsidR="00533FFE" w:rsidRDefault="00533FFE" w:rsidP="008009D0">
            <w:pPr>
              <w:jc w:val="both"/>
              <w:rPr>
                <w:rFonts w:cs="Arial"/>
              </w:rPr>
            </w:pPr>
            <w:r>
              <w:rPr>
                <w:rFonts w:cs="Arial"/>
              </w:rPr>
              <w:t>Time since diagnosis</w:t>
            </w:r>
          </w:p>
        </w:tc>
        <w:tc>
          <w:tcPr>
            <w:tcW w:w="2495" w:type="dxa"/>
            <w:vAlign w:val="center"/>
          </w:tcPr>
          <w:p w14:paraId="6A0822CA" w14:textId="77777777" w:rsidR="00533FFE" w:rsidRDefault="00533FFE" w:rsidP="002D57F1">
            <w:pPr>
              <w:jc w:val="center"/>
              <w:rPr>
                <w:rFonts w:cs="Arial"/>
              </w:rPr>
            </w:pPr>
            <w:r>
              <w:rPr>
                <w:rFonts w:cs="Arial"/>
              </w:rPr>
              <w:t>6.72 ± 5.79 yrs.</w:t>
            </w:r>
          </w:p>
        </w:tc>
      </w:tr>
      <w:tr w:rsidR="00533FFE" w:rsidRPr="00431CEE" w14:paraId="4E812D1B" w14:textId="77777777" w:rsidTr="005D1CB3">
        <w:tc>
          <w:tcPr>
            <w:tcW w:w="0" w:type="auto"/>
            <w:tcBorders>
              <w:bottom w:val="single" w:sz="4" w:space="0" w:color="auto"/>
            </w:tcBorders>
            <w:vAlign w:val="center"/>
          </w:tcPr>
          <w:p w14:paraId="023D75B5" w14:textId="77777777" w:rsidR="00533FFE" w:rsidRDefault="00533FFE" w:rsidP="008009D0">
            <w:pPr>
              <w:jc w:val="both"/>
              <w:rPr>
                <w:rFonts w:cs="Arial"/>
              </w:rPr>
            </w:pPr>
            <w:r>
              <w:rPr>
                <w:rFonts w:cs="Arial"/>
              </w:rPr>
              <w:t>Levodopa Equivalent Dose</w:t>
            </w:r>
          </w:p>
        </w:tc>
        <w:tc>
          <w:tcPr>
            <w:tcW w:w="2495" w:type="dxa"/>
            <w:tcBorders>
              <w:bottom w:val="single" w:sz="4" w:space="0" w:color="auto"/>
            </w:tcBorders>
            <w:vAlign w:val="center"/>
          </w:tcPr>
          <w:p w14:paraId="0AD9543C" w14:textId="77777777" w:rsidR="00533FFE" w:rsidRDefault="00533FFE" w:rsidP="002D57F1">
            <w:pPr>
              <w:jc w:val="center"/>
              <w:rPr>
                <w:rFonts w:cs="Arial"/>
              </w:rPr>
            </w:pPr>
            <w:r>
              <w:rPr>
                <w:rFonts w:cs="Arial"/>
              </w:rPr>
              <w:t>669.53 ± 230.57</w:t>
            </w:r>
          </w:p>
        </w:tc>
      </w:tr>
      <w:tr w:rsidR="00533FFE" w:rsidRPr="00431CEE" w14:paraId="0A4D150B" w14:textId="77777777" w:rsidTr="005D1CB3">
        <w:tc>
          <w:tcPr>
            <w:tcW w:w="5580" w:type="dxa"/>
            <w:gridSpan w:val="2"/>
            <w:tcBorders>
              <w:top w:val="single" w:sz="4" w:space="0" w:color="auto"/>
            </w:tcBorders>
            <w:vAlign w:val="center"/>
          </w:tcPr>
          <w:p w14:paraId="4CAC5531" w14:textId="77777777" w:rsidR="00533FFE" w:rsidRDefault="00533FFE" w:rsidP="008009D0">
            <w:pPr>
              <w:jc w:val="both"/>
              <w:rPr>
                <w:rFonts w:cs="Arial"/>
              </w:rPr>
            </w:pPr>
            <w:r>
              <w:rPr>
                <w:rFonts w:cs="Arial"/>
              </w:rPr>
              <w:t>Note: UPDRS III = part III of the MSD-UPDRS, OFF = off-medication state, ON = on-medication state.</w:t>
            </w:r>
          </w:p>
        </w:tc>
      </w:tr>
    </w:tbl>
    <w:p w14:paraId="4A2CEB1C" w14:textId="77777777" w:rsidR="00533FFE" w:rsidRDefault="00533FFE" w:rsidP="008009D0">
      <w:pPr>
        <w:jc w:val="both"/>
        <w:rPr>
          <w:rFonts w:cs="Arial"/>
        </w:rPr>
      </w:pPr>
    </w:p>
    <w:p w14:paraId="38448024" w14:textId="77777777" w:rsidR="00533FFE" w:rsidRPr="00823A47" w:rsidRDefault="00533FFE" w:rsidP="008009D0">
      <w:pPr>
        <w:jc w:val="both"/>
        <w:rPr>
          <w:rFonts w:cs="Arial"/>
        </w:rPr>
      </w:pPr>
    </w:p>
    <w:p w14:paraId="36F4BF4B" w14:textId="77777777" w:rsidR="00533FFE" w:rsidRPr="00823A47" w:rsidRDefault="00533FFE" w:rsidP="008009D0">
      <w:pPr>
        <w:jc w:val="both"/>
        <w:rPr>
          <w:rFonts w:cs="Arial"/>
        </w:rPr>
      </w:pPr>
    </w:p>
    <w:p w14:paraId="665B6E65" w14:textId="77777777" w:rsidR="00533FFE" w:rsidRPr="00823A47" w:rsidRDefault="00533FFE" w:rsidP="008009D0">
      <w:pPr>
        <w:jc w:val="both"/>
        <w:rPr>
          <w:rFonts w:cs="Arial"/>
        </w:rPr>
      </w:pPr>
    </w:p>
    <w:p w14:paraId="5CA703D6" w14:textId="77777777" w:rsidR="00533FFE" w:rsidRPr="00823A47" w:rsidRDefault="00533FFE" w:rsidP="008009D0">
      <w:pPr>
        <w:jc w:val="both"/>
        <w:rPr>
          <w:rFonts w:cs="Arial"/>
        </w:rPr>
      </w:pPr>
    </w:p>
    <w:p w14:paraId="0E4B1F35" w14:textId="77777777" w:rsidR="00533FFE" w:rsidRPr="00823A47" w:rsidRDefault="00533FFE" w:rsidP="008009D0">
      <w:pPr>
        <w:jc w:val="both"/>
        <w:rPr>
          <w:rFonts w:cs="Arial"/>
        </w:rPr>
      </w:pPr>
    </w:p>
    <w:p w14:paraId="4139CC37" w14:textId="49F5B3FE" w:rsidR="00482BD3" w:rsidRPr="00482BD3" w:rsidRDefault="00CC46AC" w:rsidP="008009D0">
      <w:pPr>
        <w:jc w:val="both"/>
        <w:rPr>
          <w:rFonts w:cs="Arial"/>
        </w:rPr>
      </w:pPr>
      <w:r>
        <w:rPr>
          <w:rFonts w:cs="Arial"/>
        </w:rPr>
        <w:br w:type="page"/>
      </w:r>
    </w:p>
    <w:tbl>
      <w:tblPr>
        <w:tblStyle w:val="TableGrid"/>
        <w:tblW w:w="6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0"/>
        <w:gridCol w:w="432"/>
        <w:gridCol w:w="1459"/>
        <w:gridCol w:w="1893"/>
        <w:gridCol w:w="357"/>
      </w:tblGrid>
      <w:tr w:rsidR="00830052" w:rsidRPr="00674605" w14:paraId="22F6115D" w14:textId="77777777" w:rsidTr="00482BD3">
        <w:tc>
          <w:tcPr>
            <w:tcW w:w="6481" w:type="dxa"/>
            <w:gridSpan w:val="5"/>
            <w:tcBorders>
              <w:bottom w:val="single" w:sz="4" w:space="0" w:color="auto"/>
            </w:tcBorders>
          </w:tcPr>
          <w:p w14:paraId="02D43B5D" w14:textId="60038FF6" w:rsidR="00830052" w:rsidRPr="00674605" w:rsidRDefault="00482BD3" w:rsidP="008009D0">
            <w:pPr>
              <w:jc w:val="both"/>
              <w:rPr>
                <w:rFonts w:cs="Arial"/>
                <w:sz w:val="22"/>
                <w:szCs w:val="22"/>
              </w:rPr>
            </w:pPr>
            <w:bookmarkStart w:id="52" w:name="_Toc527361780"/>
            <w:r>
              <w:lastRenderedPageBreak/>
              <w:t xml:space="preserve">Table </w:t>
            </w:r>
            <w:r w:rsidR="009B30EC">
              <w:rPr>
                <w:noProof/>
              </w:rPr>
              <w:fldChar w:fldCharType="begin"/>
            </w:r>
            <w:r w:rsidR="009B30EC">
              <w:rPr>
                <w:noProof/>
              </w:rPr>
              <w:instrText xml:space="preserve"> SEQ Table \* ARABIC </w:instrText>
            </w:r>
            <w:r w:rsidR="009B30EC">
              <w:rPr>
                <w:noProof/>
              </w:rPr>
              <w:fldChar w:fldCharType="separate"/>
            </w:r>
            <w:r w:rsidR="006C3AB1">
              <w:rPr>
                <w:noProof/>
              </w:rPr>
              <w:t>4</w:t>
            </w:r>
            <w:r w:rsidR="009B30EC">
              <w:rPr>
                <w:noProof/>
              </w:rPr>
              <w:fldChar w:fldCharType="end"/>
            </w:r>
            <w:r w:rsidRPr="00866DEE">
              <w:t>. The results of the data analysis stratified by medication state, task, and condition. Data are presented as mean ± SD.</w:t>
            </w:r>
            <w:bookmarkEnd w:id="52"/>
          </w:p>
        </w:tc>
      </w:tr>
      <w:tr w:rsidR="00830052" w:rsidRPr="00674605" w14:paraId="5057A4C6" w14:textId="77777777" w:rsidTr="00482BD3">
        <w:tc>
          <w:tcPr>
            <w:tcW w:w="2340" w:type="dxa"/>
            <w:vMerge w:val="restart"/>
            <w:tcBorders>
              <w:top w:val="single" w:sz="4" w:space="0" w:color="auto"/>
            </w:tcBorders>
            <w:vAlign w:val="center"/>
          </w:tcPr>
          <w:p w14:paraId="5504E791" w14:textId="77777777" w:rsidR="00830052" w:rsidRPr="00674605" w:rsidRDefault="00830052" w:rsidP="008009D0">
            <w:pPr>
              <w:jc w:val="both"/>
              <w:rPr>
                <w:rFonts w:cs="Arial"/>
                <w:b/>
                <w:sz w:val="22"/>
                <w:szCs w:val="22"/>
              </w:rPr>
            </w:pPr>
            <w:r w:rsidRPr="00674605">
              <w:rPr>
                <w:rFonts w:cs="Arial"/>
                <w:b/>
                <w:sz w:val="22"/>
                <w:szCs w:val="22"/>
              </w:rPr>
              <w:t xml:space="preserve">Variable </w:t>
            </w:r>
          </w:p>
        </w:tc>
        <w:tc>
          <w:tcPr>
            <w:tcW w:w="4141" w:type="dxa"/>
            <w:gridSpan w:val="4"/>
            <w:tcBorders>
              <w:top w:val="single" w:sz="4" w:space="0" w:color="auto"/>
            </w:tcBorders>
          </w:tcPr>
          <w:p w14:paraId="38347ACC" w14:textId="77777777" w:rsidR="00830052" w:rsidRPr="00674605" w:rsidRDefault="00830052" w:rsidP="008009D0">
            <w:pPr>
              <w:jc w:val="both"/>
              <w:rPr>
                <w:rFonts w:cs="Arial"/>
                <w:b/>
                <w:sz w:val="22"/>
                <w:szCs w:val="22"/>
              </w:rPr>
            </w:pPr>
            <w:r w:rsidRPr="00674605">
              <w:rPr>
                <w:rFonts w:cs="Arial"/>
                <w:b/>
                <w:sz w:val="22"/>
                <w:szCs w:val="22"/>
              </w:rPr>
              <w:t>Medication State</w:t>
            </w:r>
          </w:p>
        </w:tc>
      </w:tr>
      <w:tr w:rsidR="00830052" w:rsidRPr="00674605" w14:paraId="52287B1A" w14:textId="77777777" w:rsidTr="00B81083">
        <w:trPr>
          <w:trHeight w:val="77"/>
        </w:trPr>
        <w:tc>
          <w:tcPr>
            <w:tcW w:w="2340" w:type="dxa"/>
            <w:vMerge/>
            <w:tcBorders>
              <w:bottom w:val="single" w:sz="4" w:space="0" w:color="auto"/>
            </w:tcBorders>
          </w:tcPr>
          <w:p w14:paraId="4D591067" w14:textId="77777777" w:rsidR="00830052" w:rsidRPr="00674605" w:rsidRDefault="00830052" w:rsidP="008009D0">
            <w:pPr>
              <w:jc w:val="both"/>
              <w:rPr>
                <w:rFonts w:cs="Arial"/>
                <w:b/>
                <w:sz w:val="22"/>
                <w:szCs w:val="22"/>
              </w:rPr>
            </w:pPr>
          </w:p>
        </w:tc>
        <w:tc>
          <w:tcPr>
            <w:tcW w:w="1891" w:type="dxa"/>
            <w:gridSpan w:val="2"/>
            <w:tcBorders>
              <w:bottom w:val="single" w:sz="4" w:space="0" w:color="auto"/>
            </w:tcBorders>
          </w:tcPr>
          <w:p w14:paraId="6CD71C67" w14:textId="77777777" w:rsidR="00830052" w:rsidRPr="00674605" w:rsidRDefault="00830052" w:rsidP="008009D0">
            <w:pPr>
              <w:jc w:val="both"/>
              <w:rPr>
                <w:rFonts w:cs="Arial"/>
                <w:b/>
                <w:sz w:val="22"/>
                <w:szCs w:val="22"/>
              </w:rPr>
            </w:pPr>
            <w:r w:rsidRPr="00674605">
              <w:rPr>
                <w:rFonts w:cs="Arial"/>
                <w:b/>
                <w:sz w:val="22"/>
                <w:szCs w:val="22"/>
              </w:rPr>
              <w:t>OFF</w:t>
            </w:r>
          </w:p>
        </w:tc>
        <w:tc>
          <w:tcPr>
            <w:tcW w:w="2250" w:type="dxa"/>
            <w:gridSpan w:val="2"/>
            <w:tcBorders>
              <w:bottom w:val="single" w:sz="4" w:space="0" w:color="auto"/>
            </w:tcBorders>
          </w:tcPr>
          <w:p w14:paraId="13698538" w14:textId="77777777" w:rsidR="00830052" w:rsidRPr="00674605" w:rsidRDefault="00830052" w:rsidP="008009D0">
            <w:pPr>
              <w:jc w:val="both"/>
              <w:rPr>
                <w:rFonts w:cs="Arial"/>
                <w:b/>
                <w:sz w:val="22"/>
                <w:szCs w:val="22"/>
              </w:rPr>
            </w:pPr>
            <w:r w:rsidRPr="00674605">
              <w:rPr>
                <w:rFonts w:cs="Arial"/>
                <w:b/>
                <w:sz w:val="22"/>
                <w:szCs w:val="22"/>
              </w:rPr>
              <w:t>ON</w:t>
            </w:r>
          </w:p>
        </w:tc>
      </w:tr>
      <w:tr w:rsidR="00830052" w:rsidRPr="00674605" w14:paraId="7A0E860C" w14:textId="77777777" w:rsidTr="00B81083">
        <w:tc>
          <w:tcPr>
            <w:tcW w:w="2340" w:type="dxa"/>
            <w:tcBorders>
              <w:top w:val="single" w:sz="4" w:space="0" w:color="auto"/>
            </w:tcBorders>
          </w:tcPr>
          <w:p w14:paraId="76077267" w14:textId="77777777" w:rsidR="00830052" w:rsidRPr="00674605" w:rsidRDefault="00830052" w:rsidP="008009D0">
            <w:pPr>
              <w:jc w:val="both"/>
              <w:rPr>
                <w:rFonts w:cs="Arial"/>
                <w:sz w:val="22"/>
                <w:szCs w:val="22"/>
              </w:rPr>
            </w:pPr>
            <w:r w:rsidRPr="00674605">
              <w:rPr>
                <w:rFonts w:cs="Arial"/>
                <w:sz w:val="22"/>
                <w:szCs w:val="22"/>
              </w:rPr>
              <w:t>COP</w:t>
            </w:r>
            <w:r w:rsidRPr="00674605">
              <w:rPr>
                <w:rFonts w:cs="Arial"/>
                <w:sz w:val="22"/>
                <w:szCs w:val="22"/>
                <w:vertAlign w:val="subscript"/>
              </w:rPr>
              <w:t>area</w:t>
            </w:r>
            <w:r w:rsidRPr="00674605">
              <w:rPr>
                <w:rFonts w:cs="Arial"/>
                <w:sz w:val="22"/>
                <w:szCs w:val="22"/>
              </w:rPr>
              <w:t xml:space="preserve"> (cm</w:t>
            </w:r>
            <w:r w:rsidRPr="00312663">
              <w:rPr>
                <w:rFonts w:cs="Arial"/>
                <w:sz w:val="22"/>
                <w:szCs w:val="22"/>
                <w:vertAlign w:val="superscript"/>
              </w:rPr>
              <w:t>2</w:t>
            </w:r>
            <w:r w:rsidRPr="00674605">
              <w:rPr>
                <w:rFonts w:cs="Arial"/>
                <w:sz w:val="22"/>
                <w:szCs w:val="22"/>
              </w:rPr>
              <w:t>)</w:t>
            </w:r>
          </w:p>
        </w:tc>
        <w:tc>
          <w:tcPr>
            <w:tcW w:w="1891" w:type="dxa"/>
            <w:gridSpan w:val="2"/>
            <w:tcBorders>
              <w:top w:val="single" w:sz="4" w:space="0" w:color="auto"/>
            </w:tcBorders>
          </w:tcPr>
          <w:p w14:paraId="16BCD115" w14:textId="77777777" w:rsidR="00830052" w:rsidRPr="00674605" w:rsidRDefault="00830052" w:rsidP="008009D0">
            <w:pPr>
              <w:jc w:val="both"/>
              <w:rPr>
                <w:rFonts w:cs="Arial"/>
                <w:sz w:val="22"/>
                <w:szCs w:val="22"/>
              </w:rPr>
            </w:pPr>
          </w:p>
        </w:tc>
        <w:tc>
          <w:tcPr>
            <w:tcW w:w="2250" w:type="dxa"/>
            <w:gridSpan w:val="2"/>
            <w:tcBorders>
              <w:top w:val="single" w:sz="4" w:space="0" w:color="auto"/>
            </w:tcBorders>
          </w:tcPr>
          <w:p w14:paraId="64ADC940" w14:textId="77777777" w:rsidR="00830052" w:rsidRPr="00674605" w:rsidRDefault="00830052" w:rsidP="008009D0">
            <w:pPr>
              <w:jc w:val="both"/>
              <w:rPr>
                <w:rFonts w:cs="Arial"/>
                <w:sz w:val="22"/>
                <w:szCs w:val="22"/>
              </w:rPr>
            </w:pPr>
          </w:p>
        </w:tc>
      </w:tr>
      <w:tr w:rsidR="00830052" w:rsidRPr="00674605" w14:paraId="001F93F7" w14:textId="77777777" w:rsidTr="00B81083">
        <w:tc>
          <w:tcPr>
            <w:tcW w:w="2340" w:type="dxa"/>
          </w:tcPr>
          <w:p w14:paraId="1A39667C" w14:textId="77777777" w:rsidR="00830052" w:rsidRPr="00674605" w:rsidRDefault="00830052" w:rsidP="008009D0">
            <w:pPr>
              <w:jc w:val="both"/>
              <w:rPr>
                <w:rFonts w:cs="Arial"/>
                <w:b/>
                <w:sz w:val="22"/>
                <w:szCs w:val="22"/>
              </w:rPr>
            </w:pPr>
            <w:r w:rsidRPr="00674605">
              <w:rPr>
                <w:rFonts w:cs="Arial"/>
                <w:sz w:val="22"/>
                <w:szCs w:val="22"/>
              </w:rPr>
              <w:t>S</w:t>
            </w:r>
            <w:r>
              <w:rPr>
                <w:rFonts w:cs="Arial"/>
                <w:sz w:val="22"/>
                <w:szCs w:val="22"/>
              </w:rPr>
              <w:t>TE</w:t>
            </w:r>
            <w:r w:rsidRPr="00674605">
              <w:rPr>
                <w:rFonts w:cs="Arial"/>
                <w:sz w:val="22"/>
                <w:szCs w:val="22"/>
              </w:rPr>
              <w:t>O</w:t>
            </w:r>
          </w:p>
        </w:tc>
        <w:tc>
          <w:tcPr>
            <w:tcW w:w="1891" w:type="dxa"/>
            <w:gridSpan w:val="2"/>
          </w:tcPr>
          <w:p w14:paraId="271D5AB8" w14:textId="77777777" w:rsidR="00830052" w:rsidRPr="00674605" w:rsidRDefault="00830052" w:rsidP="00632002">
            <w:pPr>
              <w:jc w:val="center"/>
              <w:rPr>
                <w:rFonts w:cs="Arial"/>
                <w:sz w:val="22"/>
                <w:szCs w:val="22"/>
              </w:rPr>
            </w:pPr>
            <w:r w:rsidRPr="00674605">
              <w:rPr>
                <w:rFonts w:cs="Arial"/>
              </w:rPr>
              <w:t>1.73 ± 1.00</w:t>
            </w:r>
          </w:p>
        </w:tc>
        <w:tc>
          <w:tcPr>
            <w:tcW w:w="2250" w:type="dxa"/>
            <w:gridSpan w:val="2"/>
          </w:tcPr>
          <w:p w14:paraId="2C2E1D1C" w14:textId="77777777" w:rsidR="00830052" w:rsidRPr="00674605" w:rsidRDefault="00830052" w:rsidP="00632002">
            <w:pPr>
              <w:jc w:val="center"/>
              <w:rPr>
                <w:rFonts w:cs="Arial"/>
                <w:sz w:val="22"/>
                <w:szCs w:val="22"/>
              </w:rPr>
            </w:pPr>
            <w:r>
              <w:rPr>
                <w:rFonts w:cs="Arial"/>
                <w:sz w:val="22"/>
                <w:szCs w:val="22"/>
              </w:rPr>
              <w:t>4.29 ± 5.05</w:t>
            </w:r>
          </w:p>
        </w:tc>
      </w:tr>
      <w:tr w:rsidR="00830052" w:rsidRPr="00674605" w14:paraId="7E4D4B4C" w14:textId="77777777" w:rsidTr="00B81083">
        <w:tc>
          <w:tcPr>
            <w:tcW w:w="2340" w:type="dxa"/>
          </w:tcPr>
          <w:p w14:paraId="567C2792" w14:textId="77777777" w:rsidR="00830052" w:rsidRPr="00674605" w:rsidRDefault="00830052" w:rsidP="008009D0">
            <w:pPr>
              <w:jc w:val="both"/>
              <w:rPr>
                <w:rFonts w:cs="Arial"/>
                <w:b/>
                <w:sz w:val="22"/>
                <w:szCs w:val="22"/>
              </w:rPr>
            </w:pPr>
            <w:r w:rsidRPr="00674605">
              <w:rPr>
                <w:rFonts w:cs="Arial"/>
                <w:sz w:val="22"/>
                <w:szCs w:val="22"/>
              </w:rPr>
              <w:t>S</w:t>
            </w:r>
            <w:r>
              <w:rPr>
                <w:rFonts w:cs="Arial"/>
                <w:sz w:val="22"/>
                <w:szCs w:val="22"/>
              </w:rPr>
              <w:t>TE</w:t>
            </w:r>
            <w:r w:rsidRPr="00674605">
              <w:rPr>
                <w:rFonts w:cs="Arial"/>
                <w:sz w:val="22"/>
                <w:szCs w:val="22"/>
              </w:rPr>
              <w:t>C</w:t>
            </w:r>
          </w:p>
        </w:tc>
        <w:tc>
          <w:tcPr>
            <w:tcW w:w="1891" w:type="dxa"/>
            <w:gridSpan w:val="2"/>
          </w:tcPr>
          <w:p w14:paraId="7406F8C2" w14:textId="77777777" w:rsidR="00830052" w:rsidRPr="00674605" w:rsidRDefault="00830052" w:rsidP="00632002">
            <w:pPr>
              <w:jc w:val="center"/>
              <w:rPr>
                <w:rFonts w:cs="Arial"/>
                <w:sz w:val="22"/>
                <w:szCs w:val="22"/>
              </w:rPr>
            </w:pPr>
            <w:r w:rsidRPr="00674605">
              <w:rPr>
                <w:rFonts w:cs="Arial"/>
                <w:sz w:val="22"/>
                <w:szCs w:val="22"/>
              </w:rPr>
              <w:t>2.54</w:t>
            </w:r>
            <w:r>
              <w:rPr>
                <w:rFonts w:cs="Arial"/>
                <w:sz w:val="22"/>
                <w:szCs w:val="22"/>
              </w:rPr>
              <w:t xml:space="preserve"> ± 2.04</w:t>
            </w:r>
          </w:p>
        </w:tc>
        <w:tc>
          <w:tcPr>
            <w:tcW w:w="2250" w:type="dxa"/>
            <w:gridSpan w:val="2"/>
          </w:tcPr>
          <w:p w14:paraId="4A822835" w14:textId="77777777" w:rsidR="00830052" w:rsidRPr="00674605" w:rsidRDefault="00830052" w:rsidP="00632002">
            <w:pPr>
              <w:jc w:val="center"/>
              <w:rPr>
                <w:rFonts w:cs="Arial"/>
                <w:sz w:val="22"/>
                <w:szCs w:val="22"/>
              </w:rPr>
            </w:pPr>
            <w:r>
              <w:rPr>
                <w:rFonts w:cs="Arial"/>
                <w:sz w:val="22"/>
                <w:szCs w:val="22"/>
              </w:rPr>
              <w:t>4.34 ± 2.56</w:t>
            </w:r>
          </w:p>
        </w:tc>
      </w:tr>
      <w:tr w:rsidR="00830052" w:rsidRPr="00674605" w14:paraId="341C0292" w14:textId="77777777" w:rsidTr="00B81083">
        <w:tc>
          <w:tcPr>
            <w:tcW w:w="2340" w:type="dxa"/>
          </w:tcPr>
          <w:p w14:paraId="764E9ED6" w14:textId="77777777" w:rsidR="00830052" w:rsidRPr="00674605" w:rsidRDefault="00830052" w:rsidP="008009D0">
            <w:pPr>
              <w:jc w:val="both"/>
              <w:rPr>
                <w:rFonts w:cs="Arial"/>
                <w:b/>
                <w:sz w:val="22"/>
                <w:szCs w:val="22"/>
              </w:rPr>
            </w:pPr>
            <w:r w:rsidRPr="00674605">
              <w:rPr>
                <w:rFonts w:cs="Arial"/>
                <w:sz w:val="22"/>
                <w:szCs w:val="22"/>
              </w:rPr>
              <w:t>D</w:t>
            </w:r>
            <w:r>
              <w:rPr>
                <w:rFonts w:cs="Arial"/>
                <w:sz w:val="22"/>
                <w:szCs w:val="22"/>
              </w:rPr>
              <w:t>TE</w:t>
            </w:r>
            <w:r w:rsidRPr="00674605">
              <w:rPr>
                <w:rFonts w:cs="Arial"/>
                <w:sz w:val="22"/>
                <w:szCs w:val="22"/>
              </w:rPr>
              <w:t>O</w:t>
            </w:r>
          </w:p>
        </w:tc>
        <w:tc>
          <w:tcPr>
            <w:tcW w:w="1891" w:type="dxa"/>
            <w:gridSpan w:val="2"/>
          </w:tcPr>
          <w:p w14:paraId="41307E3D" w14:textId="77777777" w:rsidR="00830052" w:rsidRPr="00674605" w:rsidRDefault="00830052" w:rsidP="00632002">
            <w:pPr>
              <w:jc w:val="center"/>
              <w:rPr>
                <w:rFonts w:cs="Arial"/>
                <w:sz w:val="22"/>
                <w:szCs w:val="22"/>
              </w:rPr>
            </w:pPr>
            <w:r>
              <w:rPr>
                <w:rFonts w:cs="Arial"/>
                <w:sz w:val="22"/>
                <w:szCs w:val="22"/>
              </w:rPr>
              <w:t>2.03 ± 1.72</w:t>
            </w:r>
          </w:p>
        </w:tc>
        <w:tc>
          <w:tcPr>
            <w:tcW w:w="2250" w:type="dxa"/>
            <w:gridSpan w:val="2"/>
          </w:tcPr>
          <w:p w14:paraId="7C67C5CB" w14:textId="77777777" w:rsidR="00830052" w:rsidRPr="00674605" w:rsidRDefault="00830052" w:rsidP="00632002">
            <w:pPr>
              <w:jc w:val="center"/>
              <w:rPr>
                <w:rFonts w:cs="Arial"/>
                <w:sz w:val="22"/>
                <w:szCs w:val="22"/>
              </w:rPr>
            </w:pPr>
            <w:r>
              <w:rPr>
                <w:rFonts w:cs="Arial"/>
                <w:sz w:val="22"/>
                <w:szCs w:val="22"/>
              </w:rPr>
              <w:t>2.75 ± 1.85</w:t>
            </w:r>
          </w:p>
        </w:tc>
      </w:tr>
      <w:tr w:rsidR="00830052" w:rsidRPr="00674605" w14:paraId="458B4F2A" w14:textId="77777777" w:rsidTr="00B81083">
        <w:tc>
          <w:tcPr>
            <w:tcW w:w="2340" w:type="dxa"/>
          </w:tcPr>
          <w:p w14:paraId="319B5E67" w14:textId="77777777" w:rsidR="00830052" w:rsidRPr="00674605" w:rsidRDefault="00830052" w:rsidP="008009D0">
            <w:pPr>
              <w:jc w:val="both"/>
              <w:rPr>
                <w:rFonts w:cs="Arial"/>
                <w:b/>
                <w:sz w:val="22"/>
                <w:szCs w:val="22"/>
              </w:rPr>
            </w:pPr>
            <w:r w:rsidRPr="00674605">
              <w:rPr>
                <w:rFonts w:cs="Arial"/>
                <w:sz w:val="22"/>
                <w:szCs w:val="22"/>
              </w:rPr>
              <w:t>D</w:t>
            </w:r>
            <w:r>
              <w:rPr>
                <w:rFonts w:cs="Arial"/>
                <w:sz w:val="22"/>
                <w:szCs w:val="22"/>
              </w:rPr>
              <w:t>TE</w:t>
            </w:r>
            <w:r w:rsidRPr="00674605">
              <w:rPr>
                <w:rFonts w:cs="Arial"/>
                <w:sz w:val="22"/>
                <w:szCs w:val="22"/>
              </w:rPr>
              <w:t>C</w:t>
            </w:r>
          </w:p>
        </w:tc>
        <w:tc>
          <w:tcPr>
            <w:tcW w:w="1891" w:type="dxa"/>
            <w:gridSpan w:val="2"/>
          </w:tcPr>
          <w:p w14:paraId="30815436" w14:textId="77777777" w:rsidR="00830052" w:rsidRPr="00674605" w:rsidRDefault="00830052" w:rsidP="00632002">
            <w:pPr>
              <w:jc w:val="center"/>
              <w:rPr>
                <w:rFonts w:cs="Arial"/>
                <w:sz w:val="22"/>
                <w:szCs w:val="22"/>
              </w:rPr>
            </w:pPr>
            <w:r>
              <w:rPr>
                <w:rFonts w:cs="Arial"/>
                <w:sz w:val="22"/>
                <w:szCs w:val="22"/>
              </w:rPr>
              <w:t>1.89 ± 0.79</w:t>
            </w:r>
          </w:p>
        </w:tc>
        <w:tc>
          <w:tcPr>
            <w:tcW w:w="2250" w:type="dxa"/>
            <w:gridSpan w:val="2"/>
          </w:tcPr>
          <w:p w14:paraId="6C885755" w14:textId="77777777" w:rsidR="00830052" w:rsidRPr="00674605" w:rsidRDefault="00830052" w:rsidP="00632002">
            <w:pPr>
              <w:jc w:val="center"/>
              <w:rPr>
                <w:rFonts w:cs="Arial"/>
                <w:sz w:val="22"/>
                <w:szCs w:val="22"/>
              </w:rPr>
            </w:pPr>
            <w:r>
              <w:rPr>
                <w:rFonts w:cs="Arial"/>
                <w:sz w:val="22"/>
                <w:szCs w:val="22"/>
              </w:rPr>
              <w:t>2.89 ± 1.76</w:t>
            </w:r>
          </w:p>
        </w:tc>
      </w:tr>
      <w:tr w:rsidR="00830052" w:rsidRPr="00674605" w14:paraId="67E38DEE" w14:textId="77777777" w:rsidTr="00B81083">
        <w:tc>
          <w:tcPr>
            <w:tcW w:w="2340" w:type="dxa"/>
          </w:tcPr>
          <w:p w14:paraId="0C68DEB2" w14:textId="77777777" w:rsidR="00830052" w:rsidRPr="00674605" w:rsidRDefault="00830052" w:rsidP="008009D0">
            <w:pPr>
              <w:jc w:val="both"/>
              <w:rPr>
                <w:rFonts w:cs="Arial"/>
                <w:sz w:val="22"/>
                <w:szCs w:val="22"/>
              </w:rPr>
            </w:pPr>
            <w:r>
              <w:rPr>
                <w:rFonts w:cs="Arial"/>
                <w:sz w:val="22"/>
                <w:szCs w:val="22"/>
              </w:rPr>
              <w:t>AP-Velocity</w:t>
            </w:r>
            <w:r w:rsidRPr="00674605">
              <w:rPr>
                <w:rFonts w:cs="Arial"/>
                <w:sz w:val="22"/>
                <w:szCs w:val="22"/>
              </w:rPr>
              <w:t xml:space="preserve"> (cm/s)</w:t>
            </w:r>
          </w:p>
        </w:tc>
        <w:tc>
          <w:tcPr>
            <w:tcW w:w="1891" w:type="dxa"/>
            <w:gridSpan w:val="2"/>
          </w:tcPr>
          <w:p w14:paraId="2E33FD60" w14:textId="77777777" w:rsidR="00830052" w:rsidRPr="00674605" w:rsidRDefault="00830052" w:rsidP="00632002">
            <w:pPr>
              <w:jc w:val="center"/>
              <w:rPr>
                <w:rFonts w:cs="Arial"/>
                <w:sz w:val="22"/>
                <w:szCs w:val="22"/>
              </w:rPr>
            </w:pPr>
          </w:p>
        </w:tc>
        <w:tc>
          <w:tcPr>
            <w:tcW w:w="2250" w:type="dxa"/>
            <w:gridSpan w:val="2"/>
          </w:tcPr>
          <w:p w14:paraId="1B8C13E2" w14:textId="77777777" w:rsidR="00830052" w:rsidRPr="00674605" w:rsidRDefault="00830052" w:rsidP="00632002">
            <w:pPr>
              <w:jc w:val="center"/>
              <w:rPr>
                <w:rFonts w:cs="Arial"/>
                <w:sz w:val="22"/>
                <w:szCs w:val="22"/>
              </w:rPr>
            </w:pPr>
          </w:p>
        </w:tc>
      </w:tr>
      <w:tr w:rsidR="00830052" w:rsidRPr="00674605" w14:paraId="141D0FC5" w14:textId="77777777" w:rsidTr="00B81083">
        <w:tc>
          <w:tcPr>
            <w:tcW w:w="2340" w:type="dxa"/>
          </w:tcPr>
          <w:p w14:paraId="1FC8D295"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O</w:t>
            </w:r>
          </w:p>
        </w:tc>
        <w:tc>
          <w:tcPr>
            <w:tcW w:w="1891" w:type="dxa"/>
            <w:gridSpan w:val="2"/>
          </w:tcPr>
          <w:p w14:paraId="76435FEA" w14:textId="77777777" w:rsidR="00830052" w:rsidRPr="00674605" w:rsidRDefault="00830052" w:rsidP="00632002">
            <w:pPr>
              <w:jc w:val="center"/>
              <w:rPr>
                <w:rFonts w:cs="Arial"/>
                <w:sz w:val="22"/>
                <w:szCs w:val="22"/>
              </w:rPr>
            </w:pPr>
            <w:r>
              <w:rPr>
                <w:rFonts w:cs="Arial"/>
                <w:sz w:val="22"/>
                <w:szCs w:val="22"/>
              </w:rPr>
              <w:t>1.27 ± 0.27</w:t>
            </w:r>
          </w:p>
        </w:tc>
        <w:tc>
          <w:tcPr>
            <w:tcW w:w="2250" w:type="dxa"/>
            <w:gridSpan w:val="2"/>
          </w:tcPr>
          <w:p w14:paraId="11C38048" w14:textId="77777777" w:rsidR="00830052" w:rsidRPr="00674605" w:rsidRDefault="00830052" w:rsidP="00632002">
            <w:pPr>
              <w:jc w:val="center"/>
              <w:rPr>
                <w:rFonts w:cs="Arial"/>
                <w:sz w:val="22"/>
                <w:szCs w:val="22"/>
              </w:rPr>
            </w:pPr>
            <w:r>
              <w:rPr>
                <w:rFonts w:cs="Arial"/>
                <w:sz w:val="22"/>
                <w:szCs w:val="22"/>
              </w:rPr>
              <w:t>1.35 ± 0.49</w:t>
            </w:r>
          </w:p>
        </w:tc>
      </w:tr>
      <w:tr w:rsidR="00830052" w:rsidRPr="00674605" w14:paraId="2F572541" w14:textId="77777777" w:rsidTr="00B81083">
        <w:tc>
          <w:tcPr>
            <w:tcW w:w="2340" w:type="dxa"/>
          </w:tcPr>
          <w:p w14:paraId="39F2A23A"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C</w:t>
            </w:r>
          </w:p>
        </w:tc>
        <w:tc>
          <w:tcPr>
            <w:tcW w:w="1891" w:type="dxa"/>
            <w:gridSpan w:val="2"/>
          </w:tcPr>
          <w:p w14:paraId="2C46649C" w14:textId="77777777" w:rsidR="00830052" w:rsidRPr="00674605" w:rsidRDefault="00830052" w:rsidP="00632002">
            <w:pPr>
              <w:jc w:val="center"/>
              <w:rPr>
                <w:rFonts w:cs="Arial"/>
                <w:sz w:val="22"/>
                <w:szCs w:val="22"/>
              </w:rPr>
            </w:pPr>
            <w:r>
              <w:rPr>
                <w:rFonts w:cs="Arial"/>
                <w:sz w:val="22"/>
                <w:szCs w:val="22"/>
              </w:rPr>
              <w:t>1.89 ± 0.55</w:t>
            </w:r>
          </w:p>
        </w:tc>
        <w:tc>
          <w:tcPr>
            <w:tcW w:w="2250" w:type="dxa"/>
            <w:gridSpan w:val="2"/>
          </w:tcPr>
          <w:p w14:paraId="238E90D6" w14:textId="77777777" w:rsidR="00830052" w:rsidRPr="00674605" w:rsidRDefault="00830052" w:rsidP="00632002">
            <w:pPr>
              <w:jc w:val="center"/>
              <w:rPr>
                <w:rFonts w:cs="Arial"/>
                <w:sz w:val="22"/>
                <w:szCs w:val="22"/>
              </w:rPr>
            </w:pPr>
            <w:r>
              <w:rPr>
                <w:rFonts w:cs="Arial"/>
                <w:sz w:val="22"/>
                <w:szCs w:val="22"/>
              </w:rPr>
              <w:t>1.98 ± 0.70</w:t>
            </w:r>
          </w:p>
        </w:tc>
      </w:tr>
      <w:tr w:rsidR="00830052" w:rsidRPr="00674605" w14:paraId="5D6A3261" w14:textId="77777777" w:rsidTr="00B81083">
        <w:tc>
          <w:tcPr>
            <w:tcW w:w="2340" w:type="dxa"/>
          </w:tcPr>
          <w:p w14:paraId="3D3CFB57"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O</w:t>
            </w:r>
          </w:p>
        </w:tc>
        <w:tc>
          <w:tcPr>
            <w:tcW w:w="1891" w:type="dxa"/>
            <w:gridSpan w:val="2"/>
          </w:tcPr>
          <w:p w14:paraId="67831271" w14:textId="77777777" w:rsidR="00830052" w:rsidRPr="00674605" w:rsidRDefault="00830052" w:rsidP="00632002">
            <w:pPr>
              <w:jc w:val="center"/>
              <w:rPr>
                <w:rFonts w:cs="Arial"/>
                <w:sz w:val="22"/>
                <w:szCs w:val="22"/>
              </w:rPr>
            </w:pPr>
            <w:r>
              <w:rPr>
                <w:rFonts w:cs="Arial"/>
                <w:sz w:val="22"/>
                <w:szCs w:val="22"/>
              </w:rPr>
              <w:t>1.25 ± 0.35</w:t>
            </w:r>
          </w:p>
        </w:tc>
        <w:tc>
          <w:tcPr>
            <w:tcW w:w="2250" w:type="dxa"/>
            <w:gridSpan w:val="2"/>
          </w:tcPr>
          <w:p w14:paraId="2A677116" w14:textId="77777777" w:rsidR="00830052" w:rsidRPr="00674605" w:rsidRDefault="00830052" w:rsidP="00632002">
            <w:pPr>
              <w:jc w:val="center"/>
              <w:rPr>
                <w:rFonts w:cs="Arial"/>
                <w:sz w:val="22"/>
                <w:szCs w:val="22"/>
              </w:rPr>
            </w:pPr>
            <w:r>
              <w:rPr>
                <w:rFonts w:cs="Arial"/>
                <w:sz w:val="22"/>
                <w:szCs w:val="22"/>
              </w:rPr>
              <w:t>1.43 ± 0.49</w:t>
            </w:r>
          </w:p>
        </w:tc>
      </w:tr>
      <w:tr w:rsidR="00830052" w:rsidRPr="00674605" w14:paraId="33D67561" w14:textId="77777777" w:rsidTr="00B81083">
        <w:tc>
          <w:tcPr>
            <w:tcW w:w="2340" w:type="dxa"/>
          </w:tcPr>
          <w:p w14:paraId="4E1BA7D3"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C</w:t>
            </w:r>
          </w:p>
        </w:tc>
        <w:tc>
          <w:tcPr>
            <w:tcW w:w="1891" w:type="dxa"/>
            <w:gridSpan w:val="2"/>
          </w:tcPr>
          <w:p w14:paraId="16023BC5" w14:textId="77777777" w:rsidR="00830052" w:rsidRPr="00674605" w:rsidRDefault="00830052" w:rsidP="00632002">
            <w:pPr>
              <w:jc w:val="center"/>
              <w:rPr>
                <w:rFonts w:cs="Arial"/>
                <w:sz w:val="22"/>
                <w:szCs w:val="22"/>
              </w:rPr>
            </w:pPr>
            <w:r>
              <w:rPr>
                <w:rFonts w:cs="Arial"/>
                <w:sz w:val="22"/>
                <w:szCs w:val="22"/>
              </w:rPr>
              <w:t>1.67 ± 0.44</w:t>
            </w:r>
          </w:p>
        </w:tc>
        <w:tc>
          <w:tcPr>
            <w:tcW w:w="2250" w:type="dxa"/>
            <w:gridSpan w:val="2"/>
          </w:tcPr>
          <w:p w14:paraId="6EBBC08B" w14:textId="77777777" w:rsidR="00830052" w:rsidRPr="00674605" w:rsidRDefault="00830052" w:rsidP="00632002">
            <w:pPr>
              <w:jc w:val="center"/>
              <w:rPr>
                <w:rFonts w:cs="Arial"/>
                <w:sz w:val="22"/>
                <w:szCs w:val="22"/>
              </w:rPr>
            </w:pPr>
            <w:r>
              <w:rPr>
                <w:rFonts w:cs="Arial"/>
                <w:sz w:val="22"/>
                <w:szCs w:val="22"/>
              </w:rPr>
              <w:t>1.73 ± 0.50</w:t>
            </w:r>
          </w:p>
        </w:tc>
      </w:tr>
      <w:tr w:rsidR="00830052" w:rsidRPr="00674605" w14:paraId="30E461CC" w14:textId="77777777" w:rsidTr="00B81083">
        <w:tc>
          <w:tcPr>
            <w:tcW w:w="2340" w:type="dxa"/>
          </w:tcPr>
          <w:p w14:paraId="4561DED5" w14:textId="77777777" w:rsidR="00830052" w:rsidRPr="00674605" w:rsidRDefault="00830052" w:rsidP="008009D0">
            <w:pPr>
              <w:jc w:val="both"/>
              <w:rPr>
                <w:rFonts w:cs="Arial"/>
                <w:sz w:val="22"/>
                <w:szCs w:val="22"/>
              </w:rPr>
            </w:pPr>
            <w:r>
              <w:rPr>
                <w:rFonts w:cs="Arial"/>
                <w:sz w:val="22"/>
                <w:szCs w:val="22"/>
              </w:rPr>
              <w:t>ML-Velocity</w:t>
            </w:r>
            <w:r w:rsidRPr="00674605">
              <w:rPr>
                <w:rFonts w:cs="Arial"/>
                <w:sz w:val="22"/>
                <w:szCs w:val="22"/>
              </w:rPr>
              <w:t xml:space="preserve"> (cm/s)</w:t>
            </w:r>
          </w:p>
        </w:tc>
        <w:tc>
          <w:tcPr>
            <w:tcW w:w="1891" w:type="dxa"/>
            <w:gridSpan w:val="2"/>
          </w:tcPr>
          <w:p w14:paraId="56AE6DFD" w14:textId="77777777" w:rsidR="00830052" w:rsidRPr="00674605" w:rsidRDefault="00830052" w:rsidP="00632002">
            <w:pPr>
              <w:jc w:val="center"/>
              <w:rPr>
                <w:rFonts w:cs="Arial"/>
                <w:sz w:val="22"/>
                <w:szCs w:val="22"/>
              </w:rPr>
            </w:pPr>
          </w:p>
        </w:tc>
        <w:tc>
          <w:tcPr>
            <w:tcW w:w="2250" w:type="dxa"/>
            <w:gridSpan w:val="2"/>
          </w:tcPr>
          <w:p w14:paraId="7CBE703A" w14:textId="77777777" w:rsidR="00830052" w:rsidRPr="00674605" w:rsidRDefault="00830052" w:rsidP="00632002">
            <w:pPr>
              <w:jc w:val="center"/>
              <w:rPr>
                <w:rFonts w:cs="Arial"/>
                <w:sz w:val="22"/>
                <w:szCs w:val="22"/>
              </w:rPr>
            </w:pPr>
          </w:p>
        </w:tc>
      </w:tr>
      <w:tr w:rsidR="00830052" w:rsidRPr="00674605" w14:paraId="7EA966D5" w14:textId="77777777" w:rsidTr="00B81083">
        <w:tc>
          <w:tcPr>
            <w:tcW w:w="2340" w:type="dxa"/>
          </w:tcPr>
          <w:p w14:paraId="4488AB59"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O</w:t>
            </w:r>
          </w:p>
        </w:tc>
        <w:tc>
          <w:tcPr>
            <w:tcW w:w="1891" w:type="dxa"/>
            <w:gridSpan w:val="2"/>
          </w:tcPr>
          <w:p w14:paraId="4A223FCF" w14:textId="77777777" w:rsidR="00830052" w:rsidRPr="00674605" w:rsidRDefault="00830052" w:rsidP="00632002">
            <w:pPr>
              <w:jc w:val="center"/>
              <w:rPr>
                <w:rFonts w:cs="Arial"/>
                <w:sz w:val="22"/>
                <w:szCs w:val="22"/>
              </w:rPr>
            </w:pPr>
            <w:r>
              <w:rPr>
                <w:rFonts w:cs="Arial"/>
                <w:sz w:val="22"/>
                <w:szCs w:val="22"/>
              </w:rPr>
              <w:t>0.64 ± 0.30</w:t>
            </w:r>
          </w:p>
        </w:tc>
        <w:tc>
          <w:tcPr>
            <w:tcW w:w="2250" w:type="dxa"/>
            <w:gridSpan w:val="2"/>
          </w:tcPr>
          <w:p w14:paraId="1EF6D72C" w14:textId="77777777" w:rsidR="00830052" w:rsidRPr="00674605" w:rsidRDefault="00830052" w:rsidP="00632002">
            <w:pPr>
              <w:jc w:val="center"/>
              <w:rPr>
                <w:rFonts w:cs="Arial"/>
                <w:sz w:val="22"/>
                <w:szCs w:val="22"/>
              </w:rPr>
            </w:pPr>
            <w:r>
              <w:rPr>
                <w:rFonts w:cs="Arial"/>
                <w:sz w:val="22"/>
                <w:szCs w:val="22"/>
              </w:rPr>
              <w:t>0.58 ± 0.23</w:t>
            </w:r>
          </w:p>
        </w:tc>
      </w:tr>
      <w:tr w:rsidR="00830052" w:rsidRPr="00674605" w14:paraId="5A050DC5" w14:textId="77777777" w:rsidTr="00B81083">
        <w:tc>
          <w:tcPr>
            <w:tcW w:w="2340" w:type="dxa"/>
          </w:tcPr>
          <w:p w14:paraId="43DAEDE4"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C</w:t>
            </w:r>
          </w:p>
        </w:tc>
        <w:tc>
          <w:tcPr>
            <w:tcW w:w="1891" w:type="dxa"/>
            <w:gridSpan w:val="2"/>
          </w:tcPr>
          <w:p w14:paraId="40E52F0D" w14:textId="77777777" w:rsidR="00830052" w:rsidRPr="00674605" w:rsidRDefault="00830052" w:rsidP="00632002">
            <w:pPr>
              <w:jc w:val="center"/>
              <w:rPr>
                <w:rFonts w:cs="Arial"/>
                <w:sz w:val="22"/>
                <w:szCs w:val="22"/>
              </w:rPr>
            </w:pPr>
            <w:r>
              <w:rPr>
                <w:rFonts w:cs="Arial"/>
                <w:sz w:val="22"/>
                <w:szCs w:val="22"/>
              </w:rPr>
              <w:t>0.76 ± 0.35</w:t>
            </w:r>
          </w:p>
        </w:tc>
        <w:tc>
          <w:tcPr>
            <w:tcW w:w="2250" w:type="dxa"/>
            <w:gridSpan w:val="2"/>
          </w:tcPr>
          <w:p w14:paraId="334ADCCA" w14:textId="77777777" w:rsidR="00830052" w:rsidRPr="00674605" w:rsidRDefault="00830052" w:rsidP="00632002">
            <w:pPr>
              <w:jc w:val="center"/>
              <w:rPr>
                <w:rFonts w:cs="Arial"/>
                <w:sz w:val="22"/>
                <w:szCs w:val="22"/>
              </w:rPr>
            </w:pPr>
            <w:r>
              <w:rPr>
                <w:rFonts w:cs="Arial"/>
                <w:sz w:val="22"/>
                <w:szCs w:val="22"/>
              </w:rPr>
              <w:t>0.72 ± 0.30</w:t>
            </w:r>
          </w:p>
        </w:tc>
      </w:tr>
      <w:tr w:rsidR="00830052" w:rsidRPr="00674605" w14:paraId="62F301C7" w14:textId="77777777" w:rsidTr="00B81083">
        <w:tc>
          <w:tcPr>
            <w:tcW w:w="2340" w:type="dxa"/>
          </w:tcPr>
          <w:p w14:paraId="0EEE16FC"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O</w:t>
            </w:r>
          </w:p>
        </w:tc>
        <w:tc>
          <w:tcPr>
            <w:tcW w:w="1891" w:type="dxa"/>
            <w:gridSpan w:val="2"/>
          </w:tcPr>
          <w:p w14:paraId="5EF481E9" w14:textId="77777777" w:rsidR="00830052" w:rsidRPr="00674605" w:rsidRDefault="00830052" w:rsidP="00632002">
            <w:pPr>
              <w:jc w:val="center"/>
              <w:rPr>
                <w:rFonts w:cs="Arial"/>
                <w:sz w:val="22"/>
                <w:szCs w:val="22"/>
              </w:rPr>
            </w:pPr>
            <w:r>
              <w:rPr>
                <w:rFonts w:cs="Arial"/>
                <w:sz w:val="22"/>
                <w:szCs w:val="22"/>
              </w:rPr>
              <w:t>0.71 ± 0.41</w:t>
            </w:r>
          </w:p>
        </w:tc>
        <w:tc>
          <w:tcPr>
            <w:tcW w:w="2250" w:type="dxa"/>
            <w:gridSpan w:val="2"/>
          </w:tcPr>
          <w:p w14:paraId="6528A29B" w14:textId="77777777" w:rsidR="00830052" w:rsidRPr="00674605" w:rsidRDefault="00830052" w:rsidP="00632002">
            <w:pPr>
              <w:jc w:val="center"/>
              <w:rPr>
                <w:rFonts w:cs="Arial"/>
                <w:sz w:val="22"/>
                <w:szCs w:val="22"/>
              </w:rPr>
            </w:pPr>
            <w:r>
              <w:rPr>
                <w:rFonts w:cs="Arial"/>
                <w:sz w:val="22"/>
                <w:szCs w:val="22"/>
              </w:rPr>
              <w:t>0.64 ± 0.24</w:t>
            </w:r>
          </w:p>
        </w:tc>
      </w:tr>
      <w:tr w:rsidR="00830052" w:rsidRPr="00674605" w14:paraId="56D67066" w14:textId="77777777" w:rsidTr="00B81083">
        <w:tc>
          <w:tcPr>
            <w:tcW w:w="2340" w:type="dxa"/>
          </w:tcPr>
          <w:p w14:paraId="1F981798"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C</w:t>
            </w:r>
          </w:p>
        </w:tc>
        <w:tc>
          <w:tcPr>
            <w:tcW w:w="1891" w:type="dxa"/>
            <w:gridSpan w:val="2"/>
          </w:tcPr>
          <w:p w14:paraId="28CDF611" w14:textId="77777777" w:rsidR="00830052" w:rsidRPr="00674605" w:rsidRDefault="00830052" w:rsidP="00632002">
            <w:pPr>
              <w:jc w:val="center"/>
              <w:rPr>
                <w:rFonts w:cs="Arial"/>
                <w:sz w:val="22"/>
                <w:szCs w:val="22"/>
              </w:rPr>
            </w:pPr>
            <w:r>
              <w:rPr>
                <w:rFonts w:cs="Arial"/>
                <w:sz w:val="22"/>
                <w:szCs w:val="22"/>
              </w:rPr>
              <w:t>0.72 ± 0.32</w:t>
            </w:r>
          </w:p>
        </w:tc>
        <w:tc>
          <w:tcPr>
            <w:tcW w:w="2250" w:type="dxa"/>
            <w:gridSpan w:val="2"/>
          </w:tcPr>
          <w:p w14:paraId="0065A779" w14:textId="77777777" w:rsidR="00830052" w:rsidRPr="00674605" w:rsidRDefault="00830052" w:rsidP="00632002">
            <w:pPr>
              <w:jc w:val="center"/>
              <w:rPr>
                <w:rFonts w:cs="Arial"/>
                <w:sz w:val="22"/>
                <w:szCs w:val="22"/>
              </w:rPr>
            </w:pPr>
            <w:r>
              <w:rPr>
                <w:rFonts w:cs="Arial"/>
                <w:sz w:val="22"/>
                <w:szCs w:val="22"/>
              </w:rPr>
              <w:t>0.66 ± 0.22</w:t>
            </w:r>
          </w:p>
        </w:tc>
      </w:tr>
      <w:tr w:rsidR="00830052" w:rsidRPr="00674605" w14:paraId="2ADE143C" w14:textId="77777777" w:rsidTr="00B81083">
        <w:tc>
          <w:tcPr>
            <w:tcW w:w="2340" w:type="dxa"/>
          </w:tcPr>
          <w:p w14:paraId="7BA2CFAC" w14:textId="77777777" w:rsidR="00830052" w:rsidRPr="00674605" w:rsidRDefault="00830052" w:rsidP="008009D0">
            <w:pPr>
              <w:jc w:val="both"/>
              <w:rPr>
                <w:rFonts w:cs="Arial"/>
                <w:sz w:val="22"/>
                <w:szCs w:val="22"/>
              </w:rPr>
            </w:pPr>
            <w:r w:rsidRPr="00674605">
              <w:rPr>
                <w:rFonts w:cs="Arial"/>
                <w:sz w:val="22"/>
                <w:szCs w:val="22"/>
              </w:rPr>
              <w:t>iTTB (% total area)</w:t>
            </w:r>
          </w:p>
        </w:tc>
        <w:tc>
          <w:tcPr>
            <w:tcW w:w="1891" w:type="dxa"/>
            <w:gridSpan w:val="2"/>
          </w:tcPr>
          <w:p w14:paraId="3005E0D0" w14:textId="77777777" w:rsidR="00830052" w:rsidRPr="00674605" w:rsidRDefault="00830052" w:rsidP="00632002">
            <w:pPr>
              <w:jc w:val="center"/>
              <w:rPr>
                <w:rFonts w:cs="Arial"/>
                <w:sz w:val="22"/>
                <w:szCs w:val="22"/>
              </w:rPr>
            </w:pPr>
          </w:p>
        </w:tc>
        <w:tc>
          <w:tcPr>
            <w:tcW w:w="2250" w:type="dxa"/>
            <w:gridSpan w:val="2"/>
          </w:tcPr>
          <w:p w14:paraId="6C8E519E" w14:textId="77777777" w:rsidR="00830052" w:rsidRPr="00674605" w:rsidRDefault="00830052" w:rsidP="00632002">
            <w:pPr>
              <w:jc w:val="center"/>
              <w:rPr>
                <w:rFonts w:cs="Arial"/>
                <w:sz w:val="22"/>
                <w:szCs w:val="22"/>
              </w:rPr>
            </w:pPr>
          </w:p>
        </w:tc>
      </w:tr>
      <w:tr w:rsidR="00830052" w:rsidRPr="00674605" w14:paraId="5FCD1A77" w14:textId="77777777" w:rsidTr="00B81083">
        <w:tc>
          <w:tcPr>
            <w:tcW w:w="2340" w:type="dxa"/>
          </w:tcPr>
          <w:p w14:paraId="24BB02C3"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O</w:t>
            </w:r>
          </w:p>
        </w:tc>
        <w:tc>
          <w:tcPr>
            <w:tcW w:w="1891" w:type="dxa"/>
            <w:gridSpan w:val="2"/>
          </w:tcPr>
          <w:p w14:paraId="3565B8D3" w14:textId="77777777" w:rsidR="00830052" w:rsidRPr="00674605" w:rsidRDefault="00830052" w:rsidP="00632002">
            <w:pPr>
              <w:jc w:val="center"/>
              <w:rPr>
                <w:rFonts w:cs="Arial"/>
                <w:sz w:val="22"/>
                <w:szCs w:val="22"/>
              </w:rPr>
            </w:pPr>
            <w:r>
              <w:rPr>
                <w:rFonts w:cs="Arial"/>
                <w:sz w:val="22"/>
                <w:szCs w:val="22"/>
              </w:rPr>
              <w:t>5.33 ± 3.87</w:t>
            </w:r>
          </w:p>
        </w:tc>
        <w:tc>
          <w:tcPr>
            <w:tcW w:w="2250" w:type="dxa"/>
            <w:gridSpan w:val="2"/>
          </w:tcPr>
          <w:p w14:paraId="1A704328" w14:textId="77777777" w:rsidR="00830052" w:rsidRPr="00674605" w:rsidRDefault="00830052" w:rsidP="00632002">
            <w:pPr>
              <w:jc w:val="center"/>
              <w:rPr>
                <w:rFonts w:cs="Arial"/>
                <w:sz w:val="22"/>
                <w:szCs w:val="22"/>
              </w:rPr>
            </w:pPr>
            <w:r>
              <w:rPr>
                <w:rFonts w:cs="Arial"/>
                <w:sz w:val="22"/>
                <w:szCs w:val="22"/>
              </w:rPr>
              <w:t>5.86 ± 3.89</w:t>
            </w:r>
          </w:p>
        </w:tc>
      </w:tr>
      <w:tr w:rsidR="00830052" w:rsidRPr="00674605" w14:paraId="2EFC7C4F" w14:textId="77777777" w:rsidTr="00B81083">
        <w:tc>
          <w:tcPr>
            <w:tcW w:w="2340" w:type="dxa"/>
          </w:tcPr>
          <w:p w14:paraId="5A7D2544" w14:textId="77777777" w:rsidR="00830052" w:rsidRPr="00674605" w:rsidRDefault="00830052" w:rsidP="008009D0">
            <w:pPr>
              <w:jc w:val="both"/>
              <w:rPr>
                <w:rFonts w:cs="Arial"/>
                <w:sz w:val="22"/>
                <w:szCs w:val="22"/>
              </w:rPr>
            </w:pPr>
            <w:r w:rsidRPr="00674605">
              <w:rPr>
                <w:rFonts w:cs="Arial"/>
                <w:sz w:val="22"/>
                <w:szCs w:val="22"/>
              </w:rPr>
              <w:t>S</w:t>
            </w:r>
            <w:r>
              <w:rPr>
                <w:rFonts w:cs="Arial"/>
                <w:sz w:val="22"/>
                <w:szCs w:val="22"/>
              </w:rPr>
              <w:t>TE</w:t>
            </w:r>
            <w:r w:rsidRPr="00674605">
              <w:rPr>
                <w:rFonts w:cs="Arial"/>
                <w:sz w:val="22"/>
                <w:szCs w:val="22"/>
              </w:rPr>
              <w:t>C</w:t>
            </w:r>
          </w:p>
        </w:tc>
        <w:tc>
          <w:tcPr>
            <w:tcW w:w="1891" w:type="dxa"/>
            <w:gridSpan w:val="2"/>
          </w:tcPr>
          <w:p w14:paraId="0E0B79F9" w14:textId="77777777" w:rsidR="00830052" w:rsidRPr="00674605" w:rsidRDefault="00830052" w:rsidP="00632002">
            <w:pPr>
              <w:jc w:val="center"/>
              <w:rPr>
                <w:rFonts w:cs="Arial"/>
                <w:sz w:val="22"/>
                <w:szCs w:val="22"/>
              </w:rPr>
            </w:pPr>
            <w:r>
              <w:rPr>
                <w:rFonts w:cs="Arial"/>
                <w:sz w:val="22"/>
                <w:szCs w:val="22"/>
              </w:rPr>
              <w:t>11.90 ± 5.88</w:t>
            </w:r>
          </w:p>
        </w:tc>
        <w:tc>
          <w:tcPr>
            <w:tcW w:w="2250" w:type="dxa"/>
            <w:gridSpan w:val="2"/>
          </w:tcPr>
          <w:p w14:paraId="6952F7E2" w14:textId="77777777" w:rsidR="00830052" w:rsidRPr="00674605" w:rsidRDefault="00830052" w:rsidP="00632002">
            <w:pPr>
              <w:jc w:val="center"/>
              <w:rPr>
                <w:rFonts w:cs="Arial"/>
                <w:sz w:val="22"/>
                <w:szCs w:val="22"/>
              </w:rPr>
            </w:pPr>
            <w:r>
              <w:rPr>
                <w:rFonts w:cs="Arial"/>
                <w:sz w:val="22"/>
                <w:szCs w:val="22"/>
              </w:rPr>
              <w:t>12.55 ± 5.79</w:t>
            </w:r>
          </w:p>
        </w:tc>
      </w:tr>
      <w:tr w:rsidR="00830052" w:rsidRPr="00674605" w14:paraId="39D64594" w14:textId="77777777" w:rsidTr="00B81083">
        <w:tc>
          <w:tcPr>
            <w:tcW w:w="2340" w:type="dxa"/>
          </w:tcPr>
          <w:p w14:paraId="2739A90F"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O</w:t>
            </w:r>
          </w:p>
        </w:tc>
        <w:tc>
          <w:tcPr>
            <w:tcW w:w="1891" w:type="dxa"/>
            <w:gridSpan w:val="2"/>
          </w:tcPr>
          <w:p w14:paraId="6A176D6D" w14:textId="77777777" w:rsidR="00830052" w:rsidRPr="00674605" w:rsidRDefault="00830052" w:rsidP="00632002">
            <w:pPr>
              <w:jc w:val="center"/>
              <w:rPr>
                <w:rFonts w:cs="Arial"/>
                <w:sz w:val="22"/>
                <w:szCs w:val="22"/>
              </w:rPr>
            </w:pPr>
            <w:r>
              <w:rPr>
                <w:rFonts w:cs="Arial"/>
                <w:sz w:val="22"/>
                <w:szCs w:val="22"/>
              </w:rPr>
              <w:t>5.38 ± 4.42</w:t>
            </w:r>
          </w:p>
        </w:tc>
        <w:tc>
          <w:tcPr>
            <w:tcW w:w="2250" w:type="dxa"/>
            <w:gridSpan w:val="2"/>
          </w:tcPr>
          <w:p w14:paraId="1FCDEBA8" w14:textId="77777777" w:rsidR="00830052" w:rsidRPr="00674605" w:rsidRDefault="00830052" w:rsidP="00632002">
            <w:pPr>
              <w:jc w:val="center"/>
              <w:rPr>
                <w:rFonts w:cs="Arial"/>
                <w:sz w:val="22"/>
                <w:szCs w:val="22"/>
              </w:rPr>
            </w:pPr>
            <w:r>
              <w:rPr>
                <w:rFonts w:cs="Arial"/>
                <w:sz w:val="22"/>
                <w:szCs w:val="22"/>
              </w:rPr>
              <w:t>6.98 ± 4.33</w:t>
            </w:r>
          </w:p>
        </w:tc>
      </w:tr>
      <w:tr w:rsidR="00830052" w:rsidRPr="00674605" w14:paraId="05F55A77" w14:textId="77777777" w:rsidTr="00B81083">
        <w:tc>
          <w:tcPr>
            <w:tcW w:w="2340" w:type="dxa"/>
          </w:tcPr>
          <w:p w14:paraId="6C38056C" w14:textId="77777777" w:rsidR="00830052" w:rsidRPr="00674605" w:rsidRDefault="00830052" w:rsidP="008009D0">
            <w:pPr>
              <w:jc w:val="both"/>
              <w:rPr>
                <w:rFonts w:cs="Arial"/>
                <w:sz w:val="22"/>
                <w:szCs w:val="22"/>
              </w:rPr>
            </w:pPr>
            <w:r w:rsidRPr="00674605">
              <w:rPr>
                <w:rFonts w:cs="Arial"/>
                <w:sz w:val="22"/>
                <w:szCs w:val="22"/>
              </w:rPr>
              <w:t>D</w:t>
            </w:r>
            <w:r>
              <w:rPr>
                <w:rFonts w:cs="Arial"/>
                <w:sz w:val="22"/>
                <w:szCs w:val="22"/>
              </w:rPr>
              <w:t>TE</w:t>
            </w:r>
            <w:r w:rsidRPr="00674605">
              <w:rPr>
                <w:rFonts w:cs="Arial"/>
                <w:sz w:val="22"/>
                <w:szCs w:val="22"/>
              </w:rPr>
              <w:t>C</w:t>
            </w:r>
          </w:p>
        </w:tc>
        <w:tc>
          <w:tcPr>
            <w:tcW w:w="1891" w:type="dxa"/>
            <w:gridSpan w:val="2"/>
          </w:tcPr>
          <w:p w14:paraId="3C34E517" w14:textId="77777777" w:rsidR="00830052" w:rsidRPr="00674605" w:rsidRDefault="00830052" w:rsidP="00632002">
            <w:pPr>
              <w:jc w:val="center"/>
              <w:rPr>
                <w:rFonts w:cs="Arial"/>
                <w:sz w:val="22"/>
                <w:szCs w:val="22"/>
              </w:rPr>
            </w:pPr>
            <w:r>
              <w:rPr>
                <w:rFonts w:cs="Arial"/>
                <w:sz w:val="22"/>
                <w:szCs w:val="22"/>
              </w:rPr>
              <w:t>9.48 ± 5.50</w:t>
            </w:r>
          </w:p>
        </w:tc>
        <w:tc>
          <w:tcPr>
            <w:tcW w:w="2250" w:type="dxa"/>
            <w:gridSpan w:val="2"/>
          </w:tcPr>
          <w:p w14:paraId="544569B6" w14:textId="77777777" w:rsidR="00830052" w:rsidRPr="00674605" w:rsidRDefault="00830052" w:rsidP="00632002">
            <w:pPr>
              <w:jc w:val="center"/>
              <w:rPr>
                <w:rFonts w:cs="Arial"/>
                <w:sz w:val="22"/>
                <w:szCs w:val="22"/>
              </w:rPr>
            </w:pPr>
            <w:r>
              <w:rPr>
                <w:rFonts w:cs="Arial"/>
                <w:sz w:val="22"/>
                <w:szCs w:val="22"/>
              </w:rPr>
              <w:t>10.09 ± 4.65</w:t>
            </w:r>
          </w:p>
        </w:tc>
      </w:tr>
      <w:tr w:rsidR="00830052" w:rsidRPr="00674605" w14:paraId="2BC1A0B2" w14:textId="77777777" w:rsidTr="00B81083">
        <w:trPr>
          <w:gridAfter w:val="1"/>
          <w:wAfter w:w="357" w:type="dxa"/>
        </w:trPr>
        <w:tc>
          <w:tcPr>
            <w:tcW w:w="2772" w:type="dxa"/>
            <w:gridSpan w:val="2"/>
          </w:tcPr>
          <w:p w14:paraId="309C378F" w14:textId="77777777" w:rsidR="00830052" w:rsidRPr="00674605" w:rsidRDefault="00830052" w:rsidP="00CE0D98">
            <w:pPr>
              <w:rPr>
                <w:rFonts w:cs="Arial"/>
                <w:sz w:val="22"/>
                <w:szCs w:val="22"/>
              </w:rPr>
            </w:pPr>
            <w:r>
              <w:rPr>
                <w:rFonts w:cs="Arial"/>
                <w:sz w:val="22"/>
                <w:szCs w:val="22"/>
              </w:rPr>
              <w:t>Phoneme Monitoring (%)</w:t>
            </w:r>
          </w:p>
        </w:tc>
        <w:tc>
          <w:tcPr>
            <w:tcW w:w="1459" w:type="dxa"/>
          </w:tcPr>
          <w:p w14:paraId="740C48DB" w14:textId="77777777" w:rsidR="00830052" w:rsidRDefault="00830052" w:rsidP="00632002">
            <w:pPr>
              <w:jc w:val="center"/>
              <w:rPr>
                <w:rFonts w:cs="Arial"/>
                <w:sz w:val="22"/>
                <w:szCs w:val="22"/>
              </w:rPr>
            </w:pPr>
          </w:p>
        </w:tc>
        <w:tc>
          <w:tcPr>
            <w:tcW w:w="1893" w:type="dxa"/>
          </w:tcPr>
          <w:p w14:paraId="1653E695" w14:textId="77777777" w:rsidR="00830052" w:rsidRDefault="00830052" w:rsidP="00632002">
            <w:pPr>
              <w:jc w:val="center"/>
              <w:rPr>
                <w:rFonts w:cs="Arial"/>
                <w:sz w:val="22"/>
                <w:szCs w:val="22"/>
              </w:rPr>
            </w:pPr>
          </w:p>
        </w:tc>
      </w:tr>
      <w:tr w:rsidR="00830052" w:rsidRPr="00674605" w14:paraId="1A6D51DB" w14:textId="77777777" w:rsidTr="00B81083">
        <w:tc>
          <w:tcPr>
            <w:tcW w:w="2340" w:type="dxa"/>
          </w:tcPr>
          <w:p w14:paraId="3E3E99D7" w14:textId="77777777" w:rsidR="00830052" w:rsidRPr="00674605" w:rsidRDefault="00830052" w:rsidP="008009D0">
            <w:pPr>
              <w:ind w:left="350"/>
              <w:jc w:val="both"/>
              <w:rPr>
                <w:rFonts w:cs="Arial"/>
                <w:sz w:val="22"/>
                <w:szCs w:val="22"/>
              </w:rPr>
            </w:pPr>
            <w:r>
              <w:rPr>
                <w:rFonts w:cs="Arial"/>
                <w:sz w:val="22"/>
                <w:szCs w:val="22"/>
              </w:rPr>
              <w:t>Tally</w:t>
            </w:r>
          </w:p>
        </w:tc>
        <w:tc>
          <w:tcPr>
            <w:tcW w:w="1891" w:type="dxa"/>
            <w:gridSpan w:val="2"/>
          </w:tcPr>
          <w:p w14:paraId="02A0AA65" w14:textId="77777777" w:rsidR="00830052" w:rsidRDefault="00830052" w:rsidP="00632002">
            <w:pPr>
              <w:jc w:val="center"/>
              <w:rPr>
                <w:rFonts w:cs="Arial"/>
                <w:sz w:val="22"/>
                <w:szCs w:val="22"/>
              </w:rPr>
            </w:pPr>
          </w:p>
        </w:tc>
        <w:tc>
          <w:tcPr>
            <w:tcW w:w="2250" w:type="dxa"/>
            <w:gridSpan w:val="2"/>
          </w:tcPr>
          <w:p w14:paraId="68B59DA2" w14:textId="77777777" w:rsidR="00830052" w:rsidRDefault="00830052" w:rsidP="00632002">
            <w:pPr>
              <w:jc w:val="center"/>
              <w:rPr>
                <w:rFonts w:cs="Arial"/>
                <w:sz w:val="22"/>
                <w:szCs w:val="22"/>
              </w:rPr>
            </w:pPr>
          </w:p>
        </w:tc>
      </w:tr>
      <w:tr w:rsidR="00830052" w:rsidRPr="00674605" w14:paraId="1B20AB3C" w14:textId="77777777" w:rsidTr="00B81083">
        <w:tc>
          <w:tcPr>
            <w:tcW w:w="2340" w:type="dxa"/>
          </w:tcPr>
          <w:p w14:paraId="6EEA0EA8" w14:textId="77777777" w:rsidR="00830052" w:rsidRPr="00674605" w:rsidRDefault="00830052" w:rsidP="008009D0">
            <w:pPr>
              <w:jc w:val="both"/>
              <w:rPr>
                <w:rFonts w:cs="Arial"/>
                <w:sz w:val="22"/>
                <w:szCs w:val="22"/>
              </w:rPr>
            </w:pPr>
            <w:r>
              <w:rPr>
                <w:rFonts w:cs="Arial"/>
                <w:sz w:val="22"/>
                <w:szCs w:val="22"/>
              </w:rPr>
              <w:t>ST</w:t>
            </w:r>
          </w:p>
        </w:tc>
        <w:tc>
          <w:tcPr>
            <w:tcW w:w="1891" w:type="dxa"/>
            <w:gridSpan w:val="2"/>
          </w:tcPr>
          <w:p w14:paraId="2441238A" w14:textId="77777777" w:rsidR="00830052" w:rsidRDefault="00830052" w:rsidP="00632002">
            <w:pPr>
              <w:jc w:val="center"/>
              <w:rPr>
                <w:rFonts w:cs="Arial"/>
                <w:sz w:val="22"/>
                <w:szCs w:val="22"/>
              </w:rPr>
            </w:pPr>
            <w:r>
              <w:rPr>
                <w:rFonts w:cs="Arial"/>
                <w:sz w:val="22"/>
                <w:szCs w:val="22"/>
              </w:rPr>
              <w:t>87.30 ± 9.98</w:t>
            </w:r>
          </w:p>
        </w:tc>
        <w:tc>
          <w:tcPr>
            <w:tcW w:w="2250" w:type="dxa"/>
            <w:gridSpan w:val="2"/>
          </w:tcPr>
          <w:p w14:paraId="71FD3D2C" w14:textId="77777777" w:rsidR="00830052" w:rsidRDefault="00830052" w:rsidP="00632002">
            <w:pPr>
              <w:jc w:val="center"/>
              <w:rPr>
                <w:rFonts w:cs="Arial"/>
                <w:sz w:val="22"/>
                <w:szCs w:val="22"/>
              </w:rPr>
            </w:pPr>
            <w:r>
              <w:rPr>
                <w:rFonts w:cs="Arial"/>
                <w:sz w:val="22"/>
                <w:szCs w:val="22"/>
              </w:rPr>
              <w:t>88.23 ± 14.91</w:t>
            </w:r>
          </w:p>
        </w:tc>
      </w:tr>
      <w:tr w:rsidR="00830052" w:rsidRPr="00674605" w14:paraId="224E782D" w14:textId="77777777" w:rsidTr="00B81083">
        <w:tc>
          <w:tcPr>
            <w:tcW w:w="2340" w:type="dxa"/>
          </w:tcPr>
          <w:p w14:paraId="4F55E627" w14:textId="77777777" w:rsidR="00830052" w:rsidRPr="00674605" w:rsidRDefault="00830052" w:rsidP="008009D0">
            <w:pPr>
              <w:jc w:val="both"/>
              <w:rPr>
                <w:rFonts w:cs="Arial"/>
                <w:sz w:val="22"/>
                <w:szCs w:val="22"/>
              </w:rPr>
            </w:pPr>
            <w:r>
              <w:rPr>
                <w:rFonts w:cs="Arial"/>
                <w:sz w:val="22"/>
                <w:szCs w:val="22"/>
              </w:rPr>
              <w:t>DTEO</w:t>
            </w:r>
          </w:p>
        </w:tc>
        <w:tc>
          <w:tcPr>
            <w:tcW w:w="1891" w:type="dxa"/>
            <w:gridSpan w:val="2"/>
          </w:tcPr>
          <w:p w14:paraId="2D6B3957" w14:textId="77777777" w:rsidR="00830052" w:rsidRDefault="00830052" w:rsidP="00632002">
            <w:pPr>
              <w:jc w:val="center"/>
              <w:rPr>
                <w:rFonts w:cs="Arial"/>
                <w:sz w:val="22"/>
                <w:szCs w:val="22"/>
              </w:rPr>
            </w:pPr>
            <w:r>
              <w:rPr>
                <w:rFonts w:cs="Arial"/>
                <w:sz w:val="22"/>
                <w:szCs w:val="22"/>
              </w:rPr>
              <w:t>87.03 ± 11.72</w:t>
            </w:r>
          </w:p>
        </w:tc>
        <w:tc>
          <w:tcPr>
            <w:tcW w:w="2250" w:type="dxa"/>
            <w:gridSpan w:val="2"/>
          </w:tcPr>
          <w:p w14:paraId="058389EA" w14:textId="77777777" w:rsidR="00830052" w:rsidRDefault="00830052" w:rsidP="00632002">
            <w:pPr>
              <w:jc w:val="center"/>
              <w:rPr>
                <w:rFonts w:cs="Arial"/>
                <w:sz w:val="22"/>
                <w:szCs w:val="22"/>
              </w:rPr>
            </w:pPr>
            <w:r>
              <w:rPr>
                <w:rFonts w:cs="Arial"/>
                <w:sz w:val="22"/>
                <w:szCs w:val="22"/>
              </w:rPr>
              <w:t>82.29 ± 13.56‡</w:t>
            </w:r>
          </w:p>
        </w:tc>
      </w:tr>
      <w:tr w:rsidR="00830052" w:rsidRPr="00674605" w14:paraId="4E211AB2" w14:textId="77777777" w:rsidTr="00B81083">
        <w:tc>
          <w:tcPr>
            <w:tcW w:w="2340" w:type="dxa"/>
          </w:tcPr>
          <w:p w14:paraId="37652998" w14:textId="77777777" w:rsidR="00830052" w:rsidRDefault="00830052" w:rsidP="008009D0">
            <w:pPr>
              <w:jc w:val="both"/>
              <w:rPr>
                <w:rFonts w:cs="Arial"/>
                <w:sz w:val="22"/>
                <w:szCs w:val="22"/>
              </w:rPr>
            </w:pPr>
            <w:r>
              <w:rPr>
                <w:rFonts w:cs="Arial"/>
                <w:sz w:val="22"/>
                <w:szCs w:val="22"/>
              </w:rPr>
              <w:t>DTEC</w:t>
            </w:r>
          </w:p>
        </w:tc>
        <w:tc>
          <w:tcPr>
            <w:tcW w:w="1891" w:type="dxa"/>
            <w:gridSpan w:val="2"/>
          </w:tcPr>
          <w:p w14:paraId="3EF97E7E" w14:textId="77777777" w:rsidR="00830052" w:rsidRDefault="00830052" w:rsidP="00632002">
            <w:pPr>
              <w:jc w:val="center"/>
              <w:rPr>
                <w:rFonts w:cs="Arial"/>
                <w:sz w:val="22"/>
                <w:szCs w:val="22"/>
              </w:rPr>
            </w:pPr>
            <w:r>
              <w:rPr>
                <w:rFonts w:cs="Arial"/>
                <w:sz w:val="22"/>
                <w:szCs w:val="22"/>
              </w:rPr>
              <w:t>91.38 ± 10.60‡</w:t>
            </w:r>
          </w:p>
        </w:tc>
        <w:tc>
          <w:tcPr>
            <w:tcW w:w="2250" w:type="dxa"/>
            <w:gridSpan w:val="2"/>
          </w:tcPr>
          <w:p w14:paraId="04766C30" w14:textId="77777777" w:rsidR="00830052" w:rsidRDefault="00830052" w:rsidP="00632002">
            <w:pPr>
              <w:jc w:val="center"/>
              <w:rPr>
                <w:rFonts w:cs="Arial"/>
                <w:sz w:val="22"/>
                <w:szCs w:val="22"/>
              </w:rPr>
            </w:pPr>
            <w:r>
              <w:rPr>
                <w:rFonts w:cs="Arial"/>
                <w:sz w:val="22"/>
                <w:szCs w:val="22"/>
              </w:rPr>
              <w:t>85.42 ± 12.31</w:t>
            </w:r>
          </w:p>
        </w:tc>
      </w:tr>
      <w:tr w:rsidR="00830052" w:rsidRPr="00674605" w14:paraId="19B8801E" w14:textId="77777777" w:rsidTr="00B81083">
        <w:tc>
          <w:tcPr>
            <w:tcW w:w="2340" w:type="dxa"/>
          </w:tcPr>
          <w:p w14:paraId="6709ED69" w14:textId="77777777" w:rsidR="00830052" w:rsidRDefault="00830052" w:rsidP="008009D0">
            <w:pPr>
              <w:ind w:left="350"/>
              <w:jc w:val="both"/>
              <w:rPr>
                <w:rFonts w:cs="Arial"/>
                <w:sz w:val="22"/>
                <w:szCs w:val="22"/>
              </w:rPr>
            </w:pPr>
            <w:r>
              <w:rPr>
                <w:rFonts w:cs="Arial"/>
                <w:sz w:val="22"/>
                <w:szCs w:val="22"/>
              </w:rPr>
              <w:t>Score</w:t>
            </w:r>
          </w:p>
        </w:tc>
        <w:tc>
          <w:tcPr>
            <w:tcW w:w="1891" w:type="dxa"/>
            <w:gridSpan w:val="2"/>
          </w:tcPr>
          <w:p w14:paraId="02E5D1AE" w14:textId="77777777" w:rsidR="00830052" w:rsidRDefault="00830052" w:rsidP="00632002">
            <w:pPr>
              <w:jc w:val="center"/>
              <w:rPr>
                <w:rFonts w:cs="Arial"/>
                <w:sz w:val="22"/>
                <w:szCs w:val="22"/>
              </w:rPr>
            </w:pPr>
          </w:p>
        </w:tc>
        <w:tc>
          <w:tcPr>
            <w:tcW w:w="2250" w:type="dxa"/>
            <w:gridSpan w:val="2"/>
          </w:tcPr>
          <w:p w14:paraId="45A9AF57" w14:textId="77777777" w:rsidR="00830052" w:rsidRDefault="00830052" w:rsidP="00632002">
            <w:pPr>
              <w:jc w:val="center"/>
              <w:rPr>
                <w:rFonts w:cs="Arial"/>
                <w:sz w:val="22"/>
                <w:szCs w:val="22"/>
              </w:rPr>
            </w:pPr>
          </w:p>
        </w:tc>
      </w:tr>
      <w:tr w:rsidR="00830052" w:rsidRPr="00674605" w14:paraId="5A65949E" w14:textId="77777777" w:rsidTr="00B81083">
        <w:tc>
          <w:tcPr>
            <w:tcW w:w="2340" w:type="dxa"/>
          </w:tcPr>
          <w:p w14:paraId="5617AB68" w14:textId="77777777" w:rsidR="00830052" w:rsidRDefault="00830052" w:rsidP="008009D0">
            <w:pPr>
              <w:jc w:val="both"/>
              <w:rPr>
                <w:rFonts w:cs="Arial"/>
                <w:sz w:val="22"/>
                <w:szCs w:val="22"/>
              </w:rPr>
            </w:pPr>
            <w:r>
              <w:rPr>
                <w:rFonts w:cs="Arial"/>
                <w:sz w:val="22"/>
                <w:szCs w:val="22"/>
              </w:rPr>
              <w:t>ST</w:t>
            </w:r>
          </w:p>
        </w:tc>
        <w:tc>
          <w:tcPr>
            <w:tcW w:w="1891" w:type="dxa"/>
            <w:gridSpan w:val="2"/>
          </w:tcPr>
          <w:p w14:paraId="65178A92" w14:textId="77777777" w:rsidR="00830052" w:rsidRDefault="00830052" w:rsidP="00632002">
            <w:pPr>
              <w:jc w:val="center"/>
              <w:rPr>
                <w:rFonts w:cs="Arial"/>
                <w:sz w:val="22"/>
                <w:szCs w:val="22"/>
              </w:rPr>
            </w:pPr>
            <w:r>
              <w:rPr>
                <w:rFonts w:cs="Arial"/>
                <w:sz w:val="22"/>
                <w:szCs w:val="22"/>
              </w:rPr>
              <w:t>62.66 ± 26.20</w:t>
            </w:r>
          </w:p>
        </w:tc>
        <w:tc>
          <w:tcPr>
            <w:tcW w:w="2250" w:type="dxa"/>
            <w:gridSpan w:val="2"/>
          </w:tcPr>
          <w:p w14:paraId="532C026B" w14:textId="77777777" w:rsidR="00830052" w:rsidRDefault="00830052" w:rsidP="00632002">
            <w:pPr>
              <w:jc w:val="center"/>
              <w:rPr>
                <w:rFonts w:cs="Arial"/>
                <w:sz w:val="22"/>
                <w:szCs w:val="22"/>
              </w:rPr>
            </w:pPr>
            <w:r>
              <w:rPr>
                <w:rFonts w:cs="Arial"/>
                <w:sz w:val="22"/>
                <w:szCs w:val="22"/>
              </w:rPr>
              <w:t>50.20 ± 25.57†</w:t>
            </w:r>
          </w:p>
        </w:tc>
      </w:tr>
      <w:tr w:rsidR="00830052" w:rsidRPr="00674605" w14:paraId="053B9D70" w14:textId="77777777" w:rsidTr="00B81083">
        <w:tc>
          <w:tcPr>
            <w:tcW w:w="2340" w:type="dxa"/>
          </w:tcPr>
          <w:p w14:paraId="060351C3" w14:textId="77777777" w:rsidR="00830052" w:rsidRDefault="00830052" w:rsidP="008009D0">
            <w:pPr>
              <w:jc w:val="both"/>
              <w:rPr>
                <w:rFonts w:cs="Arial"/>
                <w:sz w:val="22"/>
                <w:szCs w:val="22"/>
              </w:rPr>
            </w:pPr>
            <w:r>
              <w:rPr>
                <w:rFonts w:cs="Arial"/>
                <w:sz w:val="22"/>
                <w:szCs w:val="22"/>
              </w:rPr>
              <w:t>DTEO</w:t>
            </w:r>
          </w:p>
        </w:tc>
        <w:tc>
          <w:tcPr>
            <w:tcW w:w="1891" w:type="dxa"/>
            <w:gridSpan w:val="2"/>
          </w:tcPr>
          <w:p w14:paraId="48644995" w14:textId="77777777" w:rsidR="00830052" w:rsidRDefault="00830052" w:rsidP="00632002">
            <w:pPr>
              <w:jc w:val="center"/>
              <w:rPr>
                <w:rFonts w:cs="Arial"/>
                <w:sz w:val="22"/>
                <w:szCs w:val="22"/>
              </w:rPr>
            </w:pPr>
            <w:r>
              <w:rPr>
                <w:rFonts w:cs="Arial"/>
                <w:sz w:val="22"/>
                <w:szCs w:val="22"/>
              </w:rPr>
              <w:t>63.28 ± 26.44</w:t>
            </w:r>
          </w:p>
        </w:tc>
        <w:tc>
          <w:tcPr>
            <w:tcW w:w="2250" w:type="dxa"/>
            <w:gridSpan w:val="2"/>
          </w:tcPr>
          <w:p w14:paraId="4A67A541" w14:textId="77777777" w:rsidR="00830052" w:rsidRDefault="00830052" w:rsidP="00632002">
            <w:pPr>
              <w:jc w:val="center"/>
              <w:rPr>
                <w:rFonts w:cs="Arial"/>
                <w:sz w:val="22"/>
                <w:szCs w:val="22"/>
              </w:rPr>
            </w:pPr>
            <w:r>
              <w:rPr>
                <w:rFonts w:cs="Arial"/>
                <w:sz w:val="22"/>
                <w:szCs w:val="22"/>
              </w:rPr>
              <w:t>63.96 ± 31.93</w:t>
            </w:r>
          </w:p>
        </w:tc>
      </w:tr>
      <w:tr w:rsidR="00830052" w:rsidRPr="00674605" w14:paraId="4240F0B8" w14:textId="77777777" w:rsidTr="00B81083">
        <w:tc>
          <w:tcPr>
            <w:tcW w:w="2340" w:type="dxa"/>
            <w:tcBorders>
              <w:bottom w:val="single" w:sz="4" w:space="0" w:color="auto"/>
            </w:tcBorders>
          </w:tcPr>
          <w:p w14:paraId="5B13779A" w14:textId="77777777" w:rsidR="00830052" w:rsidRDefault="00830052" w:rsidP="008009D0">
            <w:pPr>
              <w:jc w:val="both"/>
              <w:rPr>
                <w:rFonts w:cs="Arial"/>
                <w:sz w:val="22"/>
                <w:szCs w:val="22"/>
              </w:rPr>
            </w:pPr>
            <w:r>
              <w:rPr>
                <w:rFonts w:cs="Arial"/>
                <w:sz w:val="22"/>
                <w:szCs w:val="22"/>
              </w:rPr>
              <w:t>DTEC</w:t>
            </w:r>
          </w:p>
        </w:tc>
        <w:tc>
          <w:tcPr>
            <w:tcW w:w="1891" w:type="dxa"/>
            <w:gridSpan w:val="2"/>
            <w:tcBorders>
              <w:bottom w:val="single" w:sz="4" w:space="0" w:color="auto"/>
            </w:tcBorders>
          </w:tcPr>
          <w:p w14:paraId="14E02557" w14:textId="77777777" w:rsidR="00830052" w:rsidRDefault="00830052" w:rsidP="00632002">
            <w:pPr>
              <w:jc w:val="center"/>
              <w:rPr>
                <w:rFonts w:cs="Arial"/>
                <w:sz w:val="22"/>
                <w:szCs w:val="22"/>
              </w:rPr>
            </w:pPr>
            <w:r>
              <w:rPr>
                <w:rFonts w:cs="Arial"/>
                <w:sz w:val="22"/>
                <w:szCs w:val="22"/>
              </w:rPr>
              <w:t>73.28 ± 24.54*†</w:t>
            </w:r>
          </w:p>
        </w:tc>
        <w:tc>
          <w:tcPr>
            <w:tcW w:w="2250" w:type="dxa"/>
            <w:gridSpan w:val="2"/>
            <w:tcBorders>
              <w:bottom w:val="single" w:sz="4" w:space="0" w:color="auto"/>
            </w:tcBorders>
          </w:tcPr>
          <w:p w14:paraId="76053EA3" w14:textId="77777777" w:rsidR="00830052" w:rsidRDefault="00830052" w:rsidP="00632002">
            <w:pPr>
              <w:jc w:val="center"/>
              <w:rPr>
                <w:rFonts w:cs="Arial"/>
                <w:sz w:val="22"/>
                <w:szCs w:val="22"/>
              </w:rPr>
            </w:pPr>
            <w:r>
              <w:rPr>
                <w:rFonts w:cs="Arial"/>
                <w:sz w:val="22"/>
                <w:szCs w:val="22"/>
              </w:rPr>
              <w:t>45.21 ± 24.22*</w:t>
            </w:r>
          </w:p>
        </w:tc>
      </w:tr>
      <w:tr w:rsidR="00830052" w:rsidRPr="00674605" w14:paraId="007AA6B2" w14:textId="77777777" w:rsidTr="00482BD3">
        <w:tc>
          <w:tcPr>
            <w:tcW w:w="6481" w:type="dxa"/>
            <w:gridSpan w:val="5"/>
            <w:tcBorders>
              <w:top w:val="single" w:sz="4" w:space="0" w:color="auto"/>
            </w:tcBorders>
          </w:tcPr>
          <w:p w14:paraId="505FA646" w14:textId="4C3F30FD" w:rsidR="00830052" w:rsidRPr="00674605" w:rsidRDefault="00236F0A" w:rsidP="008009D0">
            <w:pPr>
              <w:jc w:val="both"/>
              <w:rPr>
                <w:rFonts w:cs="Arial"/>
                <w:sz w:val="22"/>
                <w:szCs w:val="22"/>
              </w:rPr>
            </w:pPr>
            <w:r w:rsidRPr="00674605">
              <w:rPr>
                <w:rFonts w:cs="Arial"/>
                <w:sz w:val="22"/>
                <w:szCs w:val="22"/>
              </w:rPr>
              <w:t xml:space="preserve">Note: OFF = off-medication state, ON = on-medication state, COP = center of pressure, ST = single-task, DT = dual-task, EO = eyes open, EC = eyes closed, v = velocity, AP = anterior-posterior, ML = medio-lateral, iTTB = integrated time to boundary. </w:t>
            </w:r>
            <w:r>
              <w:rPr>
                <w:rFonts w:cs="Arial"/>
                <w:sz w:val="22"/>
                <w:szCs w:val="22"/>
              </w:rPr>
              <w:t xml:space="preserve">*, †, and ‡ = significantly different from its pair. See Figure </w:t>
            </w:r>
            <w:r w:rsidR="00DB2A38">
              <w:rPr>
                <w:rFonts w:cs="Arial"/>
                <w:sz w:val="22"/>
                <w:szCs w:val="22"/>
              </w:rPr>
              <w:t>4</w:t>
            </w:r>
            <w:r>
              <w:rPr>
                <w:rFonts w:cs="Arial"/>
                <w:sz w:val="22"/>
                <w:szCs w:val="22"/>
              </w:rPr>
              <w:t xml:space="preserve"> for other significant differences.</w:t>
            </w:r>
            <w:r w:rsidR="00830052">
              <w:rPr>
                <w:rFonts w:cs="Arial"/>
                <w:sz w:val="22"/>
                <w:szCs w:val="22"/>
              </w:rPr>
              <w:t xml:space="preserve"> </w:t>
            </w:r>
          </w:p>
        </w:tc>
      </w:tr>
    </w:tbl>
    <w:p w14:paraId="00FAC159" w14:textId="62871325" w:rsidR="00533FFE" w:rsidRPr="003470AB" w:rsidRDefault="00533FFE" w:rsidP="008009D0">
      <w:pPr>
        <w:jc w:val="both"/>
        <w:rPr>
          <w:rFonts w:cs="Arial"/>
        </w:rPr>
      </w:pPr>
      <w:r>
        <w:rPr>
          <w:rFonts w:cs="Arial"/>
        </w:rPr>
        <w:br w:type="page"/>
      </w:r>
    </w:p>
    <w:p w14:paraId="1AEF86CD" w14:textId="77777777" w:rsidR="0028340B" w:rsidRDefault="00824E90" w:rsidP="002C7E78">
      <w:pPr>
        <w:keepNext/>
        <w:jc w:val="center"/>
      </w:pPr>
      <w:r>
        <w:rPr>
          <w:rFonts w:cs="Arial"/>
          <w:b/>
          <w:noProof/>
        </w:rPr>
        <w:lastRenderedPageBreak/>
        <w:drawing>
          <wp:inline distT="0" distB="0" distL="0" distR="0" wp14:anchorId="30AFD8B8" wp14:editId="056BC4C5">
            <wp:extent cx="5638800" cy="451104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BalanceFigures2.pdf"/>
                    <pic:cNvPicPr/>
                  </pic:nvPicPr>
                  <pic:blipFill>
                    <a:blip r:embed="rId25"/>
                    <a:stretch>
                      <a:fillRect/>
                    </a:stretch>
                  </pic:blipFill>
                  <pic:spPr>
                    <a:xfrm>
                      <a:off x="0" y="0"/>
                      <a:ext cx="5638965" cy="4511172"/>
                    </a:xfrm>
                    <a:prstGeom prst="rect">
                      <a:avLst/>
                    </a:prstGeom>
                  </pic:spPr>
                </pic:pic>
              </a:graphicData>
            </a:graphic>
          </wp:inline>
        </w:drawing>
      </w:r>
    </w:p>
    <w:p w14:paraId="02E8425C" w14:textId="267271D8" w:rsidR="009E7625" w:rsidRPr="0028340B" w:rsidRDefault="0028340B" w:rsidP="008009D0">
      <w:pPr>
        <w:pStyle w:val="Caption"/>
        <w:jc w:val="both"/>
      </w:pPr>
      <w:bookmarkStart w:id="53" w:name="_Toc527361787"/>
      <w:r w:rsidRPr="0028340B">
        <w:rPr>
          <w:b w:val="0"/>
          <w:sz w:val="24"/>
          <w:szCs w:val="24"/>
        </w:rPr>
        <w:t xml:space="preserve">Figure </w:t>
      </w:r>
      <w:r w:rsidRPr="0028340B">
        <w:rPr>
          <w:b w:val="0"/>
          <w:sz w:val="24"/>
          <w:szCs w:val="24"/>
        </w:rPr>
        <w:fldChar w:fldCharType="begin"/>
      </w:r>
      <w:r w:rsidRPr="0028340B">
        <w:rPr>
          <w:b w:val="0"/>
          <w:sz w:val="24"/>
          <w:szCs w:val="24"/>
        </w:rPr>
        <w:instrText xml:space="preserve"> SEQ Figure \* ARABIC </w:instrText>
      </w:r>
      <w:r w:rsidRPr="0028340B">
        <w:rPr>
          <w:b w:val="0"/>
          <w:sz w:val="24"/>
          <w:szCs w:val="24"/>
        </w:rPr>
        <w:fldChar w:fldCharType="separate"/>
      </w:r>
      <w:r w:rsidR="006C3AB1">
        <w:rPr>
          <w:b w:val="0"/>
          <w:sz w:val="24"/>
          <w:szCs w:val="24"/>
        </w:rPr>
        <w:t>4</w:t>
      </w:r>
      <w:r w:rsidRPr="0028340B">
        <w:rPr>
          <w:b w:val="0"/>
          <w:sz w:val="24"/>
          <w:szCs w:val="24"/>
        </w:rPr>
        <w:fldChar w:fldCharType="end"/>
      </w:r>
      <w:r w:rsidRPr="0028340B">
        <w:rPr>
          <w:b w:val="0"/>
          <w:sz w:val="24"/>
          <w:szCs w:val="24"/>
        </w:rPr>
        <w:t>.</w:t>
      </w:r>
      <w:r w:rsidRPr="0028340B">
        <w:rPr>
          <w:rFonts w:cs="Arial"/>
          <w:b w:val="0"/>
          <w:sz w:val="24"/>
          <w:szCs w:val="24"/>
        </w:rPr>
        <w:t xml:space="preserve"> Bar</w:t>
      </w:r>
      <w:r w:rsidRPr="00824E90">
        <w:rPr>
          <w:rFonts w:cs="Arial"/>
          <w:b w:val="0"/>
          <w:sz w:val="24"/>
          <w:szCs w:val="24"/>
        </w:rPr>
        <w:t xml:space="preserve"> graphs depicting the mean ± SEM data for COP 95% area (top-left), integrated time to boundary (top-right), velocity of the COP in the anterior-posterior direction (bottom-left), and velocity of the COP in the medial-lateral direction. Significant differences (</w:t>
      </w:r>
      <w:r w:rsidRPr="00824E90">
        <w:rPr>
          <w:rFonts w:cs="Arial"/>
          <w:b w:val="0"/>
          <w:i/>
          <w:sz w:val="24"/>
          <w:szCs w:val="24"/>
        </w:rPr>
        <w:t>p</w:t>
      </w:r>
      <w:r w:rsidRPr="00824E90">
        <w:rPr>
          <w:rFonts w:cs="Arial"/>
          <w:b w:val="0"/>
          <w:sz w:val="24"/>
          <w:szCs w:val="24"/>
        </w:rPr>
        <w:t xml:space="preserve"> &lt; 0.05) are indicated by the lines and tick marks, with the left-most bar being significant from the others indicated. COP = center of pressure, ST = single-task, DT = dual-task, EO = eyes open, EC = eyes closed, OFF = off-medication state, ON = on-medication state.</w:t>
      </w:r>
      <w:bookmarkEnd w:id="53"/>
      <w:r w:rsidR="00D55DC5">
        <w:rPr>
          <w:rFonts w:cs="Arial"/>
        </w:rPr>
        <w:br w:type="page"/>
      </w:r>
    </w:p>
    <w:p w14:paraId="72FE34D7" w14:textId="77777777" w:rsidR="000C42ED" w:rsidRDefault="006955FD" w:rsidP="00691671">
      <w:pPr>
        <w:keepNext/>
        <w:jc w:val="center"/>
      </w:pPr>
      <w:r>
        <w:rPr>
          <w:rFonts w:cs="Arial"/>
          <w:b/>
          <w:noProof/>
        </w:rPr>
        <w:lastRenderedPageBreak/>
        <w:drawing>
          <wp:inline distT="0" distB="0" distL="0" distR="0" wp14:anchorId="18D290BF" wp14:editId="47DFC108">
            <wp:extent cx="5943600" cy="594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lDTEDelta1.pdf"/>
                    <pic:cNvPicPr/>
                  </pic:nvPicPr>
                  <pic:blipFill>
                    <a:blip r:embed="rId26"/>
                    <a:stretch>
                      <a:fillRect/>
                    </a:stretch>
                  </pic:blipFill>
                  <pic:spPr>
                    <a:xfrm>
                      <a:off x="0" y="0"/>
                      <a:ext cx="5943600" cy="5943600"/>
                    </a:xfrm>
                    <a:prstGeom prst="rect">
                      <a:avLst/>
                    </a:prstGeom>
                  </pic:spPr>
                </pic:pic>
              </a:graphicData>
            </a:graphic>
          </wp:inline>
        </w:drawing>
      </w:r>
    </w:p>
    <w:p w14:paraId="7FFD8B59" w14:textId="3BD3BC4D" w:rsidR="00C076FB" w:rsidRPr="00557A35" w:rsidRDefault="000C42ED" w:rsidP="008009D0">
      <w:pPr>
        <w:pStyle w:val="Caption"/>
        <w:jc w:val="both"/>
        <w:rPr>
          <w:rFonts w:cs="Arial"/>
          <w:b w:val="0"/>
          <w:sz w:val="24"/>
          <w:szCs w:val="24"/>
        </w:rPr>
      </w:pPr>
      <w:bookmarkStart w:id="54" w:name="_Toc527361788"/>
      <w:r w:rsidRPr="000C42ED">
        <w:rPr>
          <w:b w:val="0"/>
          <w:sz w:val="24"/>
          <w:szCs w:val="24"/>
        </w:rPr>
        <w:t xml:space="preserve">Figure </w:t>
      </w:r>
      <w:r w:rsidRPr="000C42ED">
        <w:rPr>
          <w:b w:val="0"/>
          <w:sz w:val="24"/>
          <w:szCs w:val="24"/>
        </w:rPr>
        <w:fldChar w:fldCharType="begin"/>
      </w:r>
      <w:r w:rsidRPr="000C42ED">
        <w:rPr>
          <w:b w:val="0"/>
          <w:sz w:val="24"/>
          <w:szCs w:val="24"/>
        </w:rPr>
        <w:instrText xml:space="preserve"> SEQ Figure \* ARABIC </w:instrText>
      </w:r>
      <w:r w:rsidRPr="000C42ED">
        <w:rPr>
          <w:b w:val="0"/>
          <w:sz w:val="24"/>
          <w:szCs w:val="24"/>
        </w:rPr>
        <w:fldChar w:fldCharType="separate"/>
      </w:r>
      <w:r w:rsidR="006C3AB1">
        <w:rPr>
          <w:b w:val="0"/>
          <w:sz w:val="24"/>
          <w:szCs w:val="24"/>
        </w:rPr>
        <w:t>5</w:t>
      </w:r>
      <w:r w:rsidRPr="000C42ED">
        <w:rPr>
          <w:b w:val="0"/>
          <w:sz w:val="24"/>
          <w:szCs w:val="24"/>
        </w:rPr>
        <w:fldChar w:fldCharType="end"/>
      </w:r>
      <w:r w:rsidRPr="000C42ED">
        <w:rPr>
          <w:b w:val="0"/>
          <w:sz w:val="24"/>
          <w:szCs w:val="24"/>
        </w:rPr>
        <w:t>.</w:t>
      </w:r>
      <w:r w:rsidRPr="004466CE">
        <w:rPr>
          <w:b w:val="0"/>
          <w:sz w:val="24"/>
          <w:szCs w:val="24"/>
        </w:rPr>
        <w:t xml:space="preserve"> </w:t>
      </w:r>
      <w:r w:rsidRPr="006955FD">
        <w:rPr>
          <w:rFonts w:cs="Arial"/>
          <w:b w:val="0"/>
          <w:sz w:val="24"/>
          <w:szCs w:val="24"/>
        </w:rPr>
        <w:t>Scatterplot of the change in dual-task effect for COP</w:t>
      </w:r>
      <w:r w:rsidRPr="006955FD">
        <w:rPr>
          <w:rFonts w:cs="Arial"/>
          <w:b w:val="0"/>
          <w:sz w:val="24"/>
          <w:szCs w:val="24"/>
          <w:vertAlign w:val="subscript"/>
        </w:rPr>
        <w:t>area</w:t>
      </w:r>
      <w:r w:rsidRPr="006955FD">
        <w:rPr>
          <w:rFonts w:cs="Arial"/>
          <w:b w:val="0"/>
          <w:sz w:val="24"/>
          <w:szCs w:val="24"/>
        </w:rPr>
        <w:t>. Each point represents the change in dual-task effect for a subject from OFF to ON and are plotted as (x,y) = (</w:t>
      </w:r>
      <m:oMath>
        <m:r>
          <m:rPr>
            <m:sty m:val="bi"/>
          </m:rPr>
          <w:rPr>
            <w:rFonts w:ascii="Cambria Math" w:hAnsi="Cambria Math" w:cs="Arial"/>
            <w:sz w:val="24"/>
            <w:szCs w:val="24"/>
          </w:rPr>
          <m:t>∆</m:t>
        </m:r>
      </m:oMath>
      <w:r w:rsidRPr="006955FD">
        <w:rPr>
          <w:rFonts w:cs="Arial"/>
          <w:b w:val="0"/>
          <w:sz w:val="24"/>
          <w:szCs w:val="24"/>
        </w:rPr>
        <w:t>DTE</w:t>
      </w:r>
      <w:r w:rsidRPr="006955FD">
        <w:rPr>
          <w:rFonts w:cs="Arial"/>
          <w:b w:val="0"/>
          <w:sz w:val="24"/>
          <w:szCs w:val="24"/>
          <w:vertAlign w:val="subscript"/>
        </w:rPr>
        <w:t>area</w:t>
      </w:r>
      <w:r w:rsidRPr="006955FD">
        <w:rPr>
          <w:rFonts w:cs="Arial"/>
          <w:b w:val="0"/>
          <w:sz w:val="24"/>
          <w:szCs w:val="24"/>
        </w:rPr>
        <w:t xml:space="preserve">, </w:t>
      </w:r>
      <m:oMath>
        <m:r>
          <m:rPr>
            <m:sty m:val="bi"/>
          </m:rPr>
          <w:rPr>
            <w:rFonts w:ascii="Cambria Math" w:hAnsi="Cambria Math" w:cs="Arial"/>
            <w:sz w:val="24"/>
            <w:szCs w:val="24"/>
          </w:rPr>
          <m:t>∆</m:t>
        </m:r>
      </m:oMath>
      <w:r w:rsidRPr="006955FD">
        <w:rPr>
          <w:rFonts w:cs="Arial"/>
          <w:b w:val="0"/>
          <w:sz w:val="24"/>
          <w:szCs w:val="24"/>
        </w:rPr>
        <w:t>DTE</w:t>
      </w:r>
      <w:r w:rsidRPr="006955FD">
        <w:rPr>
          <w:rFonts w:cs="Arial"/>
          <w:b w:val="0"/>
          <w:sz w:val="24"/>
          <w:szCs w:val="24"/>
          <w:vertAlign w:val="subscript"/>
        </w:rPr>
        <w:t>tally</w:t>
      </w:r>
      <w:r w:rsidRPr="006955FD">
        <w:rPr>
          <w:rFonts w:cs="Arial"/>
          <w:b w:val="0"/>
          <w:sz w:val="24"/>
          <w:szCs w:val="24"/>
        </w:rPr>
        <w:t>) for eyes open and eyes closed conditions. The quadrants are labeled to indicate the relationship between the primary and secondary tasks.</w:t>
      </w:r>
      <w:bookmarkEnd w:id="54"/>
      <w:r>
        <w:rPr>
          <w:rFonts w:cs="Arial"/>
        </w:rPr>
        <w:t xml:space="preserve"> </w:t>
      </w:r>
      <w:r w:rsidR="00C076FB">
        <w:rPr>
          <w:rFonts w:cs="Arial"/>
        </w:rPr>
        <w:br w:type="page"/>
      </w:r>
    </w:p>
    <w:p w14:paraId="6C1DE85B" w14:textId="206B479C" w:rsidR="009E7625" w:rsidRPr="00AC77E2" w:rsidRDefault="00086589" w:rsidP="008009D0">
      <w:pPr>
        <w:pStyle w:val="Heading1"/>
        <w:jc w:val="both"/>
      </w:pPr>
      <w:bookmarkStart w:id="55" w:name="_Toc527361760"/>
      <w:r w:rsidRPr="00D55DC5">
        <w:lastRenderedPageBreak/>
        <w:t>Manuscript</w:t>
      </w:r>
      <w:r w:rsidRPr="00AC77E2">
        <w:t xml:space="preserve"> 3</w:t>
      </w:r>
      <w:r w:rsidR="0041190C" w:rsidRPr="00AC77E2">
        <w:t>, Nonline</w:t>
      </w:r>
      <w:r w:rsidR="00A34ED9" w:rsidRPr="00AC77E2">
        <w:t>ar Analyse</w:t>
      </w:r>
      <w:r w:rsidR="0041190C" w:rsidRPr="00AC77E2">
        <w:t>s</w:t>
      </w:r>
      <w:bookmarkEnd w:id="55"/>
    </w:p>
    <w:p w14:paraId="7DEC6A28" w14:textId="77777777" w:rsidR="00D55DC5" w:rsidRPr="00864B56" w:rsidRDefault="00D55DC5" w:rsidP="008009D0">
      <w:pPr>
        <w:pStyle w:val="Heading2"/>
        <w:jc w:val="both"/>
      </w:pPr>
      <w:bookmarkStart w:id="56" w:name="_Toc527361761"/>
      <w:r w:rsidRPr="00864B56">
        <w:t>Title Page</w:t>
      </w:r>
      <w:bookmarkEnd w:id="56"/>
    </w:p>
    <w:p w14:paraId="09941FEF" w14:textId="77777777" w:rsidR="00F86317" w:rsidRPr="00864B56" w:rsidRDefault="00F86317" w:rsidP="008009D0">
      <w:pPr>
        <w:jc w:val="both"/>
      </w:pPr>
      <w:r w:rsidRPr="00864B56">
        <w:t xml:space="preserve">Title: </w:t>
      </w:r>
      <w:r>
        <w:t xml:space="preserve">The Influence of Dopaminergic Medication on Nonlinear Analyses of Gait and Balance in Parkinson’s Disease </w:t>
      </w:r>
    </w:p>
    <w:p w14:paraId="1299CA13" w14:textId="77777777" w:rsidR="00F86317" w:rsidRPr="005C36F0" w:rsidRDefault="00F86317" w:rsidP="008009D0">
      <w:pPr>
        <w:jc w:val="both"/>
      </w:pPr>
      <w:r w:rsidRPr="00864B56">
        <w:t>Workman, Craig D.</w:t>
      </w:r>
      <w:r w:rsidRPr="00864B56">
        <w:rPr>
          <w:vertAlign w:val="superscript"/>
        </w:rPr>
        <w:t>a,b,</w:t>
      </w:r>
      <w:r w:rsidRPr="00864B56">
        <w:t>*, Thrasher, T. Adam</w:t>
      </w:r>
      <w:r w:rsidRPr="00864B56">
        <w:rPr>
          <w:vertAlign w:val="superscript"/>
        </w:rPr>
        <w:t>a,b</w:t>
      </w:r>
    </w:p>
    <w:p w14:paraId="30EA01DC" w14:textId="77777777" w:rsidR="00F86317" w:rsidRPr="00864B56" w:rsidRDefault="00F86317" w:rsidP="008009D0">
      <w:pPr>
        <w:jc w:val="both"/>
      </w:pPr>
      <w:r w:rsidRPr="00864B56">
        <w:rPr>
          <w:vertAlign w:val="superscript"/>
        </w:rPr>
        <w:t>a</w:t>
      </w:r>
      <w:r w:rsidRPr="00864B56">
        <w:t>Department of Health and Human Performance, University of Houston, 3855 Holman Street, 104 Garrison Gym, Houston, TX,</w:t>
      </w:r>
      <w:r>
        <w:t xml:space="preserve"> 77204</w:t>
      </w:r>
      <w:r w:rsidRPr="00864B56">
        <w:t xml:space="preserve"> USA.</w:t>
      </w:r>
    </w:p>
    <w:p w14:paraId="1C562F4A" w14:textId="77777777" w:rsidR="00F86317" w:rsidRPr="00864B56" w:rsidRDefault="00F86317" w:rsidP="008009D0">
      <w:pPr>
        <w:jc w:val="both"/>
      </w:pPr>
      <w:r w:rsidRPr="00864B56">
        <w:rPr>
          <w:vertAlign w:val="superscript"/>
        </w:rPr>
        <w:t>b</w:t>
      </w:r>
      <w:r w:rsidRPr="00864B56">
        <w:t xml:space="preserve">Center for Neuromotor and Biomechanics Research, </w:t>
      </w:r>
      <w:r>
        <w:t>4733 Wheeler Ave,</w:t>
      </w:r>
      <w:r w:rsidRPr="00864B56">
        <w:t xml:space="preserve"> Houston, TX </w:t>
      </w:r>
      <w:r>
        <w:t xml:space="preserve">77204 </w:t>
      </w:r>
      <w:r w:rsidRPr="00864B56">
        <w:t>USA.</w:t>
      </w:r>
    </w:p>
    <w:p w14:paraId="3160DF9C" w14:textId="77777777" w:rsidR="00F86317" w:rsidRPr="00864B56" w:rsidRDefault="00F86317" w:rsidP="008009D0">
      <w:pPr>
        <w:jc w:val="both"/>
      </w:pPr>
    </w:p>
    <w:p w14:paraId="6C6F2036" w14:textId="77777777" w:rsidR="00F86317" w:rsidRPr="00864B56" w:rsidRDefault="00F86317" w:rsidP="008009D0">
      <w:pPr>
        <w:jc w:val="both"/>
      </w:pPr>
      <w:r w:rsidRPr="00864B56">
        <w:t>*Corresponding author: Tel.:</w:t>
      </w:r>
      <w:r w:rsidRPr="00864B56">
        <w:rPr>
          <w:shd w:val="clear" w:color="auto" w:fill="FFFFFF"/>
        </w:rPr>
        <w:t xml:space="preserve"> </w:t>
      </w:r>
      <w:r w:rsidRPr="00864B56">
        <w:t>713-743-5276; fax: 713-743-9860</w:t>
      </w:r>
    </w:p>
    <w:p w14:paraId="4BE9D781" w14:textId="7E33AED3" w:rsidR="00D55DC5" w:rsidRDefault="00F86317" w:rsidP="008009D0">
      <w:pPr>
        <w:jc w:val="both"/>
      </w:pPr>
      <w:r w:rsidRPr="00864B56">
        <w:rPr>
          <w:i/>
        </w:rPr>
        <w:t>E-mail addresses</w:t>
      </w:r>
      <w:r w:rsidRPr="00864B56">
        <w:t>: cdworkman@uh.edu (C.D. Workman), athrashe@central.uh.edu (T.A. Thrasher)</w:t>
      </w:r>
      <w:r w:rsidR="00D55DC5">
        <w:br w:type="page"/>
      </w:r>
    </w:p>
    <w:p w14:paraId="64FD571D" w14:textId="77777777" w:rsidR="00D55DC5" w:rsidRPr="00864B56" w:rsidRDefault="00D55DC5" w:rsidP="008009D0">
      <w:pPr>
        <w:pStyle w:val="Heading2"/>
        <w:jc w:val="both"/>
        <w:rPr>
          <w:shd w:val="clear" w:color="auto" w:fill="FFFFFF"/>
        </w:rPr>
      </w:pPr>
      <w:bookmarkStart w:id="57" w:name="_Toc527361762"/>
      <w:r w:rsidRPr="00864B56">
        <w:rPr>
          <w:shd w:val="clear" w:color="auto" w:fill="FFFFFF"/>
        </w:rPr>
        <w:lastRenderedPageBreak/>
        <w:t>Abstract</w:t>
      </w:r>
      <w:bookmarkEnd w:id="57"/>
    </w:p>
    <w:p w14:paraId="3062D9D6" w14:textId="77777777" w:rsidR="00AC6818" w:rsidRPr="009D5A6A" w:rsidRDefault="00AC6818" w:rsidP="008009D0">
      <w:pPr>
        <w:pStyle w:val="NormalWeb"/>
        <w:spacing w:before="0" w:beforeAutospacing="0" w:after="0" w:afterAutospacing="0" w:line="480" w:lineRule="auto"/>
        <w:jc w:val="both"/>
        <w:rPr>
          <w:rFonts w:cs="Arial"/>
          <w:shd w:val="clear" w:color="auto" w:fill="FFFFFF"/>
        </w:rPr>
      </w:pPr>
      <w:r>
        <w:rPr>
          <w:rFonts w:eastAsia="MS Mincho" w:cs="Arial"/>
          <w:shd w:val="clear" w:color="auto" w:fill="FFFFFF"/>
        </w:rPr>
        <w:t xml:space="preserve">An understanding of how dual-tasking and </w:t>
      </w:r>
      <w:r w:rsidRPr="005E43FD">
        <w:rPr>
          <w:rFonts w:eastAsia="MS Mincho" w:cs="Arial"/>
          <w:shd w:val="clear" w:color="auto" w:fill="FFFFFF"/>
        </w:rPr>
        <w:t xml:space="preserve">Parkinson’s disease (PD) </w:t>
      </w:r>
      <w:r>
        <w:rPr>
          <w:rFonts w:eastAsia="MS Mincho" w:cs="Arial"/>
          <w:shd w:val="clear" w:color="auto" w:fill="FFFFFF"/>
        </w:rPr>
        <w:t>medication effect gait and balance regularity informs patients, caregivers, and clinicians about frailty and fall risk. However, d</w:t>
      </w:r>
      <w:r w:rsidRPr="005E43FD">
        <w:rPr>
          <w:rFonts w:eastAsia="MS Mincho" w:cs="Arial"/>
          <w:shd w:val="clear" w:color="auto" w:fill="FFFFFF"/>
        </w:rPr>
        <w:t xml:space="preserve">ual-task gait and balance studies in </w:t>
      </w:r>
      <w:r>
        <w:rPr>
          <w:rFonts w:eastAsia="MS Mincho" w:cs="Arial"/>
          <w:shd w:val="clear" w:color="auto" w:fill="FFFFFF"/>
        </w:rPr>
        <w:t>PD</w:t>
      </w:r>
      <w:r w:rsidRPr="005E43FD">
        <w:rPr>
          <w:rFonts w:eastAsia="MS Mincho" w:cs="Arial"/>
          <w:shd w:val="clear" w:color="auto" w:fill="FFFFFF"/>
        </w:rPr>
        <w:t xml:space="preserve"> have almost exclusively employed linear measures to describe </w:t>
      </w:r>
      <w:r>
        <w:rPr>
          <w:rFonts w:eastAsia="MS Mincho" w:cs="Arial"/>
          <w:shd w:val="clear" w:color="auto" w:fill="FFFFFF"/>
        </w:rPr>
        <w:t>regularity outcomes</w:t>
      </w:r>
      <w:r w:rsidRPr="005E43FD">
        <w:rPr>
          <w:rFonts w:eastAsia="MS Mincho" w:cs="Arial"/>
          <w:shd w:val="clear" w:color="auto" w:fill="FFFFFF"/>
        </w:rPr>
        <w:t xml:space="preserve">. Nonlinear analyses, </w:t>
      </w:r>
      <w:r>
        <w:rPr>
          <w:rFonts w:eastAsia="MS Mincho" w:cs="Arial"/>
          <w:shd w:val="clear" w:color="auto" w:fill="FFFFFF"/>
        </w:rPr>
        <w:t xml:space="preserve">which </w:t>
      </w:r>
      <w:r w:rsidRPr="005E43FD">
        <w:rPr>
          <w:rFonts w:eastAsia="MS Mincho" w:cs="Arial"/>
          <w:shd w:val="clear" w:color="auto" w:fill="FFFFFF"/>
        </w:rPr>
        <w:t xml:space="preserve">take into account the </w:t>
      </w:r>
      <w:r>
        <w:rPr>
          <w:rFonts w:eastAsia="MS Mincho" w:cs="Arial"/>
          <w:shd w:val="clear" w:color="auto" w:fill="FFFFFF"/>
        </w:rPr>
        <w:t>regularity</w:t>
      </w:r>
      <w:r w:rsidRPr="005E43FD">
        <w:rPr>
          <w:rFonts w:eastAsia="MS Mincho" w:cs="Arial"/>
          <w:shd w:val="clear" w:color="auto" w:fill="FFFFFF"/>
        </w:rPr>
        <w:t xml:space="preserve"> of entire signal</w:t>
      </w:r>
      <w:r>
        <w:rPr>
          <w:rFonts w:eastAsia="MS Mincho" w:cs="Arial"/>
          <w:shd w:val="clear" w:color="auto" w:fill="FFFFFF"/>
        </w:rPr>
        <w:t>s, are less prevalent</w:t>
      </w:r>
      <w:r w:rsidRPr="005E43FD">
        <w:rPr>
          <w:rFonts w:eastAsia="MS Mincho" w:cs="Arial"/>
          <w:shd w:val="clear" w:color="auto" w:fill="FFFFFF"/>
        </w:rPr>
        <w:t xml:space="preserve">. Some have used nonlinear techniques to analyze PD </w:t>
      </w:r>
      <w:r>
        <w:rPr>
          <w:rFonts w:eastAsia="MS Mincho" w:cs="Arial"/>
          <w:shd w:val="clear" w:color="auto" w:fill="FFFFFF"/>
        </w:rPr>
        <w:t>balance, but only in the on-medication state. It is</w:t>
      </w:r>
      <w:r w:rsidRPr="005E43FD">
        <w:rPr>
          <w:rFonts w:eastAsia="MS Mincho" w:cs="Arial"/>
          <w:shd w:val="clear" w:color="auto" w:fill="FFFFFF"/>
        </w:rPr>
        <w:t xml:space="preserve"> </w:t>
      </w:r>
      <w:r>
        <w:rPr>
          <w:rFonts w:eastAsia="MS Mincho" w:cs="Arial"/>
          <w:shd w:val="clear" w:color="auto" w:fill="FFFFFF"/>
        </w:rPr>
        <w:t xml:space="preserve">still </w:t>
      </w:r>
      <w:r w:rsidRPr="005E43FD">
        <w:rPr>
          <w:rFonts w:eastAsia="MS Mincho" w:cs="Arial"/>
          <w:shd w:val="clear" w:color="auto" w:fill="FFFFFF"/>
        </w:rPr>
        <w:t xml:space="preserve">unclear how the nonlinear aspects of joint angles or standing posture are affected by PD medication. This study aimed to determine how dopaminergic medication influenced the regularity/determinism of joint angle and center of pressure (COP) path signals while single- and dual-tasking in PD. Sixteen subjects with PD completed single- and dual-task gait and standing balance trials for 3 minutes off and on </w:t>
      </w:r>
      <w:r>
        <w:rPr>
          <w:rFonts w:eastAsia="MS Mincho" w:cs="Arial"/>
          <w:shd w:val="clear" w:color="auto" w:fill="FFFFFF"/>
        </w:rPr>
        <w:t xml:space="preserve">dopaminergic </w:t>
      </w:r>
      <w:r w:rsidRPr="005E43FD">
        <w:rPr>
          <w:rFonts w:eastAsia="MS Mincho" w:cs="Arial"/>
          <w:shd w:val="clear" w:color="auto" w:fill="FFFFFF"/>
        </w:rPr>
        <w:t xml:space="preserve">medication. Approximate entropy and percent determinism were calculated for bilateral hip, knee, and shoulder joints, as well as the COP path. There were significant medication effects on the approximate entropy of the more-PD affected </w:t>
      </w:r>
      <w:r>
        <w:rPr>
          <w:rFonts w:eastAsia="MS Mincho" w:cs="Arial"/>
          <w:shd w:val="clear" w:color="auto" w:fill="FFFFFF"/>
        </w:rPr>
        <w:t>knee</w:t>
      </w:r>
      <w:r w:rsidRPr="005E43FD">
        <w:rPr>
          <w:rFonts w:eastAsia="MS Mincho" w:cs="Arial"/>
          <w:shd w:val="clear" w:color="auto" w:fill="FFFFFF"/>
        </w:rPr>
        <w:t xml:space="preserve"> while dual-tasking (</w:t>
      </w:r>
      <w:r w:rsidRPr="005E43FD">
        <w:rPr>
          <w:rFonts w:eastAsia="MS Mincho" w:cs="Arial"/>
          <w:i/>
          <w:shd w:val="clear" w:color="auto" w:fill="FFFFFF"/>
        </w:rPr>
        <w:t>p</w:t>
      </w:r>
      <w:r w:rsidRPr="005E43FD">
        <w:rPr>
          <w:rFonts w:eastAsia="MS Mincho" w:cs="Arial"/>
          <w:shd w:val="clear" w:color="auto" w:fill="FFFFFF"/>
        </w:rPr>
        <w:t xml:space="preserve"> = 0.014), the less-PD affected knee while dual-tasking (</w:t>
      </w:r>
      <w:r w:rsidRPr="005E43FD">
        <w:rPr>
          <w:rFonts w:eastAsia="MS Mincho" w:cs="Arial"/>
          <w:i/>
          <w:shd w:val="clear" w:color="auto" w:fill="FFFFFF"/>
        </w:rPr>
        <w:t>p</w:t>
      </w:r>
      <w:r w:rsidRPr="005E43FD">
        <w:rPr>
          <w:rFonts w:eastAsia="MS Mincho" w:cs="Arial"/>
          <w:shd w:val="clear" w:color="auto" w:fill="FFFFFF"/>
        </w:rPr>
        <w:t xml:space="preserve"> = 0.008</w:t>
      </w:r>
      <w:r>
        <w:rPr>
          <w:rFonts w:eastAsia="MS Mincho" w:cs="Arial"/>
          <w:shd w:val="clear" w:color="auto" w:fill="FFFFFF"/>
        </w:rPr>
        <w:t>)</w:t>
      </w:r>
      <w:r w:rsidRPr="005E43FD">
        <w:rPr>
          <w:rFonts w:eastAsia="MS Mincho" w:cs="Arial"/>
          <w:shd w:val="clear" w:color="auto" w:fill="FFFFFF"/>
        </w:rPr>
        <w:t xml:space="preserve">, </w:t>
      </w:r>
      <w:r>
        <w:rPr>
          <w:rFonts w:eastAsia="MS Mincho" w:cs="Arial"/>
          <w:shd w:val="clear" w:color="auto" w:fill="FFFFFF"/>
        </w:rPr>
        <w:t>both</w:t>
      </w:r>
      <w:r w:rsidRPr="005E43FD">
        <w:rPr>
          <w:rFonts w:eastAsia="MS Mincho" w:cs="Arial"/>
          <w:shd w:val="clear" w:color="auto" w:fill="FFFFFF"/>
        </w:rPr>
        <w:t xml:space="preserve"> of which indicated that medication decreased the regularity of the signal. The analysis also revealed that balance task complexity was reflected in the evaluation of the COP path, with more complex tasks</w:t>
      </w:r>
      <w:r>
        <w:rPr>
          <w:rFonts w:eastAsia="MS Mincho" w:cs="Arial"/>
          <w:shd w:val="clear" w:color="auto" w:fill="FFFFFF"/>
        </w:rPr>
        <w:t xml:space="preserve"> (i.e., eyes closed)</w:t>
      </w:r>
      <w:r w:rsidRPr="005E43FD">
        <w:rPr>
          <w:rFonts w:eastAsia="MS Mincho" w:cs="Arial"/>
          <w:shd w:val="clear" w:color="auto" w:fill="FFFFFF"/>
        </w:rPr>
        <w:t xml:space="preserve"> eliciting significantly less regular/deterministic signals. </w:t>
      </w:r>
      <w:r w:rsidRPr="005E43FD">
        <w:rPr>
          <w:rFonts w:eastAsia="MS Mincho" w:cs="Arial"/>
        </w:rPr>
        <w:t>The medication-induced decreases in regularity, coupled with accepted improvements in gait performance with medication, may indicate that PD patients are too regular in their joint movements</w:t>
      </w:r>
      <w:r>
        <w:rPr>
          <w:rFonts w:eastAsia="MS Mincho" w:cs="Arial"/>
        </w:rPr>
        <w:t>, especially</w:t>
      </w:r>
      <w:r w:rsidRPr="005E43FD">
        <w:rPr>
          <w:rFonts w:eastAsia="MS Mincho" w:cs="Arial"/>
        </w:rPr>
        <w:t xml:space="preserve"> off medication.</w:t>
      </w:r>
      <w:r>
        <w:rPr>
          <w:rFonts w:cs="Arial"/>
        </w:rPr>
        <w:t xml:space="preserve"> </w:t>
      </w:r>
    </w:p>
    <w:p w14:paraId="2E6C606A" w14:textId="5B4BA156" w:rsidR="00D55DC5" w:rsidRPr="00864B56" w:rsidRDefault="00AC6818" w:rsidP="008009D0">
      <w:pPr>
        <w:pStyle w:val="NormalWeb"/>
        <w:spacing w:before="0" w:beforeAutospacing="0" w:after="0" w:afterAutospacing="0" w:line="480" w:lineRule="auto"/>
        <w:jc w:val="both"/>
        <w:rPr>
          <w:rFonts w:cs="Arial"/>
          <w:shd w:val="clear" w:color="auto" w:fill="FFFFFF"/>
        </w:rPr>
      </w:pPr>
      <w:r w:rsidRPr="00864B56">
        <w:rPr>
          <w:rFonts w:cs="Arial"/>
          <w:shd w:val="clear" w:color="auto" w:fill="FFFFFF"/>
        </w:rPr>
        <w:t xml:space="preserve">Keywords: Parkinson’s disease, gait, </w:t>
      </w:r>
      <w:r>
        <w:rPr>
          <w:rFonts w:cs="Arial"/>
          <w:shd w:val="clear" w:color="auto" w:fill="FFFFFF"/>
        </w:rPr>
        <w:t xml:space="preserve">balance, </w:t>
      </w:r>
      <w:r w:rsidRPr="00864B56">
        <w:rPr>
          <w:rFonts w:cs="Arial"/>
          <w:shd w:val="clear" w:color="auto" w:fill="FFFFFF"/>
        </w:rPr>
        <w:t xml:space="preserve">dual-task, medication, </w:t>
      </w:r>
      <w:r>
        <w:rPr>
          <w:rFonts w:cs="Arial"/>
          <w:shd w:val="clear" w:color="auto" w:fill="FFFFFF"/>
        </w:rPr>
        <w:t>nonlinear</w:t>
      </w:r>
    </w:p>
    <w:p w14:paraId="0EBB7DB4" w14:textId="77777777" w:rsidR="00D55DC5" w:rsidRPr="00864B56" w:rsidRDefault="00D55DC5" w:rsidP="008009D0">
      <w:pPr>
        <w:pStyle w:val="NormalWeb"/>
        <w:spacing w:before="0" w:beforeAutospacing="0" w:after="0" w:afterAutospacing="0" w:line="480" w:lineRule="auto"/>
        <w:jc w:val="both"/>
        <w:rPr>
          <w:rFonts w:cs="Arial"/>
          <w:shd w:val="clear" w:color="auto" w:fill="FFFFFF"/>
        </w:rPr>
        <w:sectPr w:rsidR="00D55DC5" w:rsidRPr="00864B56" w:rsidSect="00C55D12">
          <w:headerReference w:type="even" r:id="rId27"/>
          <w:headerReference w:type="default" r:id="rId28"/>
          <w:pgSz w:w="12240" w:h="15840"/>
          <w:pgMar w:top="1800" w:right="1440" w:bottom="1440" w:left="1440" w:header="720" w:footer="720" w:gutter="0"/>
          <w:cols w:space="720"/>
        </w:sectPr>
      </w:pPr>
    </w:p>
    <w:p w14:paraId="49D228E6" w14:textId="79F981D7" w:rsidR="00D55DC5" w:rsidRPr="00D27B4E" w:rsidRDefault="00D55DC5" w:rsidP="008009D0">
      <w:pPr>
        <w:pStyle w:val="Heading2"/>
        <w:jc w:val="both"/>
      </w:pPr>
      <w:bookmarkStart w:id="58" w:name="_Toc527361763"/>
      <w:r w:rsidRPr="00D27B4E">
        <w:lastRenderedPageBreak/>
        <w:t>Introduction</w:t>
      </w:r>
      <w:bookmarkEnd w:id="58"/>
      <w:r w:rsidRPr="00D27B4E">
        <w:t xml:space="preserve"> </w:t>
      </w:r>
    </w:p>
    <w:p w14:paraId="745BF13F" w14:textId="3B6AB68C" w:rsidR="00781127" w:rsidRPr="00EB7642" w:rsidRDefault="00D55DC5" w:rsidP="008009D0">
      <w:pPr>
        <w:jc w:val="both"/>
        <w:rPr>
          <w:rFonts w:eastAsia="MS Mincho"/>
        </w:rPr>
      </w:pPr>
      <w:r>
        <w:tab/>
      </w:r>
      <w:r w:rsidR="00781127" w:rsidRPr="00EB7642">
        <w:rPr>
          <w:rFonts w:eastAsia="MS Mincho"/>
        </w:rPr>
        <w:t>Parkinson’s disease (PD)</w:t>
      </w:r>
      <w:r w:rsidR="00781127">
        <w:rPr>
          <w:rFonts w:eastAsia="MS Mincho"/>
        </w:rPr>
        <w:t xml:space="preserve"> affects approximately 1 million people in the US and</w:t>
      </w:r>
      <w:r w:rsidR="00781127" w:rsidRPr="00EB7642">
        <w:rPr>
          <w:rFonts w:eastAsia="MS Mincho"/>
        </w:rPr>
        <w:t xml:space="preserve"> </w:t>
      </w:r>
      <w:r w:rsidR="00781127">
        <w:rPr>
          <w:rFonts w:eastAsia="MS Mincho"/>
        </w:rPr>
        <w:t>is the second most</w:t>
      </w:r>
      <w:r w:rsidR="00781127" w:rsidRPr="00EB7642">
        <w:rPr>
          <w:rFonts w:eastAsia="MS Mincho"/>
        </w:rPr>
        <w:t xml:space="preserve"> prevalent degenerative neurological movement </w:t>
      </w:r>
      <w:r w:rsidR="00781127">
        <w:rPr>
          <w:rFonts w:eastAsia="MS Mincho"/>
        </w:rPr>
        <w:t xml:space="preserve">disorder </w:t>
      </w:r>
      <w:r w:rsidR="00781127" w:rsidRPr="00EB7642">
        <w:rPr>
          <w:rFonts w:eastAsia="MS Mincho"/>
        </w:rPr>
        <w:fldChar w:fldCharType="begin" w:fldLock="1"/>
      </w:r>
      <w:r w:rsidR="00781127">
        <w:rPr>
          <w:rFonts w:eastAsia="MS Mincho"/>
        </w:rPr>
        <w:instrText>ADDIN CSL_CITATION {"citationItems":[{"id":"ITEM-1","itemData":{"DOI":"10.1016/S1474-4422(06)70471-9","ISBN":"9780444519009","ISSN":"14744422","PMID":"16713924","abstract":"The causes of Parkinson's disease (PD), the second most common neurodegenerative disorder, are still largely unknown. Current thinking is that major gene mutations cause only a small proportion of all cases and that in most cases, non-genetic factors play a part, probably in interaction with susceptibility genes. Numerous epidemiological studies have been done to identify such non-genetic risk factors, but most were small and methodologically limited. Larger, well-designed prospective cohort studies have only recently reached a stage at which they have enough incident patients and person-years of follow-up to investigate possible risk factors and their interactions. In this article, we review what is known about the prevalence, incidence, risk factors, and prognosis of PD from epidemiological studies.","author":[{"dropping-particle":"","family":"Lau","given":"Lonneke ML","non-dropping-particle":"de","parse-names":false,"suffix":""},{"dropping-particle":"","family":"Breteler","given":"Monique MB","non-dropping-particle":"","parse-names":false,"suffix":""}],"container-title":"The Lancet Neurology","id":"ITEM-1","issue":"6","issued":{"date-parts":[["2006","6"]]},"page":"525-535","title":"Epidemiology of Parkinson's disease","type":"article-journal","volume":"5"},"uris":["http://www.mendeley.com/documents/?uuid=f3b57e68-747d-421c-9dff-dc3ac4dd09ad"]}],"mendeley":{"formattedCitation":"[1]","plainTextFormattedCitation":"[1]","previouslyFormattedCitation":"[1]"},"properties":{"noteIndex":0},"schema":"https://github.com/citation-style-language/schema/raw/master/csl-citation.json"}</w:instrText>
      </w:r>
      <w:r w:rsidR="00781127" w:rsidRPr="00EB7642">
        <w:rPr>
          <w:rFonts w:eastAsia="MS Mincho"/>
        </w:rPr>
        <w:fldChar w:fldCharType="separate"/>
      </w:r>
      <w:r w:rsidR="00781127" w:rsidRPr="00EB7642">
        <w:rPr>
          <w:rFonts w:eastAsia="MS Mincho"/>
          <w:noProof/>
        </w:rPr>
        <w:t>[1]</w:t>
      </w:r>
      <w:r w:rsidR="00781127" w:rsidRPr="00EB7642">
        <w:rPr>
          <w:rFonts w:eastAsia="MS Mincho"/>
        </w:rPr>
        <w:fldChar w:fldCharType="end"/>
      </w:r>
      <w:r w:rsidR="00781127" w:rsidRPr="00EB7642">
        <w:rPr>
          <w:rFonts w:eastAsia="MS Mincho"/>
        </w:rPr>
        <w:t>. The cardinal PD motor symptoms are rest tremor, rigidity, bradykinesia, postural instability, and gait impairment</w:t>
      </w:r>
      <w:r w:rsidR="00781127">
        <w:rPr>
          <w:rFonts w:eastAsia="MS Mincho"/>
        </w:rPr>
        <w:t xml:space="preserve"> </w:t>
      </w:r>
      <w:r w:rsidR="00781127" w:rsidRPr="00EB7642">
        <w:rPr>
          <w:rFonts w:eastAsia="MS Mincho"/>
        </w:rPr>
        <w:fldChar w:fldCharType="begin" w:fldLock="1"/>
      </w:r>
      <w:r w:rsidR="00781127">
        <w:rPr>
          <w:rFonts w:eastAsia="MS Mincho"/>
        </w:rPr>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mendeley":{"formattedCitation":"[2–4]","plainTextFormattedCitation":"[2–4]","previouslyFormattedCitation":"[2–4]"},"properties":{"noteIndex":0},"schema":"https://github.com/citation-style-language/schema/raw/master/csl-citation.json"}</w:instrText>
      </w:r>
      <w:r w:rsidR="00781127" w:rsidRPr="00EB7642">
        <w:rPr>
          <w:rFonts w:eastAsia="MS Mincho"/>
        </w:rPr>
        <w:fldChar w:fldCharType="separate"/>
      </w:r>
      <w:r w:rsidR="00781127" w:rsidRPr="00EB7642">
        <w:rPr>
          <w:rFonts w:eastAsia="MS Mincho"/>
          <w:noProof/>
        </w:rPr>
        <w:t>[2–4]</w:t>
      </w:r>
      <w:r w:rsidR="00781127" w:rsidRPr="00EB7642">
        <w:rPr>
          <w:rFonts w:eastAsia="MS Mincho"/>
        </w:rPr>
        <w:fldChar w:fldCharType="end"/>
      </w:r>
      <w:r w:rsidR="00781127">
        <w:rPr>
          <w:rFonts w:eastAsia="MS Mincho"/>
        </w:rPr>
        <w:t>, which</w:t>
      </w:r>
      <w:r w:rsidR="00781127" w:rsidRPr="00EB7642">
        <w:rPr>
          <w:rFonts w:eastAsia="MS Mincho"/>
        </w:rPr>
        <w:t xml:space="preserve"> are often treated</w:t>
      </w:r>
      <w:r w:rsidR="00781127">
        <w:rPr>
          <w:rFonts w:eastAsia="MS Mincho"/>
        </w:rPr>
        <w:t xml:space="preserve"> pharmacologically</w:t>
      </w:r>
      <w:r w:rsidR="00781127" w:rsidRPr="00EB7642">
        <w:rPr>
          <w:rFonts w:eastAsia="MS Mincho"/>
        </w:rPr>
        <w:t xml:space="preserve"> with dopamine replacement, dopamine agonists, and inhibitors</w:t>
      </w:r>
      <w:r w:rsidR="00781127">
        <w:rPr>
          <w:rFonts w:eastAsia="MS Mincho"/>
        </w:rPr>
        <w:t xml:space="preserve"> </w:t>
      </w:r>
      <w:r w:rsidR="00781127" w:rsidRPr="00EB7642">
        <w:rPr>
          <w:rFonts w:eastAsia="MS Mincho"/>
        </w:rPr>
        <w:fldChar w:fldCharType="begin" w:fldLock="1"/>
      </w:r>
      <w:r w:rsidR="00781127">
        <w:rPr>
          <w:rFonts w:eastAsia="MS Mincho"/>
        </w:rPr>
        <w:instrText>ADDIN CSL_CITATION {"citationItems":[{"id":"ITEM-1","itemData":{"DOI":"10.1016/S1474-4422(09)70293-5","ISBN":"1474-4422","ISSN":"14744422","PMID":"19909911","abstract":"A dopaminergic deficiency in patients with Parkinson's disease (PD) causes abnormalities of movement, behaviour, learning, and emotions. The main motor features (ie, tremor, rigidity, and akinesia) are associated with a deficiency of dopamine in the posterior putamen and the motor circuit. Hypokinesia and bradykinesia might have a dual anatomo-functional basis: hypokinesia mediated by brainstem mechanisms and bradykinesia by cortical mechanisms. The classic pathophysiological model for PD (ie, hyperactivity in the globus pallidus pars interna and substantia nigra pars reticulata) does not explain rigidity and tremor, which might be caused by changes in primary motor cortex activity. Executive functions (ie, planning and problem solving) are also impaired in early PD, but are usually not clinically noticed. These impairments are associated with dopamine deficiency in the caudate nucleus and with dysfunction of the associative and other non-motor circuits. Apathy, anxiety, and depression are the main psychiatric manifestations in untreated PD, which might be caused by ventral striatum dopaminergic deficit and depletion of serotonin and norepinephrine. In this Review we discuss the motor, cognitive, and psychiatric manifestations associated with the dopaminergic deficiency in the early phase of the parkinsonian state and the different circuits implicated, and we propose distinct mechanisms to explain the wide clinical range of PD symptoms at the time of diagnosis. © 2009 Elsevier Ltd. All rights reserved.","author":[{"dropping-particle":"","family":"Rodriguez-Oroz","given":"Maria C.","non-dropping-particle":"","parse-names":false,"suffix":""},{"dropping-particle":"","family":"Jahanshahi","given":"Marjan","non-dropping-particle":"","parse-names":false,"suffix":""},{"dropping-particle":"","family":"Krack","given":"Paul","non-dropping-particle":"","parse-names":false,"suffix":""},{"dropping-particle":"","family":"Litvan","given":"Irene","non-dropping-particle":"","parse-names":false,"suffix":""},{"dropping-particle":"","family":"Macias","given":"Raúl","non-dropping-particle":"","parse-names":false,"suffix":""},{"dropping-particle":"","family":"Bezard","given":"Erwan","non-dropping-particle":"","parse-names":false,"suffix":""},{"dropping-particle":"","family":"Obeso","given":"José a.","non-dropping-particle":"","parse-names":false,"suffix":""}],"container-title":"The Lancet Neurology","id":"ITEM-1","issue":"12","issued":{"date-parts":[["2009","12"]]},"page":"1128-1139","title":"Initial clinical manifestations of Parkinson's disease: features and pathophysiological mechanisms","type":"article-journal","volume":"8"},"uris":["http://www.mendeley.com/documents/?uuid=f283f2c3-68a7-4e8d-9b57-8e74dacc1f4a"]},{"id":"ITEM-2","itemData":{"DOI":"10.1146/annurev-pathol-011110-130242","ISSN":"1553-4006","author":[{"dropping-particle":"","family":"Shulman","given":"Joshua M.","non-dropping-particle":"","parse-names":false,"suffix":""},{"dropping-particle":"","family":"Jager","given":"Philip L.","non-dropping-particle":"De","parse-names":false,"suffix":""},{"dropping-particle":"","family":"Feany","given":"Mel B.","non-dropping-particle":"","parse-names":false,"suffix":""}],"container-title":"Annual Review of Pathology: Mechanisms of Disease","id":"ITEM-2","issue":"1","issued":{"date-parts":[["2011","2","28"]]},"note":"With a prevalence of approximately 1%at age 65, which rises to nearly5%by age 85,PDis the second most common neurodegenerative dis- order after Alzheimer’s disease (3, 4).\n\nMean age at dx, 70s\n\nGood brain figure and dopamine pathway.","page":"193-222","title":"Parkinson's Disease: Genetics and Pathogenesis","type":"article-journal","volume":"6"},"uris":["http://www.mendeley.com/documents/?uuid=ac93398b-8f75-4486-8a26-00c87adbcff0"]},{"id":"ITEM-3","itemData":{"DOI":"10.1136/jnnp.2007.131045","ISSN":"0022-3050","author":[{"dropping-particle":"","family":"Jankovic","given":"J","non-dropping-particle":"","parse-names":false,"suffix":""}],"container-title":"Journal of Neurology, Neurosurgery &amp; Psychiatry","id":"ITEM-3","issue":"4","issued":{"date-parts":[["2008","4","1"]]},"page":"368-376","title":"Parkinson's disease: clinical features and diagnosis","type":"article-journal","volume":"79"},"uris":["http://www.mendeley.com/documents/?uuid=3e459de4-5162-482b-be13-cae6e8fdadbe"]},{"id":"ITEM-4","itemData":{"DOI":"10.1016/0022-510X(73)90175-5","ISBN":"0022-510X (Print) 0022-510X (Linking)","ISSN":"0022510X","PMID":"4272516","abstract":"A clinical, morphological and neurochemical correlative study in patients with Parkinson's syndrome and Huntington's chorea is reported. In the former group of patients, 69 brains were examined morphologically and 28 biochemically; in the latter group, 4 brains were examined morphologically and 14 biochemically. The results were as follows: (1) The main morphological alteration common to all forms of Parkinsonism was damage to the substantia nigra with a loss of the melanin-containing nerve cells in the zona compacta; the degree and pattern of this cell loss varied in a manner characteristic of the different forms of Parkinsonism. (2) Neurochemically, Parkinson's syndrome was characterized by a decrease in the concentrations of dopamine (DA) and its metabolite homovanillic acid (HVA) in the striatum (caudate nucleus and putamen) and pallidum. (3) A satisfactory positive correlation could be established between the degree of cell loss in the zona compacta of the substantia nigra and the disturbance of DA metabolism in the nuclei of the basal ganglia. (4) The nosological classification of Parkinson's syndrome (based on clinical and morphological criteria) into 3 main groups, viz. postencephalitic, idiopathic and “arteriosclerotic”-senile, was supported by distinct, though not in all cases statistically significant, differences in the degree of disturbance of striatal DA metabolism. (5) In general, mild Parkinsonism, just manifest clinically, was associated with a disproportionately high degree of striatal DA deficiency. From this it was concluded that: (a) clinically manifest Parkinsonism represents the late, “decompensated”, stage of a disease characterized by a progressive striatal DA deficiency; and (b) the striatum can compensate functionally for lower degrees of DA deficiency. (6) Positive correlations could be established, within a certain range, between the severity of individual Parkinsonian symptoms (especially akinesia and tremor) and (a) the degree, and also the site, of the disturbance of DA metabolism within the nuclei of the basal ganglia; and (b) the sensitivity of the patients to levodopa's acute anti-akinesia effect. The latter observation was interpreted as suggesting that in Parkinsonism there exists a supersensitivity (probably of the “denervation type”) of striatal receptors to DA. (7) Based on the correlations, levodopa therapy can be regarded as a specific, though probably predominantly symptomatic, treatment of the main extrapyrami…","author":[{"dropping-particle":"","family":"Bernheimer","given":"H","non-dropping-particle":"","parse-names":false,"suffix":""},{"dropping-particle":"","family":"Birkmayer","given":"W","non-dropping-particle":"","parse-names":false,"suffix":""},{"dropping-particle":"","family":"Hornykiewicz","given":"O","non-dropping-particle":"","parse-names":false,"suffix":""},{"dropping-particle":"","family":"Jellinger","given":"K","non-dropping-particle":"","parse-names":false,"suffix":""},{"dropping-particle":"","family":"Seitelberger","given":"F","non-dropping-particle":"","parse-names":false,"suffix":""}],"container-title":"Journal of the Neurological Sciences","id":"ITEM-4","issue":"4","issued":{"date-parts":[["1973","12"]]},"page":"415-455","title":"Brain dopamine and the syndromes of Parkinson and Huntington Clinical, morphological and neurochemical correlations","type":"article-journal","volume":"20"},"uris":["http://www.mendeley.com/documents/?uuid=2b108045-04a4-453b-a687-4c15377e673b"]},{"id":"ITEM-5","itemData":{"abstract":"Parkinsonism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Sciences","id":"ITEM-5","issued":{"date-parts":[["2003"]]},"page":"1-14","title":"Description of Parkinson’ s Disease as a Clinical Syndrome","type":"article-journal","volume":"991"},"uris":["http://www.mendeley.com/documents/?uuid=63b3f15d-72bd-4a15-a52d-94491c167cb5"]}],"mendeley":{"formattedCitation":"[2–6]","plainTextFormattedCitation":"[2–6]","previouslyFormattedCitation":"[2–6]"},"properties":{"noteIndex":0},"schema":"https://github.com/citation-style-language/schema/raw/master/csl-citation.json"}</w:instrText>
      </w:r>
      <w:r w:rsidR="00781127" w:rsidRPr="00EB7642">
        <w:rPr>
          <w:rFonts w:eastAsia="MS Mincho"/>
        </w:rPr>
        <w:fldChar w:fldCharType="separate"/>
      </w:r>
      <w:r w:rsidR="00781127" w:rsidRPr="00EB7642">
        <w:rPr>
          <w:rFonts w:eastAsia="MS Mincho"/>
          <w:noProof/>
        </w:rPr>
        <w:t>[2–6]</w:t>
      </w:r>
      <w:r w:rsidR="00781127" w:rsidRPr="00EB7642">
        <w:rPr>
          <w:rFonts w:eastAsia="MS Mincho"/>
        </w:rPr>
        <w:fldChar w:fldCharType="end"/>
      </w:r>
      <w:r w:rsidR="00781127" w:rsidRPr="00EB7642">
        <w:rPr>
          <w:rFonts w:eastAsia="MS Mincho"/>
        </w:rPr>
        <w:t>, but sometimes with limited effects</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{"citationItems":[{"id":"ITEM-1","itemData":{"DOI":"10.1016/S0166-4328(05)80083-X","ISSN":"01664328","abstract":"The aims of the present study were to analyze how L-Dopa allows parkinsonian patients to increase their gait velocity and to compare these L-Dopa-induced modifications with those achieved by consciously attempting to walk as fast as possible (intentional modulations). The 'intentional modulations' of velocity were also compared with those of healthy elderly subjects. The results showed that parkinsonian patients walked more slowly, with shorter strides and shorter durations of swing phase, and longer durations of stance and double support phases, although no differences were observed for cycle duration. The mechanisms involved in increasing gait velocity were found to differ according to whether this was achieved through the action of L-Dopa, or by intentional increases in velocity. Intentional increases in velocity were greater than those caused by the effect of L-Dopa. The patients, however, used efficient strategies to increase their velocity when under the influence of L-Dopa. As L-Dopa leads to a ceiling effect on stride length, the patients can increase their velocity by modifying the cycle to such an extent that it compensates for the limitation in stride length. This strategy effectively increases velocity, despite the L-Dopa ceiling effect. The effects of L-Dopa on locomotion and, more generally, on motor control aspects are discussed.","author":[{"dropping-particle":"","family":"Ferrandez","given":"Anne-Marie","non-dropping-particle":"","parse-names":false,"suffix":""},{"dropping-particle":"","family":"Blin","given":"Olivier","non-dropping-particle":"","parse-names":false,"suffix":""}],"container-title":"Behavioural Brain Research","id":"ITEM-1","issue":"2","issued":{"date-parts":[["1991","11"]]},"page":"177-183","title":"A comparison between the effect of intentional modulations and the action of l-Dopa on gait in Parkinson's disease","type":"article-journal","volume":"45"},"uris":["http://www.mendeley.com/documents/?uuid=04e7ac55-28d1-4e6c-b4b1-b8e7c670bd76"]}],"mendeley":{"formattedCitation":"[24]","plainTextFormattedCitation":"[24]","previouslyFormattedCitation":"[24]"},"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[24]</w:t>
      </w:r>
      <w:r w:rsidR="00781127" w:rsidRPr="00EB7642">
        <w:rPr>
          <w:rFonts w:eastAsia="MS Mincho"/>
        </w:rPr>
        <w:fldChar w:fldCharType="end"/>
      </w:r>
      <w:r w:rsidR="00781127" w:rsidRPr="00EB7642">
        <w:rPr>
          <w:rFonts w:eastAsia="MS Mincho"/>
        </w:rPr>
        <w:t>. Additionally, a decrease in automaticity, when a given motor task is performed without attentional control</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10.1016/j.nbd.2015.06.014","ISSN":"09699961","author":[{"dropping-particle":"","family":"Wu","given":"Tao","non-dropping-particle":"","parse-names":false,"suffix":""},{"dropping-particle":"","family":"Hallett","given":"Mark","non-dropping-particle":"","parse-names":false,"suffix":""},{"dropping-particle":"","family":"Chan","given":"Piu","non-dropping-particle":"","parse-names":false,"suffix":""}],"container-title":"Neurobiology of Disease","id":"ITEM-1","issued":{"date-parts":[["2015","10"]]},"page":"226-234","publisher":"Elsevier Inc.","title":"Motor automaticity in Parkinson's disease","type":"article-journal","volume":"82"},"uris":["http://www.mendeley.com/documents/?uuid=859c3d7b-b44a-4b4b-9875-4131f0364423"]}],"mendeley":{"formattedCitation":"[7]","plainTextFormattedCitation":"[7]","previouslyFormattedCitation":"[7]"},"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[7]</w:t>
      </w:r>
      <w:r w:rsidR="00781127" w:rsidRPr="00EB7642">
        <w:rPr>
          <w:rFonts w:eastAsia="MS Mincho"/>
        </w:rPr>
        <w:fldChar w:fldCharType="end"/>
      </w:r>
      <w:r w:rsidR="00781127" w:rsidRPr="00EB7642">
        <w:rPr>
          <w:rFonts w:eastAsia="MS Mincho"/>
        </w:rPr>
        <w:t>, is also common in PD</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{"citationItems":[{"id":"ITEM-1","itemData":{"DOI":"10.1007/s00221-013-3412-9","ISBN":"0022101334129","ISSN":"0014-4819","PMID":"23371748","abstract":"The simultaneous performance of a cognitive task while walking typically alters the gait pattern. In some populations, these alterations have been associated with an increased risk of falls, motivating study of this response from the clinical perspective. The mechanisms responsible for these effects are not fully understood. The concurrent requirement to control upright posture and stepping, a bilaterally coordinated rhythmic task, may be the cause of this so-called dual-tasking effect. To evaluate this possibility, the present study was designed to isolate the individual contribution of these two demands by assessing the effects of cognitive loading on standing (i.e., postural control without bilateral coordination of stepping), cycling (i.e., bilateral coordination similar to stepping, but with minimal postural demands), and walking. We also investigated the effects of aging and parkinsonism on the performance of these three tasks in response to cognitive loading, also referred to as a dual task. Twenty-one healthy young adults, 15 healthy older adults, and 18 patients with Parkinson's disease were assessed while walking, standing, and cycling, with and without an additional cognitive load. In the young adults, the performance on the two motor tasks that involved bilateral coordination deteriorated significantly in response to the dual task, while standing was not impacted. Similar results, although less robust, were observed among the healthy older adults. In contrast, among the patients with Parkinson's disease, the dual-task costs, i.e., the impact of the simultaneously performed cognitive task on the gait pattern, were high in all motor tasks. These findings suggest that walking is especially vulnerable to cognitive loading, in part, because of the unique sensitivity of bilateral coordination of limb movements to the effects of dual tasking.","author":[{"dropping-particle":"","family":"Yogev-Seligmann","given":"Galit","non-dropping-particle":"","parse-names":false,"suffix":""},{"dropping-particle":"","family":"Giladi","given":"Nir","non-dropping-particle":"","parse-names":false,"suffix":""},{"dropping-particle":"","family":"Gruendlinger","given":"Leor","non-dropping-particle":"","parse-names":false,"suffix":""},{"dropping-particle":"","family":"Hausdorff","given":"Jeffrey M.","non-dropping-particle":"","parse-names":false,"suffix":""}],"container-title":"Experimental Brain Research","id":"ITEM-1","issue":"1","issued":{"date-parts":[["2013","4","1"]]},"note":"Among the young adults, all gait measures become worse in response to dual tasking. In contrast, when the young adults performed the verbal fluency task while standing, both the center-of-pressure radial displacement and center-of-pressure area (p &amp;lt; 0.033) improved (became smaller) and center-of-pressure velocity did not change significantly.\n\nThus, in the young adults, the performance of both tasks that involved bilateral coordination, i.e., walk-(p = 0.274). Thus, in the young adults, the performance of both tasks that involved bilateral coordination, i.e., walk-ing and cycling, deteriorated in response to the dual tasking.\n\nWalking Among both the older adults and the patients with Parkinson’s disease, the simultaneous performance of the verbal fluency task had a significant negative effect on all gait measures (p &amp;lt; 0.002)\n\nQuiet Standing In the older adults and the patients with Parkinson’s disease, dual tasking caused a significant increase in center-of-pressure velocity (p &amp;lt; 0.013), demonstrating a decrease in performance. No significant dual-tasking effects were observed for center-of-pressure radial displacement or center-of-pressure area in these two groups.\n\nWalking\nFor both average stride time and stride time variability, significant main effects were observed, p = 0.002, p = 0.003,respectively. Post hoc analysis revealed significant differences only between the young adults and the patients with Parkinson’s disease, p = 0.002, p = 0.002, respectively, and trends between the older adults and the patients with Parkinson’s disease, p = 0.063, p = 0.088, respectively. Walking speed showed similar findings with a significant main effect (p &amp;lt; 0.001) and significant differences in post hoc analysis between the young adults and the patients with Parkinson’s disease (p &amp;lt; 0.001), and between the older adults and the patients with Parkinson’s disease (p = 0.048).\n\nStanding\nFor both radial displacement of center-of-pressure and average velocity of the center-of-pressure, significant main effects were observed (p = 0.018, p = 0.044, respectively). Post hoc analysis revealed significant differences between the young adults and the patients with Parkinson’s disease, p = 0.014, p = 0.036, respectively. Center-of-pressure area results were similar to those of the radial displacement, main effect, p = 0.022, with post hoc analysis showing significant differences between the young adults and patients with Parkinson’s disease, p = 0.016.\n\n\nPost hoc analyses revealed that dual-tasking\ncosts of stride time variability were larger than those of\ncenter-of-pressure velocity and cycling variability.","page":"81-93","title":"The contribution of postural control and bilateral coordination to the impact of dual tasking on gait","type":"article-journal","volume":"226"},"uris":["http://www.mendeley.com/documents/?uuid=a11508fa-4cc9-481f-a45f-d75168384dcb"]}],"mendeley":{"formattedCitation":"[25]","plainTextFormattedCitation":"[25]","previouslyFormattedCitation":"[25]"},"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[25]</w:t>
      </w:r>
      <w:r w:rsidR="00781127" w:rsidRPr="00EB7642">
        <w:rPr>
          <w:rFonts w:eastAsia="MS Mincho"/>
        </w:rPr>
        <w:fldChar w:fldCharType="end"/>
      </w:r>
      <w:r w:rsidR="00781127" w:rsidRPr="00EB7642">
        <w:rPr>
          <w:rFonts w:eastAsia="MS Mincho"/>
        </w:rPr>
        <w:t xml:space="preserve">. Automaticity is assessed via performance in dual-task paradigms, during which subjects perform a primary task (e.g., walking) concurrent with a secondary task (e.g., phoneme monitoring). Any detriments to </w:t>
      </w:r>
      <w:r w:rsidR="00781127">
        <w:rPr>
          <w:rFonts w:eastAsia="MS Mincho"/>
        </w:rPr>
        <w:t xml:space="preserve">the </w:t>
      </w:r>
      <w:r w:rsidR="00781127" w:rsidRPr="00EB7642">
        <w:rPr>
          <w:rFonts w:eastAsia="MS Mincho"/>
        </w:rPr>
        <w:t xml:space="preserve">performance of the primary and/or secondary tasks in dual-task paradigms </w:t>
      </w:r>
      <w:r w:rsidR="00781127">
        <w:rPr>
          <w:rFonts w:eastAsia="MS Mincho"/>
        </w:rPr>
        <w:t xml:space="preserve">can be interpreted as </w:t>
      </w:r>
      <w:r w:rsidR="00781127" w:rsidRPr="00EB7642">
        <w:rPr>
          <w:rFonts w:eastAsia="MS Mincho"/>
        </w:rPr>
        <w:t>dual-task interference</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{"citationItems":[{"id":"ITEM-1","itemData":{"DOI":"10.1136/jnnp.2007.126599","ISBN":"0022-3050","ISSN":"0022-3050","PMID":"18006652","abstract":"BACKGROUND: Patients with Parkinson's disease (PD) have great difficulty in performing two tasks simultaneously, but the neural contribution to this problem has not been identified. In the current study, we investigated the pathophysiology of dual task performance in PD. METHODS: We studied 15 patients with PD and 14 healthy controls. Functional MRIs were obtained before and after practicing dual tasks with different complexities. RESULTS: After practice, 12 normal subjects performed all dual tasks correctly. Twelve patients performed the simpler dual tasks correctly. However, only 3 patients could perform the more complex dual task correctly. Dual tasks activated similar brain regions in both groups. The bilateral precuneus was additionally activated during performance of dual tasks compared with the component tasks in both groups. Patients had greater activity in the cerebellum, premotor area, parietal cortex, precuneus and prefrontal cortex compared with normal subjects. CONCLUSIONS: Difficulty in performing two tasks simultaneously in patients with PD is probably due to limited attentional resources, defective central executive function and less automaticity in performing the tasks. Practice can diminish dual task interference and improve performance in patients with PD.","author":[{"dropping-particle":"","family":"Wu","given":"Tao","non-dropping-particle":"","parse-names":false,"suffix":""},{"dropping-particle":"","family":"Hallett","given":"Mark","non-dropping-particle":"","parse-names":false,"suffix":""}],"container-title":"Journal of Neurology, Neurosurgery &amp; Psychiatry","id":"ITEM-1","issue":"7","issued":{"date-parts":[["2008","7","1"]]},"note":"Before training, more errors were found in performing dual tasks than in performing single tasks, as well as in performing the more complex dual tasks (sequence-12/letter-counting and sequence-12/ tapping) than in performing the simpler dual tasks. Patients made more errors than normal subjects while performing dual tasks.\n\nAfter training (4.7 +- 1.0 h), 12 normal subjects performed all dual tasks correctly. In contrast, although they spent significantly more time (6.0 +- 0.8 h) performing the tasks, only 12 patients could perform the simpler dual tasks with high accuracy. Among them, only three patients performed the more complex dual tasks correctly.\n\nAlthough training significantly improved performance in both groups, patients still had more errors in performing the more complex dual tasks compared with normal subjects. There is a significant interaction between before/after training performance and normal/PD group.\n\n\nAt both the before- and after-training stages, patients had greater activation in the bilateral DLPFC, middle frontal gyrus, bilateral PMA, bilateral parietal cortex, bilateral precuneus, bilateral temporal lobe, occipital lobe, bilateral cerebellum, thalamus and cingulate gyrus compared with normal subjects while performing dual tasks.","page":"760-766","title":"Neural correlates of dual task performance in patients with Parkinson's disease","type":"article-journal","volume":"79"},"uris":["http://www.mendeley.com/documents/?uuid=ca8467b6-3c03-4e43-a079-8d80a4fa0569"]},{"id":"ITEM-2","itemData":{"DOI":"10.3389/fnhum.2015.00225","ISBN":"1662-5161","ISSN":"1662-5161","PMID":"25972801","abstract":"The relevance of dual-task walking to everyday ambulation is widely acknowledged, and numerous studies have demonstrated that dual-task interference can significantly impact recovery of functional walking in people with neurological disorders. The magnitude and direction of dual-task interference is influenced by the interaction between the two tasks, including how individuals spontaneously prioritize their attention. Therefore, to accurately interpret and characterize dual-task interference and identify changes over time, it is imperative to evaluate single and dual-task performance in both tasks, as well as the tasks relative to each other. Yet, reciprocal dual-task effects (DTE) are frequently ignored. The purpose of this perspective paper is to present a framework for measuring treatment effects on dual-task interference, specifically taking into account the interactions between the two tasks and how this can provide information on whether overall dual-task capacity has improved or a different attentional strategy has been adopted. In discussing the clinical implications of using this framework, we provide specific examples of using this method and provide some explicit recommendations for research and clinical practice.","author":[{"dropping-particle":"","family":"Plummer","given":"Prudence","non-dropping-particle":"","parse-names":false,"suffix":""},{"dropping-particle":"","family":"Eskes","given":"Gail","non-dropping-particle":"","parse-names":false,"suffix":""}],"container-title":"Frontiers in Human Neuroscience","id":"ITEM-2","issue":"April","issued":{"date-parts":[["2015","4","28"]]},"page":"225","title":"Measuring treatment effects on dual-task performance: a framework for research and clinical practice","type":"article-journal","volume":"9"},"uris":["http://www.mendeley.com/documents/?uuid=72512a00-ef5a-47f8-a3f2-45222c97e3d7"]}],"mendeley":{"formattedCitation":"[8,11]","plainTextFormattedCitation":"[8,11]","previouslyFormattedCitation":"[8,11]"},"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[8,11]</w:t>
      </w:r>
      <w:r w:rsidR="00781127" w:rsidRPr="00EB7642">
        <w:rPr>
          <w:rFonts w:eastAsia="MS Mincho"/>
        </w:rPr>
        <w:fldChar w:fldCharType="end"/>
      </w:r>
      <w:r w:rsidR="00781127" w:rsidRPr="00EB7642">
        <w:rPr>
          <w:rFonts w:eastAsia="MS Mincho"/>
        </w:rPr>
        <w:t>. Dual-task interference in PD gait and balance has been well documented</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10.1016/j.nbd.2015.06.014","ISSN":"09699961","author":[{"dropping-particle":"","family":"Wu","given":"Tao","non-dropping-particle":"","parse-names":false,"suffix":""},{"dropping-particle":"","family":"Hallett","given":"Mark","non-dropping-particle":"","parse-names":false,"suffix":""},{"dropping-particle":"","family":"Chan","given":"Piu","non-dropping-particle":"","parse-names":false,"suffix":""}],"container-title":"Neurobiology of Disease","id":"ITEM-1","issued":{"date-parts":[["2015","10"]]},"page":"226-234","publisher":"Elsevier Inc.","title":"Motor automaticity in Parkinson's disease","type":"article-journal","volume":"82"},"uris":["http://www.mendeley.com/documents/?uuid=859c3d7b-b44a-4b4b-9875-4131f0364423"]},{"id":"ITEM-2","itemData":{"DOI":"10.1007/s00221-013-3412-9","ISBN":"0022101334129","ISSN":"0014-4819","PMID":"23371748","abstract":"The simultaneous performance of a cognitive task while walking typically alters the gait pattern. In some populations, these alterations have been associated with an increased risk of falls, motivating study of this response from the clinical perspective. The mechanisms responsible for these effects are not fully understood. The concurrent requirement to control upright posture and stepping, a bilaterally coordinated rhythmic task, may be the cause of this so-called dual-tasking effect. To evaluate this possibility, the present study was designed to isolate the individual contribution of these two demands by assessing the effects of cognitive loading on standing (i.e., postural control without bilateral coordination of stepping), cycling (i.e., bilateral coordination similar to stepping, but with minimal postural demands), and walking. We also investigated the effects of aging and parkinsonism on the performance of these three tasks in response to cognitive loading, also referred to as a dual task. Twenty-one healthy young adults, 15 healthy older adults, and 18 patients with Parkinson's disease were assessed while walking, standing, and cycling, with and without an additional cognitive load. In the young adults, the performance on the two motor tasks that involved bilateral coordination deteriorated significantly in response to the dual task, while standing was not impacted. Similar results, although less robust, were observed among the healthy older adults. In contrast, among the patients with Parkinson's disease, the dual-task costs, i.e., the impact of the simultaneously performed cognitive task on the gait pattern, were high in all motor tasks. These findings suggest that walking is especially vulnerable to cognitive loading, in part, because of the unique sensitivity of bilateral coordination of limb movements to the effects of dual tasking.","author":[{"dropping-particle":"","family":"Yogev-Seligmann","given":"Galit","non-dropping-particle":"","parse-names":false,"suffix":""},{"dropping-particle":"","family":"Giladi","given":"Nir","non-dropping-particle":"","parse-names":false,"suffix":""},{"dropping-particle":"","family":"Gruendlinger","given":"Leor","non-dropping-particle":"","parse-names":false,"suffix":""},{"dropping-particle":"","family":"Hausdorff","given":"Jeffrey M.","non-dropping-particle":"","parse-names":false,"suffix":""}],"container-title":"Experimental Brain Research","id":"ITEM-2","issue":"1","issued":{"date-parts":[["2013","4","1"]]},"note":"Among the young adults, all gait measures become worse in response to dual tasking. In contrast, when the young adults performed the verbal fluency task while standing, both the center-of-pressure radial displacement and center-of-pressure area (p &amp;lt; 0.033) improved (became smaller) and center-of-pressure velocity did not change significantly.\n\nThus, in the young adults, the performance of both tasks that involved bilateral coordination, i.e., walk-(p = 0.274). Thus, in the young adults, the performance of both tasks that involved bilateral coordination, i.e., walk-ing and cycling, deteriorated in response to the dual tasking.\n\nWalking Among both the older adults and the patients with Parkinson’s disease, the simultaneous performance of the verbal fluency task had a significant negative effect on all gait measures (p &amp;lt; 0.002)\n\nQuiet Standing In the older adults and the patients with Parkinson’s disease, dual tasking caused a significant increase in center-of-pressure velocity (p &amp;lt; 0.013), demonstrating a decrease in performance. No significant dual-tasking effects were observed for center-of-pressure radial displacement or center-of-pressure area in these two groups.\n\nWalking\nFor both average stride time and stride time variability, significant main effects were observed, p = 0.002, p = 0.003,respectively. Post hoc analysis revealed significant differences only between the young adults and the patients with Parkinson’s disease, p = 0.002, p = 0.002, respectively, and trends between the older adults and the patients with Parkinson’s disease, p = 0.063, p = 0.088, respectively. Walking speed showed similar findings with a significant main effect (p &amp;lt; 0.001) and significant differences in post hoc analysis between the young adults and the patients with Parkinson’s disease (p &amp;lt; 0.001), and between the older adults and the patients with Parkinson’s disease (p = 0.048).\n\nStanding\nFor both radial displacement of center-of-pressure and average velocity of the center-of-pressure, significant main effects were observed (p = 0.018, p = 0.044, respectively). Post hoc analysis revealed significant differences between the young adults and the patients with Parkinson’s disease, p = 0.014, p = 0.036, respectively. Center-of-pressure area results were similar to those of the radial displacement, main effect, p = 0.022, with post hoc analysis showing significant differences between the young adults and patients with Parkinson’s disease, p = 0.016.\n\n\nPost hoc analyses revealed that dual-tasking\ncosts of stride time variability were larger than those of\ncenter-of-pressure velocity and cycling variability.","page":"81-93","title":"The contribution of postural control and bilateral coordination to the impact of dual tasking on gait","type":"article-journal","volume":"226"},"uris":["http://www.mendeley.com/documents/?uuid=a11508fa-4cc9-481f-a45f-d75168384dcb"]},{"id":"ITEM-3","itemData":{"DOI":"10.1016/j.gaitpost.2015.06.188","ISSN":"09666362","abstract":"This study aimed to examine the differences in standing balance between individuals with Parkinson’s disease (PD) and subjects without PD (control group), under single and dual-task conditions. A cross- sectional study was designed using a non-probabilistic sample of 110 individuals (50 participants with PD and 60 controls) aged 50 years old and over. The individuals with PD were in the early or middle stages of the disease (characterized by Hoehn and Yahr as stages 1–3). The standing balance was assessed by measuring the centre of pressure (CoP) displacement in single-task (eyes-open/eyes-closed) and dual-task (while performing two different verbal fluency tasks). No significant differences were found between the groups regarding sociodemographic variables. In general, the standing balance of the individuals with PD was worse than the controls, as the CoP displacement across tasks was significantly higher for the individuals with PD (p &lt; 0.01), both in anteroposterior and mediolateral directions. Moreover, there were significant differences in the CoP displacement based parameters between the conditions, mainly between the eyes-open condition and the remaining conditions. However, there was no significant interaction found between group and condition, which suggests that changes in the CoP displacement between tasks were not influenced by having PD. In conclusion, this study shows that, although individuals with PD had a worse overall standing balance than individuals without the disease, the impact of performing an additional task on the CoP displacement is similar for both groups.","author":[{"dropping-particle":"","family":"Fernandes","given":"Ângela","non-dropping-particle":"","parse-names":false,"suffix":""},{"dropping-particle":"","family":"Coelho","given":"Tiago","non-dropping-particle":"","parse-names":false,"suffix":""},{"dropping-particle":"","family":"Vitória","given":"Ana","non-dropping-particle":"","parse-names":false,"suffix":""},{"dropping-particle":"","family":"Ferreira","given":"Augusto","non-dropping-particle":"","parse-names":false,"suffix":""},{"dropping-particle":"","family":"Santos","given":"Rubim","non-dropping-particle":"","parse-names":false,"suffix":""},{"dropping-particle":"","family":"Rocha","given":"Nuno","non-dropping-particle":"","parse-names":false,"suffix":""},{"dropping-particle":"","family":"Fernandes","given":"Lia","non-dropping-particle":"","parse-names":false,"suffix":""},{"dropping-particle":"","family":"Tavares","given":"João Manuel R.S.","non-dropping-particle":"","parse-names":false,"suffix":""}],"container-title":"Gait &amp; Posture","id":"ITEM-3","issue":"3","issued":{"date-parts":[["2015","9"]]},"note":"The CoP displacement based parameters studied were its maximum displacement (cm) in the anteroposterior (AP) and mediolateral (ML) directions, and its mean velocity (cm/s).\n\n\nTwo different verbal fluency tasks: semantic fluency task (enunciate the name of as many species of animals as possible) and phonemic fluency task (enunciate as many words as possible beginning with the letter R).\n\nThrough the mixed model ANOVA (Table 2) analyses, it was possible to ascertain that there were statistically significant differences (p &amp;lt; 0.01) between the individuals with PD and the controls regarding the maximum CoP displacement (both in AP and ML directions), but not in regard to the mean CoP velocity (p = 0.19). Overall, the CoP based values were higher for the individuals with PD (Table 3).\n\nSignificant differences were also found between the tasks (within-subjects) for the maximum CoP displacement in ML direction (p &amp;lt; 0.01), maximum CoP displacement in AP direction (p &amp;lt; 0.05), and mean CoP velocity (p &amp;lt; 0.01). Post hoc analysis (Table 4) showed that these differences were between the eyes- open task and the remaining tasks, particularly for the maximum CoP displacement in ML direction and for the mean CoP velocity, and between the eyes-open and the eyes-closed conditions, in particular, for the maximum CoP displacement in AP direction.\n\n\nTherefore, it was found that the effect of performing a more complex task (standing with eyes closed), or an additional task (enunciating words while standing), on standing balance was not significantly different between the individuals with PD and controls (PD not worse than controls, but both groups had sig changes between tasks).\n\n\nIn general, the standing balance of the individuals with PD was worse (i.e. presented higher CoP displacement values) than those without the disease. Furthermore, the differences in standing balance between tasks were not influenced by having PD. In other words, the impact of performing more complex tasks on standing balance was similar for the individuals with PD and the controls, although the standing balance of the individuals with PD was consistently worse.","page":"323-328","title":"Standing balance in individuals with Parkinson's disease during single and dual-task conditions","type":"article-journal","volume":"42"},"uris":["http://www.mendeley.com/documents/?uuid=b6921266-33e3-4201-a791-af0d0f6a2df1"]},{"id":"ITEM-4","itemData":{"DOI":"10.1590/0004-282X20150153","ISSN":"1678-4227","PMID":"26517212","abstract":"Objectives To estimate the impact of a sensory-motor- cognitive task on postural balance, in Parkinson disease patients (Hoehn and Yahr 2-3) and to investigate possible relationships between posturography and functional balance clinical scales.Method Parkinson disease patients (n = 40) and healthy controls (n = 27) were evaluated with fluency tests, Berg Balance scale, Mini Best test and static posturography on the conditions eyes open, eyes closed and dual-task (simultaneous balance and fluency tasks).Results Posturographic data showed that Parkinson disease patients performed worse than controls in all evaluations. In general, balance on dual-task was significantly poorer than balance with eyes closed. Posturographic data were weakly correlated to clinical balance scales.Conclusion In clinical practice, Parkinson disease patients are commonly assessed with eyes closed, to sensitize balance. Our study showed that adding a cognitive task is even more effective. Static posturographic data should be carefully overgeneralized to infer functional balance impairments.","author":[{"dropping-particle":"","family":"Barbosa","given":"Alessandra Ferreira","non-dropping-particle":"","parse-names":false,"suffix":""},{"dropping-particle":"","family":"Souza","given":"Carolina de Oliveira","non-dropping-particle":"","parse-names":false,"suffix":""},{"dropping-particle":"","family":"Chen","given":"Janini","non-dropping-particle":"","parse-names":false,"suffix":""},{"dropping-particle":"","family":"Francato","given":"Débora Valente","non-dropping-particle":"","parse-names":false,"suffix":""},{"dropping-particle":"","family":"Caromano","given":"Fátima Aparecida","non-dropping-particle":"","parse-names":false,"suffix":""},{"dropping-particle":"","family":"Chien","given":"Hsin Fen","non-dropping-particle":"","parse-names":false,"suffix":""},{"dropping-particle":"","family":"Barbosa","given":"Egberto Reis","non-dropping-particle":"","parse-names":false,"suffix":""},{"dropping-particle":"","family":"Greve","given":"Júlia Maria D'Andrea","non-dropping-particle":"","parse-names":false,"suffix":""},{"dropping-particle":"","family":"Voos","given":"Mariana Callil","non-dropping-particle":"","parse-names":false,"suffix":""}],"container-title":"Arquivos de Neuro-Psiquiatria","id":"ITEM-4","issue":"11","issued":{"date-parts":[["2015","11"]]},"note":"Fifty-two volunteered and forty met our inclusion criteria and gave informed consent. Additional inclusion criteria for PD patients comprehended having received the diagnosis of PD according to the clinical criteria of the United Kingdom Parkinson Disease Society Brain Bank; Hoehn and Yahr (H&amp;amp;Y) score between 2 and 3; being on antiparkinsonian drug treatment at a stable and optimized daily dosage during the last 4 weeks prior to study entry.\n\nData were collected in three trials of 60 seconds, under\nthree conditions: (i) keeping balance with eyes open (EO); (ii) keeping balance with eyes closed (EC); (iii) dual-task (DT): keeping balance with eyes open and performing three fluency tasks: saying as many words as possible starting with letter F (trial 1), saying words starting with letter P (trial 2) and naming fruits (trial 3). Each trial lasted for one minute.\n\nDescriptive measures of the center of pressure (COP) displacement oscillation were collected by posturography: the mean velocity of the COP oscillation (Vavg), the elliptical area area covering 95% of the COP projection points (area) and the standard deviations of the COP oscillation on both axes, mediolateral (SD-ML) and anteroposterior (SD-AP).\n\nMean velocity: ANOVA showed that the mean veloc-\nity of the COP oscillation (Vavg) was significantly different between groups (p = 0.020) and conditions (p &amp;lt; 0.001), but no interaction groups vs. conditions was found (p = 0.894) (Figure 1). For both groups, the velocity of body sway and the data confidence interval (data variability) gradually increased from eyes open to eyes closed conditions and from eyes closed to dual-task. \n\nElliptical area: The elliptical area covering 95% of the COP projection points and the standard deviation of the COP oscillation on mediolateral axis showed similar variations on the three conditions. Significant differences were observed between groups (p = 0.010) and conditions (p &amp;lt; 0.001), but no interaction groups vs. conditions (p = 0.771) (Figure 2). Both groups had greater postural sway on the dual-task condition, comparing it to the conditions eyes open and eyes closed.\n\nStandard deviation of the COP oscillation on mediolateral axis: The standard deviation of the COP oscillation on mediolateral axis (SD-ML) also showed a significant difference between groups (p = 0.001) and conditions (p &amp;lt; 0.001), but no interaction groups vs. conditions (p = 0.834) (Figure 3). Both groups had greater postural sway on the dual-task condition, comparing it to the conditions eyes open and eyes closed. The addition of the cognitive task had more impact on postural control than the visual deprivation for both groups. A higher variability in performance (a higher confidence interval) was observed on dual-task conditions. \n\nStandard deviation of the COP oscillation on anteropos-\nterior axis: The standard deviation of the COP oscillation on anteroposterior axis (AP-SD) showed a significant difference between groups (p = 0.007), conditions (p &amp;lt; 0.001), and also a significant interaction groups vs. conditions (p = 0.027). PD patients showed a higher SD-AP during the whole assessment, while controls gradually increased their SD-AP on the conditions eyes closed (p = 0.0005) and dual-task (p &amp;lt; 0.0001)","page":"906-912","title":"The competition with a concurrent cognitive task affects posturographic measures in patients with Parkinson disease","type":"article-journal","volume":"73"},"uris":["http://www.mendeley.com/documents/?uuid=1d40ec63-f790-43a5-9108-ee6f9e7fe003"]},{"id":"ITEM-5","itemData":{"DOI":"10.1016/j.humov.2010.07.017","ISBN":"1872-7646 (Electronic)\\r0167-9457 (Linking)","ISSN":"01679457","PMID":"20800915","abstract":"Analysis of the postural stability impairments in neurodegenerative diseases is a very demanding task. Age-related declines in posturographic indices are usually superimposed on effects associated with the pathology and its treatment. We present the results of a novel postural sway ratio (SR) analysis in patients with Parkinson's disease (PD) and age-matched healthy subjects. The sway ratios have been assessed based upon center of foot-pressure (CP) signals recorded in 55 parkinsonians (Hoehn and Yahr: 1-3) and 55 age-matched healthy volunteers while standing quiet with eyes open (EO) and then with eyes closed (EC). Complementing classical sway measure abnormalities, the SR exhibited a high discriminative power for all controlled factors: pathology, vision, and direction of sway. Both the anteroposterior (AP) and mediolateral (ML) sway ratios were significantly increased in PD patients when compared to the control group. An additional SR increase was observed in the response to eyes closure. The sway ratio changes documented here can be attributed to a progressive decline of a postural stability control due to pathology. In fact, a significant correlation between the mediolateral SR under EO conditions and Motor Exam (section III) score of the UPDRS was found. The mediolateral sway ratios computed for EO and EC conditions significantly correlated with the CP path length (r=.87) and the mean anteroposterior CP position within the base of support (r=.38). Both indices reflect postural stability decline and fall tendency # in parkinsonians. The tremor-type PD patients (N=34) showed more pronounced relationships between the mediolateral SR and selected items from the UPDRS scale, including: falls (Kendall Tau=.47, p&lt;.05), rigidity (45, p&lt;.05), postural stability (retropulsion) (52), and the Motor Exam score (73). The anteroposterior SR correlated only with tremor (Kendal Tau=.77, p&lt;.05). It seems that in force plate posturography the SR can be recommended as a single reliable measure that allows for a better quantitative assessment of postural stability impairments. © 2010 Elsevier B.V.","author":[{"dropping-particle":"","family":"Błaszczyk","given":"Janusz W.","non-dropping-particle":"","parse-names":false,"suffix":""},{"dropping-particle":"","family":"Orawiec","given":"Renata","non-dropping-particle":"","parse-names":false,"suffix":""}],"container-title":"Human Movement Science","id":"ITEM-5","issue":"2","issued":{"date-parts":[["2011","4"]]},"page":"396-404","title":"Assessment of postural control in patients with Parkinson’s disease: Sway ratio analysis","type":"article-journal","volume":"30"},"uris":["http://www.mendeley.com/documents/?uuid=6e5310a9-882d-4b51-97c6-d17736752866"]},{"id":"ITEM-6","itemData":{"DOI":"10.1016/j.gaitpost.2012.02.009","ISBN":"1110301197","ISSN":"09666362","PMID":"19772347","abstract":"Gait and balance impairments in people with Parkinson disease (PD) may lead to falls and serious injuries. Therefore, it is critical to improve our understanding of the nature of these impairments, including how they respond to prescribed anti-Parkinson medication. This is particularly important for complex balance and gait tasks that may be associated with falls. We evaluated motor function, functional balance, and gait performance during various gait tasks in 22 people with PD off and on medication (PD OFF, PD ON) and 20 healthy older adults. Although MDS-UPDRS-III score, Berg Balance Scale, mini-Balance Evaluations Systems test, and Timed-Up-and-Go improved in PD with medication, impairments persisted in all measures on medication, compared to controls. Dual task Timed-Up-and-Go did not improve with medication, and PD ON required more time than controls. Gait velocity and stride length improved similarly with medication in PD across forward, fast, backward, dual task forward, and dual task backward gait tasks. Cadence did not change with medication, nor did it differ between PD ON and controls. Velocity and stride length were reduced in PD ON compared to controls. Velocity reductions in PD ON during fast gait were cadence-mediated, while velocity reductions in backward gait were stride length-mediated. Our results suggest functional balance improves with medication in PD and gait performance improves with medication, regardless of task complexity. Remaining impairments on medication highlight the need to examine additional therapeutic options for individuals with PD to reduce the risk of falls.","author":[{"dropping-particle":"","family":"McNeely","given":"Marie E.","non-dropping-particle":"","parse-names":false,"suffix":""},{"dropping-particle":"","family":"Duncan","given":"Ryan P.","non-dropping-particle":"","parse-names":false,"suffix":""},{"dropping-particle":"","family":"Earhart","given":"Gammon M.","non-dropping-particle":"","parse-names":false,"suffix":""}],"container-title":"Gait &amp; Posture","id":"ITEM-6","issue":"1","issued":{"date-parts":[["2012","5"]]},"note":"Timed-Up-and-Go (TUG) and dual task TUG (DT-TUG) times were extracted from the mini-BESTest to measure functional mobility with and without a dual task.The dual task was random number listing.\n\n\nParticipants performed three trials each of preferred pace forward (Fwd), fast as possible forward (Fast), preferred-pace backward (Bkd), and preferred-pace dual task forward (DT-Fwd) and backward (DT-Bkd) gait. During dual task trials, participants walked\nforward or backward at preferred pace while completing a phonemic listing task (list words starting with a certain letter; aka, verbal fluency). A different letter was given for each trial, and correct words and errors were quantified.\n\n\nDT-TUG time (Fig 1D) did not improve (t(21)= −1.17, p=0.52).\n\n\nSeated and DT-Fwd phonemic listing performance (correct word rate and error rates) did not differ between PD ON and OFF or between PD ON and controls (p&amp;gt;0.05). Correct word rate during DT-Bkd gait improved in PD with medication (p=0.003), but correct word rate did not differ between PD ON and controls, and error rates did not differ in either comparison (p&amp;gt;0.05).\n\n\nCadence was also higher in Fwd compared to DT-Fwd (p&amp;lt;0.001), and Bkd compared to DT-Bkd (p=0.01).","page":"144-148","title":"Medication improves balance and complex gait performance in Parkinson disease","type":"article-journal","volume":"36"},"uris":["http://www.mendeley.com/documents/?uuid=49acee09-4b27-4ec8-8949-e01b61da950c"]}],"mendeley":{"formattedCitation":"[7,13,25,26,28,30]","plainTextFormattedCitation":"[7,13,25,26,28,30]","previouslyFormattedCitation":"[7,13,25,26,28,30]"},"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[7,13,25,26,28,30]</w:t>
      </w:r>
      <w:r w:rsidR="00781127" w:rsidRPr="00EB7642">
        <w:rPr>
          <w:rFonts w:eastAsia="MS Mincho"/>
        </w:rPr>
        <w:fldChar w:fldCharType="end"/>
      </w:r>
      <w:r w:rsidR="00781127" w:rsidRPr="00EB7642">
        <w:rPr>
          <w:rFonts w:eastAsia="MS Mincho"/>
        </w:rPr>
        <w:t xml:space="preserve"> and the impact of dopaminergic medication on gait and balance in PD</w:t>
      </w:r>
      <w:r w:rsidR="000B5B43">
        <w:rPr>
          <w:rFonts w:eastAsia="MS Mincho"/>
        </w:rPr>
        <w:t xml:space="preserve"> </w:t>
      </w:r>
      <w:r w:rsidR="00781127" w:rsidRPr="00EB7642">
        <w:rPr>
          <w:rFonts w:eastAsia="MS Mincho"/>
        </w:rPr>
        <w:t>has been previously investigated</w:t>
      </w:r>
      <w:r w:rsidR="00781127">
        <w:rPr>
          <w:rFonts w:eastAsia="MS Mincho"/>
        </w:rPr>
        <w:t xml:space="preserve"> </w:t>
      </w:r>
      <w:r w:rsidR="00781127" w:rsidRPr="00EB7642">
        <w:rPr>
          <w:rFonts w:eastAsia="MS Mincho"/>
        </w:rPr>
        <w:fldChar w:fldCharType="begin" w:fldLock="1"/>
      </w:r>
      <w:r w:rsidR="004B5F8D">
        <w:rPr>
          <w:rFonts w:eastAsia="MS Mincho"/>
        </w:rPr>
        <w:instrText>ADDIN CSL_CITATION {"citationItems":[{"id":"ITEM-1","itemData":{"DOI":"10.1016/j.clinbiomech.2007.11.007","ISBN":"2122633255","ISSN":"02680033","PMID":"18155331","abstract":"Background: The voluntary, maximum inclined posture reflects the self-perceived limits of stability. Parkinson's disease is associated with small, bradykinetic postural weight shifts while standing but it is unclear whether this is due to reduced limits of stability and/or to the selection of abnormal strategies for leaning. The aim of this study was to investigate the effects of Parkinson's disease and levodopa medication on voluntary limits of stability and strategies used to reach these limits. Methods: Fourteen subjects with Parkinson's disease (OFF and ON levodopa) and 10 age-matched controls participated in the study. Functional limits of stability were quantified as the maximum center of pressure excursion during voluntary forward and backward leaning. Postural strategies to achieve functional limits of stability were assessed by (i) body segments alignment, (ii) the difference between center of pressure and center of mass in preparation for a lean, (iii) the timing and the velocity of the preparation phase. Findings: Functional limits of stability were significantly smaller in subjects with Parkinson's disease compared to control subjects. Subjects with Parkinson's disease maintained their stooped posture while leaning, initiated leaning with a smaller difference between center of pressure and center of mass and had a slower leaning velocity compared to control subjects. Levodopa enlarged the limits of stability in subjects with Parkinson's disease because of an increase in maximum forward, but not backward leans, but did not significantly improve postural alignment, preparation for a leaning movement, or velocity of leaning. Interpretation: Parkinson's disease reduces functional limits of stability as well as the magnitude and velocity of postural preparation during voluntary, forward and backward leaning while standing. Levodopa improves the limits of stability but not the postural strategies used to achieve the leaning. © 2007 Elsevier Ltd. All rights reserved.","author":[{"dropping-particle":"","family":"Mancini","given":"Martina","non-dropping-particle":"","parse-names":false,"suffix":""},{"dropping-particle":"","family":"Rocchi","given":"Laura","non-dropping-particle":"","parse-names":false,"suffix":""},{"dropping-particle":"","family":"Horak","given":"Fay B.","non-dropping-particle":"","parse-names":false,"suffix":""},{"dropping-particle":"","family":"Chiari","given":"Lorenzo","non-dropping-particle":"","parse-names":false,"suffix":""}],"container-title":"Clinical Biomechanics","id":"ITEM-1","issue":"4","issued":{"date-parts":[["2008"]]},"page":"450-458","title":"Effects of Parkinson's disease and levodopa on functional limits of stability","type":"article-journal","volume":"23"},"uris":["http://www.mendeley.com/documents/?uuid=6d72a960-9573-4fae-804f-615c5ec53787"]},{"id":"ITEM-2","itemData":{"DOI":"10.1136/jnnp.73.3.267","ISBN":"0022-3050","ISSN":"00223050","PMID":"12185157","abstract":"OBJECTIVE: To quantify postural sway in subjects with Parkinson's disease and elderly controls, and determine the effects of Parkinson's disease, deep brain stimulation, levodopa, and their interactions on postural control during quiet stance. METHODS: Centre of foot pressure (CoP) displacement under each foot was measured during three 60 s trials of quiet stance with eyes open in 11 controls and six patients with Parkinson's disease. Subjects with Parkinson's disease were tested in four treatment conditions: off both deep brain stimulation and levodopa (off condition); on deep brain stimulation; on levodopa; and on both deep brain stimulation and levodopa. The variables extracted from CoP included: root mean square distance (rms), mean velocity, 95% power frequency (f(95%)), area of the 95% confidence ellipse (ellipse area), direction of its major axis (mdir), and postural asymmetry between the feet. RESULTS: rms and area of postural sway were larger than normal in subjects with Parkinson's disease in the off condition, increased further with levodopa, and significantly decreased with deep brain stimulation. Mean velocity and f(95%) were also larger than normal but were restored to normal by all treatments, especially by deep brain stimulation. The combined effect of deep brain stimulation and levodopa resulted in a postural sway that was an average of the effect of each treatment individually. Levodopa increased sway more in the mediolateral than in the anterior-posterior direction. Subjects with Parkinson's disease had asymmetrical mean velocity and f(95%) between the feet, and this asymmetry increased with levodopa but decreased with deep brain stimulation. The f(95%) of the CoP correlated with tremor, posture, and gait subcomponents of the unified Parkinson's disease rating scale. CONCLUSIONS: Subjects with Parkinson's disease have abnormal postural sway in stance. Treatment with levodopa increases postural sway abnormalities, whereas treatment with deep brain stimulation improves postural sway. Quantitative evaluation of static posturography may be a useful adjunct to clinical measures in patients with Parkinson's disease.","author":[{"dropping-particle":"","family":"Rocchi","given":"Laura","non-dropping-particle":"","parse-names":false,"suffix":""},{"dropping-particle":"","family":"Chiari","given":"Lorenzo","non-dropping-particle":"","parse-names":false,"suffix":""},{"dropping-particle":"","family":"Horak","given":"Fay B","non-dropping-particle":"","parse-names":false,"suffix":""}],"container-title":"Journal of Neurology, Neurosurgery &amp; Psychiatry","id":"ITEM-2","issue":"3","issued":{"date-parts":[["2002","9","1"]]},"page":"267-274","title":"Effects of deep brain stimulation and levodopa on postural sway in Parkinson's disease","type":"article-journal","volume":"73"},"uris":["http://www.mendeley.com/documents/?uuid=b59352f9-f26b-4dbd-9f85-8e7b929077f6"]},{"id":"ITEM-3","itemData":{"DOI":"10.1093/brain/awf207","ISBN":"0006-8950 (Print)\\n0006-8950 (Linking)","ISSN":"14602156","PMID":"12183355","abstract":"Postural instability (PI) is common in idiopathic Parkinson's disease (IPD). We measured sensory and motor contributions to PI in 50 patients with advanced IPD, off and on medication and in a subset pre- and 3, 6 and 12 months post-unilateral pallidotomy, using computerized dynamic posturography [specifically, the Sensory Organization Test (SOT) and the Unified Parkinson's Disease Rating Scale (UPDRS) subscale PIGD (Postural Instability and Gait Disorder)]. Off medication, all patients had abnormal PIGD scores. The group could be separated into those with normal SOT equilibrium scores (SOTN) and those, the majority, with abnormal postural control when sensory feedback was limited (SOTABN). Medication improved the PIGD scores but worsened the SOT scores in the majority of patients. Increases in spontaneous sway in some patients contributed to the negative effect of medication on SOT scores. However, this could not explain the detrimental effect of medication on SOT scores in at least 40% of patients. On the other hand, pallidotomy improved both PIGD and SOT scores in both groups. A predictor of good outcome from pallidotomy concerning PI was the degree of worsening of the effect that medication had on SOT5 scores. PI in IPD appears to be multifactorial. We propose that the PIGD score reflects sensory and motor aspects of postural control, with normal sensory feedback, while the SOT equilibrium scores measure the sensory organizational process of postural control in the presence of altered sensory inputs. There is a dissociation between the effects of medication and pallidotomy on motor and sensory components of postural control, which may reflect the underlying pathophysiological mechanism responsible for these different components of PI. We suggest that patients with advanced IPD and PI on medication should consider adjuvant surgical treatment for better postural control.","author":[{"dropping-particle":"","family":"Bronte-Stewart","given":"Helen M.","non-dropping-particle":"","parse-names":false,"suffix":""},{"dropping-particle":"","family":"Minn","given":"A Yuriko","non-dropping-particle":"","parse-names":false,"suffix":""},{"dropping-particle":"","family":"Rodrigues","given":"Kamala","non-dropping-particle":"","parse-names":false,"suffix":""},{"dropping-particle":"","family":"Buckley","given":"Ellie L","non-dropping-particle":"","parse-names":false,"suffix":""},{"dropping-particle":"","family":"Nashner","given":"Lewis M","non-dropping-particle":"","parse-names":false,"suffix":""}],"container-title":"Brain","id":"ITEM-3","issue":"9","issued":{"date-parts":[["2002","9","1"]]},"page":"2100-2114","title":"Postural instability in idiopathic Parkinson's disease: the role of medication and unilateral pallidotomy","type":"article-journal","volume":"125"},"uris":["http://www.mendeley.com/documents/?uuid=38bd23f8-f56d-4fb7-a45b-61612e8821ea"]}],"mendeley":{"formattedCitation":"[31–33]","plainTextFormattedCitation":"[31–33]","previouslyFormattedCitation":"[31–33]"},"properties":{"noteIndex":0},"schema":"https://github.com/citation-style-language/schema/raw/master/csl-citation.json"}</w:instrText>
      </w:r>
      <w:r w:rsidR="00781127" w:rsidRPr="00EB7642">
        <w:rPr>
          <w:rFonts w:eastAsia="MS Mincho"/>
        </w:rPr>
        <w:fldChar w:fldCharType="separate"/>
      </w:r>
      <w:r w:rsidR="001D6C02" w:rsidRPr="001D6C02">
        <w:rPr>
          <w:rFonts w:eastAsia="MS Mincho"/>
          <w:noProof/>
        </w:rPr>
        <w:t>[31–33]</w:t>
      </w:r>
      <w:r w:rsidR="00781127" w:rsidRPr="00EB7642">
        <w:rPr>
          <w:rFonts w:eastAsia="MS Mincho"/>
        </w:rPr>
        <w:fldChar w:fldCharType="end"/>
      </w:r>
      <w:r w:rsidR="00781127" w:rsidRPr="00EB7642">
        <w:rPr>
          <w:rFonts w:eastAsia="MS Mincho"/>
        </w:rPr>
        <w:t xml:space="preserve">. </w:t>
      </w:r>
    </w:p>
    <w:p w14:paraId="0642E777" w14:textId="20114B14" w:rsidR="00781127" w:rsidRDefault="00781127" w:rsidP="008009D0">
      <w:pPr>
        <w:jc w:val="both"/>
        <w:rPr>
          <w:rFonts w:eastAsia="MS Mincho"/>
        </w:rPr>
      </w:pPr>
      <w:r w:rsidRPr="00EB7642">
        <w:rPr>
          <w:rFonts w:eastAsia="MS Mincho"/>
        </w:rPr>
        <w:tab/>
        <w:t>However, most researchers in this area have almost exclusively employed traditional tempor</w:t>
      </w:r>
      <w:r>
        <w:rPr>
          <w:rFonts w:eastAsia="MS Mincho"/>
        </w:rPr>
        <w:t>al</w:t>
      </w:r>
      <w:r w:rsidRPr="00EB7642">
        <w:rPr>
          <w:rFonts w:eastAsia="MS Mincho"/>
        </w:rPr>
        <w:t>-spatial measures of gait (e.g., velocity, stride length) and descriptive statistics (e.g., mean and SD) of the center of pressure, both sets of which are linear. Although these linear analyses and statistics are informative, they do</w:t>
      </w:r>
      <w:r>
        <w:rPr>
          <w:rFonts w:eastAsia="MS Mincho"/>
        </w:rPr>
        <w:t xml:space="preserve"> not</w:t>
      </w:r>
      <w:r w:rsidRPr="00EB7642">
        <w:rPr>
          <w:rFonts w:eastAsia="MS Mincho"/>
        </w:rPr>
        <w:t xml:space="preserve"> consider the features of the entire signal</w:t>
      </w:r>
      <w:r>
        <w:rPr>
          <w:rFonts w:eastAsia="MS Mincho"/>
        </w:rPr>
        <w:t xml:space="preserve"> and they do not provide information about the regularity of gait or balance signals</w:t>
      </w:r>
      <w:r w:rsidRPr="00EB7642">
        <w:rPr>
          <w:rFonts w:eastAsia="MS Mincho"/>
        </w:rPr>
        <w:t>. To determine some of the more complex traits of these signals,</w:t>
      </w:r>
      <w:r>
        <w:rPr>
          <w:rFonts w:eastAsia="MS Mincho"/>
        </w:rPr>
        <w:t xml:space="preserve"> e.g., movement regularity,</w:t>
      </w:r>
      <w:r w:rsidRPr="00EB7642">
        <w:rPr>
          <w:rFonts w:eastAsia="MS Mincho"/>
        </w:rPr>
        <w:t xml:space="preserve"> nonlinear analyses (e.g., Approximate Entropy and Recurrence Quantification Analysis) are required. A few have applied nonlinear analyses </w:t>
      </w:r>
      <w:r w:rsidRPr="00EB7642">
        <w:rPr>
          <w:rFonts w:eastAsia="MS Mincho"/>
        </w:rPr>
        <w:lastRenderedPageBreak/>
        <w:t>in describing hand tremor</w:t>
      </w:r>
      <w:r>
        <w:rPr>
          <w:rFonts w:eastAsia="MS Mincho"/>
        </w:rPr>
        <w:t xml:space="preserve"> </w:t>
      </w:r>
      <w:r w:rsidRPr="00EB7642">
        <w:rPr>
          <w:rFonts w:eastAsia="MS Mincho"/>
        </w:rPr>
        <w:fldChar w:fldCharType="begin" w:fldLock="1"/>
      </w:r>
      <w:r w:rsidR="003F6A7B">
        <w:rPr>
          <w:rFonts w:eastAsia="MS Mincho"/>
        </w:rPr>
        <w:instrText>ADDIN CSL_CITATION {"citationItems":[{"id":"ITEM-1","itemData":{"DOI":"10.1016/j.neulet.2008.07.071","ISBN":"0304-3940 (Print)\\n0304-3940","ISSN":"03043940","PMID":"18682273","abstract":"The time- and frequency-dependent patterns of standing balance centre of pressure (COP) and finger postural/resting tremor of 12 older individuals and eight age-matched Parkinsonian (PD) participants (on/off medication) were investigated. Tremor and COP data were analysed using measures of signal amplitude (RMS), time-dependent structure (approximate entropy, ApEn), time-frequency analysis and synchrony (Cross ApEn). Results showed that the PD individuals had significantly greater tremor amplitude and COP excursions in comparison to controls. Differences in the time-dependent structure were also observed between groups. In comparison to the elderly, the resting/postural tremor output of the PD subjects was more regular (lower ApEn). However, for the postural measures, a reciprocal pattern was observed with the COP being more complex (higher ApEn). All group differences were magnified when the PD individuals were off their medication. There was also greater synchrony between tremor and postural sway for the PD individuals, indicating a high degree of association between these motor outputs. These results are consistent with the view that the neural signal driving the enhanced limb tremor in PD is propagated throughout the motor system, consequently emerging within the postural sway dynamics. This commonality of motor output may be a contributing factor in the differential pattern in the dynamics of effector signal structure in PD as a function of task. ?? 2008 Elsevier Ireland Ltd. All rights reserved.","author":[{"dropping-particle":"","family":"Morrison","given":"S.","non-dropping-particle":"","parse-names":false,"suffix":""},{"dropping-particle":"","family":"Kerr","given":"G.","non-dropping-particle":"","parse-names":false,"suffix":""},{"dropping-particle":"","family":"Newell","given":"K. M.","non-dropping-particle":"","parse-names":false,"suffix":""},{"dropping-particle":"","family":"Silburn","given":"P. A.","non-dropping-particle":"","parse-names":false,"suffix":""}],"container-title":"Neuroscience Letters","id":"ITEM-1","issue":"3","issued":{"date-parts":[["2008"]]},"note":"Med improved fx limits of stability, in forward direction.","page":"123-128","title":"Differential time- and frequency-dependent structure of postural sway and finger tremor in Parkinson's disease","type":"article-journal","volume":"443"},"uris":["http://www.mendeley.com/documents/?uuid=00d2f4c2-ad0a-4f5d-9813-33464dd66319"]},{"id":"ITEM-2","itemData":{"DOI":"10.1016/j.neulet.2012.11.040","ISBN":"1872-7972 (Electronic)\\n0304-3940 (Linking)","ISSN":"1872-7972","PMID":"23206750","abstract":"A characteristic of Parkinson's disease (PD) is the development of tremor within the 4-6Hz range. One method used to better understand pathological tremor is to compare the responses to tremor-type actions generated intentionally in healthy adults. This study was designed to investigate the similarities and differences between voluntarily generated 4-6Hz tremor and PD tremor in regards to their amplitude, frequency and coupling characteristics. Tremor responses for 8 PD individuals (on- and off-medication) and 12 healthy adults were assessed under postural and resting conditions. Results showed that the voluntary and PD tremor were essentially identical with regards to the amplitude and peak frequency. However, differences between the groups were found for the variability (SD of peak frequency, proportional power) and regularity (Approximate Entropy, ApEn) of the tremor signal. Additionally, coherence analysis revealed strong inter-limb coupling during voluntary conditions while no bilateral coupling was seen for the PD persons. Overall, healthy participants were able to produce a 5Hz tremulous motion indistinguishable to that of PD patients in terms of peak frequency and amplitude. However, differences in the structure of variability and level of inter-limb coupling were found for the tremor responses of the PD and healthy adults. These differences were preserved irrespective of the medication state of the PD persons. The results illustrate the importance of assessing the pattern of signal structure/variability to discriminate between different tremor forms, especially where no differences emerge in standard measures of mean amplitude as traditionally defined.","author":[{"dropping-particle":"","family":"Morrison","given":"S.","non-dropping-particle":"","parse-names":false,"suffix":""},{"dropping-particle":"","family":"Cortes","given":"N.","non-dropping-particle":"","parse-names":false,"suffix":""},{"dropping-particle":"","family":"Newell","given":"K. M.","non-dropping-particle":"","parse-names":false,"suffix":""},{"dropping-particle":"","family":"Silburn","given":"P. A.","non-dropping-particle":"","parse-names":false,"suffix":""},{"dropping-particle":"","family":"Kerr","given":"G.","non-dropping-particle":"","parse-names":false,"suffix":""}],"container-title":"Neuroscience letters","id":"ITEM-2","issue":"1","issued":{"date-parts":[["2013","2","8"]]},"page":"69-74","publisher":"Elsevier Ireland Ltd","title":"Variability, regularity and coupling measures distinguish PD tremor from voluntary 5Hz tremor.","type":"article-journal","volume":"534"},"uris":["http://www.mendeley.com/documents/?uuid=8d40aea5-1afb-4680-8177-234be361955b"]}],"mendeley":{"formattedCitation":"[39,40]","plainTextFormattedCitation":"[39,40]","previouslyFormattedCitation":"[39,40]"},"properties":{"noteIndex":0},"schema":"https://github.com/citation-style-language/schema/raw/master/csl-citation.json"}</w:instrText>
      </w:r>
      <w:r w:rsidRPr="00EB7642">
        <w:rPr>
          <w:rFonts w:eastAsia="MS Mincho"/>
        </w:rPr>
        <w:fldChar w:fldCharType="separate"/>
      </w:r>
      <w:r w:rsidR="004B5F8D" w:rsidRPr="004B5F8D">
        <w:rPr>
          <w:rFonts w:eastAsia="MS Mincho"/>
          <w:noProof/>
        </w:rPr>
        <w:t>[39,40]</w:t>
      </w:r>
      <w:r w:rsidRPr="00EB7642">
        <w:rPr>
          <w:rFonts w:eastAsia="MS Mincho"/>
        </w:rPr>
        <w:fldChar w:fldCharType="end"/>
      </w:r>
      <w:r w:rsidRPr="00EB7642">
        <w:rPr>
          <w:rFonts w:eastAsia="MS Mincho"/>
        </w:rPr>
        <w:t xml:space="preserve"> and </w:t>
      </w:r>
      <w:r>
        <w:rPr>
          <w:rFonts w:eastAsia="MS Mincho"/>
        </w:rPr>
        <w:t xml:space="preserve">standing </w:t>
      </w:r>
      <w:r w:rsidRPr="00EB7642">
        <w:rPr>
          <w:rFonts w:eastAsia="MS Mincho"/>
        </w:rPr>
        <w:t>postural variables</w:t>
      </w:r>
      <w:r>
        <w:rPr>
          <w:rFonts w:eastAsia="MS Mincho"/>
        </w:rPr>
        <w:t xml:space="preserve"> </w:t>
      </w:r>
      <w:r w:rsidRPr="00EB7642">
        <w:rPr>
          <w:rFonts w:eastAsia="MS Mincho"/>
        </w:rPr>
        <w:fldChar w:fldCharType="begin" w:fldLock="1"/>
      </w:r>
      <w:r w:rsidR="003F6A7B">
        <w:rPr>
          <w:rFonts w:eastAsia="MS Mincho"/>
        </w:rPr>
        <w:instrText>ADDIN CSL_CITATION {"citationItems":[{"id":"ITEM-1","itemData":{"DOI":"10.1007/s00221-005-0094-y","ISBN":"0014-4819 (Print)\\r0014-4819 (Linking)","ISSN":"00144819","PMID":"16047175","abstract":"Static posturographic recordings were obtained from six Parkinson's patients and six age-matched, healthy control participants. The availability of vision and visuo-spatial cognitive load were manipulated. Postural sway patterns were analyzed using recurrence quantification analysis (RQA), which revealed differences in center of pressure (COP) dynamics between Parkinson's and control participants. AP COP trajectories for the Parkinson's group were not only significantly more variable than for the control group, but also exhibited distinct patterns of temporal dynamics. The visual manipulation did not differentially affect the two groups. No cognitive load effects were found. The results are generally consistent with the hypothesis that pathological physiological systems exhibit a tendency for less flexible, more deterministic dynamic patterns.","author":[{"dropping-particle":"","family":"Schmit","given":"Jennifer M.","non-dropping-particle":"","parse-names":false,"suffix":""},{"dropping-particle":"","family":"Riley","given":"Michael A.","non-dropping-particle":"","parse-names":false,"suffix":""},{"dropping-particle":"","family":"Dalvi","given":"Arif","non-dropping-particle":"","parse-names":false,"suffix":""},{"dropping-particle":"","family":"Sahay","given":"Alok","non-dropping-particle":"","parse-names":false,"suffix":""},{"dropping-particle":"","family":"Shear","given":"Paula K.","non-dropping-particle":"","parse-names":false,"suffix":""},{"dropping-particle":"","family":"Shockley","given":"Kevin D.","non-dropping-particle":"","parse-names":false,"suffix":""},{"dropping-particle":"","family":"Pun","given":"Raymund Y K","non-dropping-particle":"","parse-names":false,"suffix":""}],"container-title":"Experimental Brain Research","id":"ITEM-1","issue":"3","issued":{"date-parts":[["2006"]]},"note":"The final parameter settings we chose for both AP and ML time series were: embedding dimension=8, time-delay=9 samples, radius=32% of the mean Euclidean distance separating points in the reconstructed phase space, and number of successive points defining a line segment = 2.","page":"357-367","title":"Deterministic center of pressure patterns characterize postural instability in Parkinson's disease","type":"article-journal","volume":"168"},"uris":["http://www.mendeley.com/documents/?uuid=4c0ac77b-5139-469f-abbd-f05fab4054f3"]},{"id":"ITEM-2","itemData":{"DOI":"10.1016/j.neulet.2008.07.071","ISBN":"0304-3940 (Print)\\n0304-3940","ISSN":"03043940","PMID":"18682273","abstract":"The time- and frequency-dependent patterns of standing balance centre of pressure (COP) and finger postural/resting tremor of 12 older individuals and eight age-matched Parkinsonian (PD) participants (on/off medication) were investigated. Tremor and COP data were analysed using measures of signal amplitude (RMS), time-dependent structure (approximate entropy, ApEn), time-frequency analysis and synchrony (Cross ApEn). Results showed that the PD individuals had significantly greater tremor amplitude and COP excursions in comparison to controls. Differences in the time-dependent structure were also observed between groups. In comparison to the elderly, the resting/postural tremor output of the PD subjects was more regular (lower ApEn). However, for the postural measures, a reciprocal pattern was observed with the COP being more complex (higher ApEn). All group differences were magnified when the PD individuals were off their medication. There was also greater synchrony between tremor and postural sway for the PD individuals, indicating a high degree of association between these motor outputs. These results are consistent with the view that the neural signal driving the enhanced limb tremor in PD is propagated throughout the motor system, consequently emerging within the postural sway dynamics. This commonality of motor output may be a contributing factor in the differential pattern in the dynamics of effector signal structure in PD as a function of task. ?? 2008 Elsevier Ireland Ltd. All rights reserved.","author":[{"dropping-particle":"","family":"Morrison","given":"S.","non-dropping-particle":"","parse-names":false,"suffix":""},{"dropping-particle":"","family":"Kerr","given":"G.","non-dropping-particle":"","parse-names":false,"suffix":""},{"dropping-particle":"","family":"Newell","given":"K. M.","non-dropping-particle":"","parse-names":false,"suffix":""},{"dropping-particle":"","family":"Silburn","given":"P. A.","non-dropping-particle":"","parse-names":false,"suffix":""}],"container-title":"Neuroscience Letters","id":"ITEM-2","issue":"3","issued":{"date-parts":[["2008"]]},"note":"Med improved fx limits of stability, in forward direction.","page":"123-128","title":"Differential time- and frequency-dependent structure of postural sway and finger tremor in Parkinson's disease","type":"article-journal","volume":"443"},"uris":["http://www.mendeley.com/documents/?uuid=00d2f4c2-ad0a-4f5d-9813-33464dd66319"]}],"mendeley":{"formattedCitation":"[39,41]","plainTextFormattedCitation":"[39,41]","previouslyFormattedCitation":"[39,41]"},"properties":{"noteIndex":0},"schema":"https://github.com/citation-style-language/schema/raw/master/csl-citation.json"}</w:instrText>
      </w:r>
      <w:r w:rsidRPr="00EB7642">
        <w:rPr>
          <w:rFonts w:eastAsia="MS Mincho"/>
        </w:rPr>
        <w:fldChar w:fldCharType="separate"/>
      </w:r>
      <w:r w:rsidR="004B5F8D" w:rsidRPr="004B5F8D">
        <w:rPr>
          <w:rFonts w:eastAsia="MS Mincho"/>
          <w:noProof/>
        </w:rPr>
        <w:t>[39,41]</w:t>
      </w:r>
      <w:r w:rsidRPr="00EB7642">
        <w:rPr>
          <w:rFonts w:eastAsia="MS Mincho"/>
        </w:rPr>
        <w:fldChar w:fldCharType="end"/>
      </w:r>
      <w:r w:rsidRPr="00EB7642">
        <w:rPr>
          <w:rFonts w:eastAsia="MS Mincho"/>
        </w:rPr>
        <w:t xml:space="preserve"> in PD, but no research has been conducted that has used nonlinear techniques to describe PD gait and those describing balance were always performed while subjects were in the on-medication state</w:t>
      </w:r>
      <w:r>
        <w:rPr>
          <w:rFonts w:eastAsia="MS Mincho"/>
        </w:rPr>
        <w:t xml:space="preserve"> </w:t>
      </w:r>
      <w:r w:rsidRPr="00EB7642">
        <w:rPr>
          <w:rFonts w:eastAsia="MS Mincho"/>
        </w:rPr>
        <w:fldChar w:fldCharType="begin" w:fldLock="1"/>
      </w:r>
      <w:r w:rsidR="003F6A7B">
        <w:rPr>
          <w:rFonts w:eastAsia="MS Mincho"/>
        </w:rPr>
        <w:instrText>ADDIN CSL_CITATION {"citationItems":[{"id":"ITEM-1","itemData":{"DOI":"10.1007/s00221-005-0094-y","ISBN":"0014-4819 (Print)\\r0014-4819 (Linking)","ISSN":"00144819","PMID":"16047175","abstract":"Static posturographic recordings were obtained from six Parkinson's patients and six age-matched, healthy control participants. The availability of vision and visuo-spatial cognitive load were manipulated. Postural sway patterns were analyzed using recurrence quantification analysis (RQA), which revealed differences in center of pressure (COP) dynamics between Parkinson's and control participants. AP COP trajectories for the Parkinson's group were not only significantly more variable than for the control group, but also exhibited distinct patterns of temporal dynamics. The visual manipulation did not differentially affect the two groups. No cognitive load effects were found. The results are generally consistent with the hypothesis that pathological physiological systems exhibit a tendency for less flexible, more deterministic dynamic patterns.","author":[{"dropping-particle":"","family":"Schmit","given":"Jennifer M.","non-dropping-particle":"","parse-names":false,"suffix":""},{"dropping-particle":"","family":"Riley","given":"Michael A.","non-dropping-particle":"","parse-names":false,"suffix":""},{"dropping-particle":"","family":"Dalvi","given":"Arif","non-dropping-particle":"","parse-names":false,"suffix":""},{"dropping-particle":"","family":"Sahay","given":"Alok","non-dropping-particle":"","parse-names":false,"suffix":""},{"dropping-particle":"","family":"Shear","given":"Paula K.","non-dropping-particle":"","parse-names":false,"suffix":""},{"dropping-particle":"","family":"Shockley","given":"Kevin D.","non-dropping-particle":"","parse-names":false,"suffix":""},{"dropping-particle":"","family":"Pun","given":"Raymund Y K","non-dropping-particle":"","parse-names":false,"suffix":""}],"container-title":"Experimental Brain Research","id":"ITEM-1","issue":"3","issued":{"date-parts":[["2006"]]},"note":"The final parameter settings we chose for both AP and ML time series were: embedding dimension=8, time-delay=9 samples, radius=32% of the mean Euclidean distance separating points in the reconstructed phase space, and number of successive points defining a line segment = 2.","page":"357-367","title":"Deterministic center of pressure patterns characterize postural instability in Parkinson's disease","type":"article-journal","volume":"168"},"uris":["http://www.mendeley.com/documents/?uuid=4c0ac77b-5139-469f-abbd-f05fab4054f3"]},{"id":"ITEM-2","itemData":{"DOI":"10.1016/j.neulet.2008.07.071","ISBN":"0304-3940 (Print)\\n0304-3940","ISSN":"03043940","PMID":"18682273","abstract":"The time- and frequency-dependent patterns of standing balance centre of pressure (COP) and finger postural/resting tremor of 12 older individuals and eight age-matched Parkinsonian (PD) participants (on/off medication) were investigated. Tremor and COP data were analysed using measures of signal amplitude (RMS), time-dependent structure (approximate entropy, ApEn), time-frequency analysis and synchrony (Cross ApEn). Results showed that the PD individuals had significantly greater tremor amplitude and COP excursions in comparison to controls. Differences in the time-dependent structure were also observed between groups. In comparison to the elderly, the resting/postural tremor output of the PD subjects was more regular (lower ApEn). However, for the postural measures, a reciprocal pattern was observed with the COP being more complex (higher ApEn). All group differences were magnified when the PD individuals were off their medication. There was also greater synchrony between tremor and postural sway for the PD individuals, indicating a high degree of association between these motor outputs. These results are consistent with the view that the neural signal driving the enhanced limb tremor in PD is propagated throughout the motor system, consequently emerging within the postural sway dynamics. This commonality of motor output may be a contributing factor in the differential pattern in the dynamics of effector signal structure in PD as a function of task. ?? 2008 Elsevier Ireland Ltd. All rights reserved.","author":[{"dropping-particle":"","family":"Morrison","given":"S.","non-dropping-particle":"","parse-names":false,"suffix":""},{"dropping-particle":"","family":"Kerr","given":"G.","non-dropping-particle":"","parse-names":false,"suffix":""},{"dropping-particle":"","family":"Newell","given":"K. M.","non-dropping-particle":"","parse-names":false,"suffix":""},{"dropping-particle":"","family":"Silburn","given":"P. A.","non-dropping-particle":"","parse-names":false,"suffix":""}],"container-title":"Neuroscience Letters","id":"ITEM-2","issue":"3","issued":{"date-parts":[["2008"]]},"note":"Med improved fx limits of stability, in forward direction.","page":"123-128","title":"Differential time- and frequency-dependent structure of postural sway and finger tremor in Parkinson's disease","type":"article-journal","volume":"443"},"uris":["http://www.mendeley.com/documents/?uuid=00d2f4c2-ad0a-4f5d-9813-33464dd66319"]}],"mendeley":{"formattedCitation":"[39,41]","plainTextFormattedCitation":"[39,41]","previouslyFormattedCitation":"[39,41]"},"properties":{"noteIndex":0},"schema":"https://github.com/citation-style-language/schema/raw/master/csl-citation.json"}</w:instrText>
      </w:r>
      <w:r w:rsidRPr="00EB7642">
        <w:rPr>
          <w:rFonts w:eastAsia="MS Mincho"/>
        </w:rPr>
        <w:fldChar w:fldCharType="separate"/>
      </w:r>
      <w:r w:rsidR="004B5F8D" w:rsidRPr="004B5F8D">
        <w:rPr>
          <w:rFonts w:eastAsia="MS Mincho"/>
          <w:noProof/>
        </w:rPr>
        <w:t>[39,41]</w:t>
      </w:r>
      <w:r w:rsidRPr="00EB7642">
        <w:rPr>
          <w:rFonts w:eastAsia="MS Mincho"/>
        </w:rPr>
        <w:fldChar w:fldCharType="end"/>
      </w:r>
      <w:r w:rsidRPr="00EB7642">
        <w:rPr>
          <w:rFonts w:eastAsia="MS Mincho"/>
        </w:rPr>
        <w:t>.</w:t>
      </w:r>
      <w:r>
        <w:rPr>
          <w:rFonts w:eastAsia="MS Mincho"/>
        </w:rPr>
        <w:t xml:space="preserve"> </w:t>
      </w:r>
    </w:p>
    <w:p w14:paraId="4FB67128" w14:textId="3FB2F0D8" w:rsidR="00781127" w:rsidRPr="00EB7642" w:rsidRDefault="00781127" w:rsidP="008009D0">
      <w:pPr>
        <w:jc w:val="both"/>
        <w:rPr>
          <w:rFonts w:eastAsia="MS Mincho"/>
        </w:rPr>
      </w:pPr>
      <w:r>
        <w:rPr>
          <w:rFonts w:eastAsia="MS Mincho"/>
        </w:rPr>
        <w:tab/>
        <w:t>It is important to understand movement regularity in PD because t</w:t>
      </w:r>
      <w:r w:rsidRPr="001B06EE">
        <w:rPr>
          <w:rFonts w:eastAsia="MS Mincho"/>
        </w:rPr>
        <w:t xml:space="preserve">he </w:t>
      </w:r>
      <w:r>
        <w:rPr>
          <w:rFonts w:eastAsia="MS Mincho"/>
        </w:rPr>
        <w:t>regularity</w:t>
      </w:r>
      <w:r w:rsidRPr="001B06EE">
        <w:rPr>
          <w:rFonts w:eastAsia="MS Mincho"/>
        </w:rPr>
        <w:t xml:space="preserve"> of </w:t>
      </w:r>
      <w:r>
        <w:rPr>
          <w:rFonts w:eastAsia="MS Mincho"/>
        </w:rPr>
        <w:t>gait and balance signals</w:t>
      </w:r>
      <w:r w:rsidRPr="001B06EE">
        <w:rPr>
          <w:rFonts w:eastAsia="MS Mincho"/>
        </w:rPr>
        <w:t xml:space="preserve"> </w:t>
      </w:r>
      <w:r>
        <w:rPr>
          <w:rFonts w:eastAsia="MS Mincho"/>
        </w:rPr>
        <w:t xml:space="preserve">is associated with frailty and fall risk in older adults </w:t>
      </w:r>
      <w:r>
        <w:rPr>
          <w:rFonts w:eastAsia="MS Mincho"/>
        </w:rPr>
        <w:fldChar w:fldCharType="begin" w:fldLock="1"/>
      </w:r>
      <w:r w:rsidR="003F6A7B">
        <w:rPr>
          <w:rFonts w:eastAsia="MS Mincho"/>
        </w:rPr>
        <w:instrText>ADDIN CSL_CITATION {"citationItems":[{"id":"ITEM-1","itemData":{"DOI":"10.1053/apmr.2001.24893","ISBN":"0003-9993 (Print)\\r0003-9993 (Linking)","ISSN":"00039993","PMID":"11494184","abstract":"OBJECTIVE To test the hypothesis that increased gait variability predicts falls among community-living older adults attending an outpatient clinic. DESIGN Prospective, cohort study. SETTING Three outpatient geriatric clinics. PARTICIPANTS Fifty-two community-living, ambulatory men and women aged &gt; or = 70 years. INTERVENTIONS Not applicable. MAIN OUTCOME MEASURES Subjects walked at a normal pace for up to 6 minutes wearing force-sensitive insoles that measured the gait rhythm on a stride-to-stride basis. Afterward, subjects reported fall status on a weekly basis for 1 year. The primary outcomes were the association between measures of the stride-to-stride fluctuations in gait rhythm and (1) subsequent falls during a 12-month follow-up period and (2) potential contributing factors. RESULTS Almost 40% of the subjects reported falling during the 12-month follow-up period. Stride time variability was 106 +/- 30 ms in subjects who subsequently fell (n = 20) and 49 +/- 4 ms in those who did not experience a fall (n = 32) during the 12-month follow-up period (p &lt;.04). Logistic regression also showed that stride time variability predicted falls (p &lt;.05). Stride time variability correlated significantly with multiple factors including strength, balance, gait speed, functional status, and even mental health, but these other measures did not discriminate future fallers from nonfallers. CONCLUSIONS These findings show both the feasibility of obtaining stride-to-stride measures of gait timing in the ambulatory setting and the potential use of gait variability measures in augmenting the prospective evaluation of fall risk in community-living older adults.","author":[{"dropping-particle":"","family":"Hausdorff","given":"Jeffrey M.","non-dropping-particle":"","parse-names":false,"suffix":""},{"dropping-particle":"","family":"Rios","given":"Dean A.","non-dropping-particle":"","parse-names":false,"suffix":""},{"dropping-particle":"","family":"Edelberg","given":"Helen K.","non-dropping-particle":"","parse-names":false,"suffix":""}],"container-title":"Archives of Physical Medicine and Rehabilitation","id":"ITEM-1","issue":"8","issued":{"date-parts":[["2001","8"]]},"page":"1050-1056","title":"Gait variability and fall risk in community-living older adults: A 1-year prospective study","type":"article-journal","volume":"82"},"uris":["http://www.mendeley.com/documents/?uuid=07321c68-550e-453b-846b-1dca1a958a1a"]},{"id":"ITEM-2","itemData":{"ISSN":"1079-5006","PMID":"10843356","abstract":"BACKGROUND The relative importance and association of factors contributing to physical frailty in elderly persons are unclear. METHODS Physical measures of upper and lower extremity strength, range of motion, balance, coordination, sensation, and gait were evaluated in relation to scores obtained on a 36-point physical performance test (PPT) in 107 elderly subjects. RESULTS Scores on the PPT were significantly associated with the measures of strength and balance, gait, several range of motion values, and sensation. Subjects were also grouped according to score on the PPT as not frail (32-36 points), mildly frail (25-31 points), or moderately frail (17-24 points). ANOVA followed by Bonferroni post hoc analyses were used to examine the relationships of physical measures to this index of frailty. Balance measures, an obstacle course, the Berg scale, the full tandem portion of the Romberg test, and fast gait speed were significantly different among the three groups. Multiple stepwise regression analyses indicated that the strongest combination of variables, explaining 73% of all the variance in the PPT, included obstacle course performance, hip abduction strength, the semitandem portion of the Romberg test, and coordination (pegboard). CONCLUSIONS Results provide further insight into the relative importance of factors that contribute to frailty and factors that should be considered in treatment planning for the remediation of physical frailty in old adults.","author":[{"dropping-particle":"","family":"Brown","given":"M","non-dropping-particle":"","parse-names":false,"suffix":""},{"dropping-particle":"","family":"Sinacore","given":"D R","non-dropping-particle":"","parse-names":false,"suffix":""},{"dropping-particle":"","family":"Binder","given":"E F","non-dropping-particle":"","parse-names":false,"suffix":""},{"dropping-particle":"","family":"Kohrt","given":"W M","non-dropping-particle":"","parse-names":false,"suffix":""}],"container-title":"The journals of gerontology. Series A, Biological sciences and medical sciences","id":"ITEM-2","issue":"6","issued":{"date-parts":[["2000","6"]]},"page":"M350-5","title":"Physical and performance measures for the identification of mild to moderate frailty.","type":"article-journal","volume":"55"},"uris":["http://www.mendeley.com/documents/?uuid=48a2ac7f-fa4e-44a6-8a5e-0a2d9d75c131"]}],"mendeley":{"formattedCitation":"[42,43]","plainTextFormattedCitation":"[42,43]","previouslyFormattedCitation":"[42,43]"},"properties":{"noteIndex":0},"schema":"https://github.com/citation-style-language/schema/raw/master/csl-citation.json"}</w:instrText>
      </w:r>
      <w:r>
        <w:rPr>
          <w:rFonts w:eastAsia="MS Mincho"/>
        </w:rPr>
        <w:fldChar w:fldCharType="separate"/>
      </w:r>
      <w:r w:rsidR="004B5F8D" w:rsidRPr="004B5F8D">
        <w:rPr>
          <w:rFonts w:eastAsia="MS Mincho"/>
          <w:noProof/>
        </w:rPr>
        <w:t>[42,43]</w:t>
      </w:r>
      <w:r>
        <w:rPr>
          <w:rFonts w:eastAsia="MS Mincho"/>
        </w:rPr>
        <w:fldChar w:fldCharType="end"/>
      </w:r>
      <w:r>
        <w:rPr>
          <w:rFonts w:eastAsia="MS Mincho"/>
        </w:rPr>
        <w:t xml:space="preserve">. It is also worthwhile to appreciate how task complexity, i.e., dual-tasking, affects regularity, especially because most activities of daily living involve performing multiple tasks at once. In addition, many PD subjects experience periods of being off-medication, the so-called wearing-off effect </w:t>
      </w:r>
      <w:r>
        <w:rPr>
          <w:rFonts w:eastAsia="MS Mincho"/>
        </w:rPr>
        <w:fldChar w:fldCharType="begin" w:fldLock="1"/>
      </w:r>
      <w:r w:rsidR="001D6C02">
        <w:rPr>
          <w:rFonts w:eastAsia="MS Mincho"/>
        </w:rPr>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mendeley":{"formattedCitation":"[2]","plainTextFormattedCitation":"[2]","previouslyFormattedCitation":"[2]"},"properties":{"noteIndex":0},"schema":"https://github.com/citation-style-language/schema/raw/master/csl-citation.json"}</w:instrText>
      </w:r>
      <w:r>
        <w:rPr>
          <w:rFonts w:eastAsia="MS Mincho"/>
        </w:rPr>
        <w:fldChar w:fldCharType="separate"/>
      </w:r>
      <w:r w:rsidRPr="00DC4441">
        <w:rPr>
          <w:rFonts w:eastAsia="MS Mincho"/>
          <w:noProof/>
        </w:rPr>
        <w:t>[2]</w:t>
      </w:r>
      <w:r>
        <w:rPr>
          <w:rFonts w:eastAsia="MS Mincho"/>
        </w:rPr>
        <w:fldChar w:fldCharType="end"/>
      </w:r>
      <w:r>
        <w:rPr>
          <w:rFonts w:eastAsia="MS Mincho"/>
        </w:rPr>
        <w:t>, while performing these dual-task activities of daily living; therefore, a dual-task paradigm is also helpful in understanding how medication affects movement regularity in real-life situations. Thus, understanding how both dual-tasking and PD medication together affect regularity will provide useful information to clinicians and caregivers to ensure that PD subjects are operating within their capabilities.</w:t>
      </w:r>
    </w:p>
    <w:p w14:paraId="5560DD60" w14:textId="357969EE" w:rsidR="008B1169" w:rsidRPr="00494F4B" w:rsidRDefault="00781127" w:rsidP="008009D0">
      <w:pPr>
        <w:jc w:val="both"/>
        <w:rPr>
          <w:rFonts w:eastAsia="MS Mincho" w:cs="Arial"/>
        </w:rPr>
      </w:pPr>
      <w:r w:rsidRPr="00EB7642">
        <w:rPr>
          <w:rFonts w:eastAsia="MS Mincho"/>
        </w:rPr>
        <w:tab/>
        <w:t xml:space="preserve">Therefore, the aim of this study was to assess the </w:t>
      </w:r>
      <w:r>
        <w:rPr>
          <w:rFonts w:eastAsia="MS Mincho"/>
        </w:rPr>
        <w:t>influence</w:t>
      </w:r>
      <w:r w:rsidRPr="00EB7642">
        <w:rPr>
          <w:rFonts w:eastAsia="MS Mincho"/>
        </w:rPr>
        <w:t xml:space="preserve"> of dopaminergic medication on the nonlinear characteristics of gait and balance while dual-tasking for long-durations (3 min). It was hypothesized that medication would improve the nonlinear aspects of the gait and balance signals such that dual-task conditions on-medication would be significantly more regular</w:t>
      </w:r>
      <w:r>
        <w:rPr>
          <w:rFonts w:eastAsia="MS Mincho"/>
        </w:rPr>
        <w:t xml:space="preserve"> (i.e., smaller ApEn, larger %DET)</w:t>
      </w:r>
      <w:r w:rsidRPr="00EB7642">
        <w:rPr>
          <w:rFonts w:eastAsia="MS Mincho"/>
        </w:rPr>
        <w:t xml:space="preserve"> compared with single-task off-medication conditions.</w:t>
      </w:r>
      <w:r>
        <w:rPr>
          <w:rFonts w:eastAsia="MS Mincho"/>
        </w:rPr>
        <w:t xml:space="preserve"> </w:t>
      </w:r>
      <w:r>
        <w:rPr>
          <w:rFonts w:eastAsia="MS Mincho" w:cs="Arial"/>
        </w:rPr>
        <w:t xml:space="preserve">These two techniques were chosen from the various other nonlinear tools because of their </w:t>
      </w:r>
      <w:r w:rsidRPr="006A677C">
        <w:rPr>
          <w:rFonts w:eastAsia="MS Mincho" w:cs="Arial"/>
        </w:rPr>
        <w:t>analogous</w:t>
      </w:r>
      <w:r>
        <w:rPr>
          <w:rFonts w:eastAsia="MS Mincho" w:cs="Arial"/>
        </w:rPr>
        <w:t xml:space="preserve"> and relatively simple interpretations.</w:t>
      </w:r>
    </w:p>
    <w:p w14:paraId="52950616" w14:textId="2039069C" w:rsidR="00D55DC5" w:rsidRPr="00864B56" w:rsidRDefault="00D55DC5" w:rsidP="008009D0">
      <w:pPr>
        <w:pStyle w:val="Heading2"/>
        <w:jc w:val="both"/>
      </w:pPr>
      <w:bookmarkStart w:id="59" w:name="_Toc527361764"/>
      <w:r>
        <w:lastRenderedPageBreak/>
        <w:t xml:space="preserve">Material and </w:t>
      </w:r>
      <w:r w:rsidRPr="00864B56">
        <w:t>Methods</w:t>
      </w:r>
      <w:bookmarkEnd w:id="59"/>
    </w:p>
    <w:p w14:paraId="3A176D3C" w14:textId="46BF43DF" w:rsidR="00D55DC5" w:rsidRPr="00864B56" w:rsidRDefault="00D55DC5" w:rsidP="008009D0">
      <w:pPr>
        <w:pStyle w:val="Heading3"/>
        <w:jc w:val="both"/>
      </w:pPr>
      <w:bookmarkStart w:id="60" w:name="_Toc527361765"/>
      <w:r w:rsidRPr="00864B56">
        <w:t>Subjects</w:t>
      </w:r>
      <w:bookmarkEnd w:id="60"/>
    </w:p>
    <w:p w14:paraId="6732D90B" w14:textId="2FCA940D" w:rsidR="00D55DC5" w:rsidRPr="00EB1BD0" w:rsidRDefault="00D55DC5" w:rsidP="008009D0">
      <w:pPr>
        <w:jc w:val="both"/>
        <w:rPr>
          <w:rFonts w:cs="Arial"/>
        </w:rPr>
      </w:pPr>
      <w:r>
        <w:rPr>
          <w:rFonts w:cs="Arial"/>
        </w:rPr>
        <w:tab/>
      </w:r>
      <w:r w:rsidR="00C64408" w:rsidRPr="009A259F">
        <w:rPr>
          <w:rFonts w:eastAsia="MS Mincho" w:cs="Arial"/>
        </w:rPr>
        <w:t xml:space="preserve">Sixteen subjects (female = 4) with mild </w:t>
      </w:r>
      <w:r w:rsidR="00C64408">
        <w:rPr>
          <w:rFonts w:eastAsia="MS Mincho" w:cs="Arial"/>
        </w:rPr>
        <w:t>to</w:t>
      </w:r>
      <w:r w:rsidR="00C64408" w:rsidRPr="009A259F">
        <w:rPr>
          <w:rFonts w:eastAsia="MS Mincho" w:cs="Arial"/>
        </w:rPr>
        <w:t xml:space="preserve"> moderate PD (i.e., Hoehn and Yahr</w:t>
      </w:r>
      <w:r w:rsidR="00C64408">
        <w:rPr>
          <w:rFonts w:eastAsia="MS Mincho" w:cs="Arial"/>
        </w:rPr>
        <w:t xml:space="preserve"> </w:t>
      </w:r>
      <w:r w:rsidR="00C64408" w:rsidRPr="009A259F">
        <w:rPr>
          <w:rFonts w:eastAsia="MS Mincho" w:cs="Arial"/>
        </w:rPr>
        <w:fldChar w:fldCharType="begin" w:fldLock="1"/>
      </w:r>
      <w:r w:rsidR="004B5F8D">
        <w:rPr>
          <w:rFonts w:eastAsia="MS Mincho" w:cs="Arial"/>
        </w:rPr>
        <w:instrText>ADDIN CSL_CITATION {"citationItems":[{"id":"ITEM-1","itemData":{"ISSN":"0028-3878","PMID":"6067254","author":[{"dropping-particle":"","family":"Hoehn","given":"M M","non-dropping-particle":"","parse-names":false,"suffix":""},{"dropping-particle":"","family":"Yahr","given":"M D","non-dropping-particle":"","parse-names":false,"suffix":""}],"container-title":"Neurology","id":"ITEM-1","issue":"5","issued":{"date-parts":[["1967","5"]]},"page":"427-42","title":"Parkinsonism: onset, progression and mortality.","type":"article-journal","volume":"17"},"uris":["http://www.mendeley.com/documents/?uuid=b547a7c1-dbe3-4f5c-a280-4953cd79526a"]}],"mendeley":{"formattedCitation":"[14]","plainTextFormattedCitation":"[14]","previouslyFormattedCitation":"[14]"},"properties":{"noteIndex":0},"schema":"https://github.com/citation-style-language/schema/raw/master/csl-citation.json"}</w:instrText>
      </w:r>
      <w:r w:rsidR="00C64408" w:rsidRPr="009A259F">
        <w:rPr>
          <w:rFonts w:eastAsia="MS Mincho" w:cs="Arial"/>
        </w:rPr>
        <w:fldChar w:fldCharType="separate"/>
      </w:r>
      <w:r w:rsidR="001D6C02" w:rsidRPr="001D6C02">
        <w:rPr>
          <w:rFonts w:eastAsia="MS Mincho" w:cs="Arial"/>
          <w:noProof/>
        </w:rPr>
        <w:t>[14]</w:t>
      </w:r>
      <w:r w:rsidR="00C64408" w:rsidRPr="009A259F">
        <w:rPr>
          <w:rFonts w:eastAsia="MS Mincho" w:cs="Arial"/>
        </w:rPr>
        <w:fldChar w:fldCharType="end"/>
      </w:r>
      <w:r w:rsidR="00C64408" w:rsidRPr="009A259F">
        <w:rPr>
          <w:rFonts w:eastAsia="MS Mincho" w:cs="Arial"/>
        </w:rPr>
        <w:t xml:space="preserve"> I – III) were recruited from PD-specific activity groups in the greater Houston area. Inclusion criteria were</w:t>
      </w:r>
      <w:r w:rsidR="00C64408">
        <w:rPr>
          <w:rFonts w:eastAsia="MS Mincho" w:cs="Arial"/>
        </w:rPr>
        <w:t>: 1)</w:t>
      </w:r>
      <w:r w:rsidR="00C64408" w:rsidRPr="009A259F">
        <w:rPr>
          <w:rFonts w:eastAsia="MS Mincho" w:cs="Arial"/>
        </w:rPr>
        <w:t xml:space="preserve"> a diagnosis of PD from a </w:t>
      </w:r>
      <w:r w:rsidR="00246B6F">
        <w:rPr>
          <w:rFonts w:eastAsia="MS Mincho" w:cs="Arial"/>
        </w:rPr>
        <w:t>movement disorder specialist</w:t>
      </w:r>
      <w:r w:rsidR="00C64408" w:rsidRPr="009A259F">
        <w:rPr>
          <w:rFonts w:eastAsia="MS Mincho" w:cs="Arial"/>
        </w:rPr>
        <w:t xml:space="preserve">, </w:t>
      </w:r>
      <w:r w:rsidR="00C64408">
        <w:rPr>
          <w:rFonts w:eastAsia="MS Mincho" w:cs="Arial"/>
        </w:rPr>
        <w:t xml:space="preserve">2) </w:t>
      </w:r>
      <w:r w:rsidR="00C64408" w:rsidRPr="009A259F">
        <w:rPr>
          <w:rFonts w:eastAsia="MS Mincho" w:cs="Arial"/>
        </w:rPr>
        <w:t xml:space="preserve">on an unchanged regimen of dopaminergic medication for ≥ 3 months, and </w:t>
      </w:r>
      <w:r w:rsidR="00C64408">
        <w:rPr>
          <w:rFonts w:eastAsia="MS Mincho" w:cs="Arial"/>
        </w:rPr>
        <w:t xml:space="preserve">3) </w:t>
      </w:r>
      <w:r w:rsidR="00C64408" w:rsidRPr="009A259F">
        <w:rPr>
          <w:rFonts w:eastAsia="MS Mincho" w:cs="Arial"/>
        </w:rPr>
        <w:t xml:space="preserve">able to </w:t>
      </w:r>
      <w:r w:rsidR="00E135A7">
        <w:rPr>
          <w:rFonts w:eastAsia="MS Mincho" w:cs="Arial"/>
        </w:rPr>
        <w:t>stand</w:t>
      </w:r>
      <w:r w:rsidR="00E135A7" w:rsidRPr="009A259F">
        <w:rPr>
          <w:rFonts w:eastAsia="MS Mincho" w:cs="Arial"/>
        </w:rPr>
        <w:t xml:space="preserve"> </w:t>
      </w:r>
      <w:r w:rsidR="00C64408" w:rsidRPr="009A259F">
        <w:rPr>
          <w:rFonts w:eastAsia="MS Mincho" w:cs="Arial"/>
        </w:rPr>
        <w:t xml:space="preserve">and </w:t>
      </w:r>
      <w:r w:rsidR="00FE05F4">
        <w:rPr>
          <w:rFonts w:eastAsia="MS Mincho" w:cs="Arial"/>
        </w:rPr>
        <w:t>walk</w:t>
      </w:r>
      <w:r w:rsidR="00E135A7" w:rsidRPr="009A259F">
        <w:rPr>
          <w:rFonts w:eastAsia="MS Mincho" w:cs="Arial"/>
        </w:rPr>
        <w:t xml:space="preserve"> </w:t>
      </w:r>
      <w:r w:rsidR="00C64408" w:rsidRPr="009A259F">
        <w:rPr>
          <w:rFonts w:eastAsia="MS Mincho" w:cs="Arial"/>
        </w:rPr>
        <w:t xml:space="preserve">unassisted for ≥ 3 min. Subjects were excluded if they </w:t>
      </w:r>
      <w:r w:rsidR="000B5B43" w:rsidRPr="009A259F">
        <w:rPr>
          <w:rFonts w:eastAsia="MS Mincho" w:cs="Arial"/>
        </w:rPr>
        <w:t>had injuries</w:t>
      </w:r>
      <w:r w:rsidR="00C64408" w:rsidRPr="009A259F">
        <w:rPr>
          <w:rFonts w:eastAsia="MS Mincho" w:cs="Arial"/>
        </w:rPr>
        <w:t xml:space="preserve"> or surgeries that caused unusual gait or stances, respectively scored &lt; 24 or &lt; 17 on the </w:t>
      </w:r>
      <w:r w:rsidR="00E135A7">
        <w:rPr>
          <w:rFonts w:eastAsia="MS Mincho" w:cs="Arial"/>
        </w:rPr>
        <w:t>Montreal Cognitive Assessment (</w:t>
      </w:r>
      <w:r w:rsidR="00C64408" w:rsidRPr="009A259F">
        <w:rPr>
          <w:rFonts w:eastAsia="MS Mincho" w:cs="Arial"/>
        </w:rPr>
        <w:t>MoCA</w:t>
      </w:r>
      <w:r w:rsidR="00E135A7">
        <w:rPr>
          <w:rFonts w:eastAsia="MS Mincho" w:cs="Arial"/>
        </w:rPr>
        <w:t>)</w:t>
      </w:r>
      <w:r w:rsidR="00C64408">
        <w:rPr>
          <w:rFonts w:eastAsia="MS Mincho" w:cs="Arial"/>
        </w:rPr>
        <w:t xml:space="preserve"> </w:t>
      </w:r>
      <w:r w:rsidR="00C64408" w:rsidRPr="009A259F">
        <w:rPr>
          <w:rFonts w:eastAsia="MS Mincho" w:cs="Arial"/>
        </w:rPr>
        <w:fldChar w:fldCharType="begin" w:fldLock="1"/>
      </w:r>
      <w:r w:rsidR="004B5F8D">
        <w:rPr>
          <w:rFonts w:eastAsia="MS Mincho" w:cs="Arial"/>
        </w:rPr>
        <w:instrText>ADDIN CSL_CITATION {"citationItems":[{"id":"ITEM-1","itemData":{"DOI":"10.1111/j.1532-5415.2005.53221.x","ISBN":"0002-8614\\r1532-5415","ISSN":"0002-8614","PMID":"15817019","abstract":"OBJECTIVES To develop a 10-minute cognitive screening tool (Montreal Cognitive Assessment, MoCA) to assist first-line physicians in detection of mild cognitive impairment (MCI), a clinical state that often progresses to dementia. DESIGN Validation study. SETTING A community clinic and an academic center. PARTICIPANTS Ninety-four patients meeting MCI clinical criteria supported by psychometric measures, 93 patients with mild Alzheimer's disease (AD) (Mini-Mental State Examination (MMSE) score &gt; or =17), and 90 healthy elderly controls (NC). MEASUREMENTS The MoCA and MMSE were administered to all participants, and sensitivity and specificity of both measures were assessed for detection of MCI and mild AD. RESULTS Using a cutoff score 26, the MMSE had a sensitivity of 18% to detect MCI, whereas the MoCA detected 90% of MCI subjects. In the mild AD group, the MMSE had a sensitivity of 78%, whereas the MoCA detected 100%. Specificity was excellent for both MMSE and MoCA (100% and 87%, respectively). CONCLUSION MCI as an entity is evolving and somewhat controversial. The MoCA is a brief cognitive screening tool with high sensitivity and specificity for detecting MCI as currently conceptualized in patients performing in the normal range on the MMSE.","author":[{"dropping-particle":"","family":"Nasreddine","given":"Zs","non-dropping-particle":"","parse-names":false,"suffix":""},{"dropping-particle":"","family":"Phillips","given":"Na","non-dropping-particle":"","parse-names":false,"suffix":""},{"dropping-particle":"","family":"Bédirian","given":"Va","non-dropping-particle":"","parse-names":false,"suffix":""},{"dropping-particle":"","family":"Charbonneau","given":"Si","non-dropping-particle":"","parse-names":false,"suffix":""},{"dropping-particle":"","family":"Whitehead","given":"Vi","non-dropping-particle":"","parse-names":false,"suffix":""},{"dropping-particle":"","family":"Colllin","given":"Is","non-dropping-particle":"","parse-names":false,"suffix":""},{"dropping-particle":"","family":"Cummings","given":"Je","non-dropping-particle":"","parse-names":false,"suffix":""},{"dropping-particle":"","family":"Chertkow","given":"Ho","non-dropping-particle":"","parse-names":false,"suffix":""}],"container-title":"Journal of the American Geriatrics Society","id":"ITEM-1","issue":"4","issued":{"date-parts":[["2005"]]},"page":"695-699","title":"The Montreal Cognitive Assessment, MoCA: a brief screening tool for mild cognitive impairment","type":"article-journal","volume":"53"},"uris":["http://www.mendeley.com/documents/?uuid=dbd09cfc-cf2a-45a0-a15d-309bf7b8b710"]}],"mendeley":{"formattedCitation":"[15]","plainTextFormattedCitation":"[15]","previouslyFormattedCitation":"[15]"},"properties":{"noteIndex":0},"schema":"https://github.com/citation-style-language/schema/raw/master/csl-citation.json"}</w:instrText>
      </w:r>
      <w:r w:rsidR="00C64408" w:rsidRPr="009A259F">
        <w:rPr>
          <w:rFonts w:eastAsia="MS Mincho" w:cs="Arial"/>
        </w:rPr>
        <w:fldChar w:fldCharType="separate"/>
      </w:r>
      <w:r w:rsidR="001D6C02" w:rsidRPr="001D6C02">
        <w:rPr>
          <w:rFonts w:eastAsia="MS Mincho" w:cs="Arial"/>
          <w:noProof/>
        </w:rPr>
        <w:t>[15]</w:t>
      </w:r>
      <w:r w:rsidR="00C64408" w:rsidRPr="009A259F">
        <w:rPr>
          <w:rFonts w:eastAsia="MS Mincho" w:cs="Arial"/>
        </w:rPr>
        <w:fldChar w:fldCharType="end"/>
      </w:r>
      <w:r w:rsidR="00C64408" w:rsidRPr="009A259F">
        <w:rPr>
          <w:rFonts w:eastAsia="MS Mincho" w:cs="Arial"/>
        </w:rPr>
        <w:t xml:space="preserve"> or telephone MoCA</w:t>
      </w:r>
      <w:r w:rsidR="00C64408">
        <w:rPr>
          <w:rFonts w:eastAsia="MS Mincho" w:cs="Arial"/>
        </w:rPr>
        <w:t xml:space="preserve"> </w:t>
      </w:r>
      <w:r w:rsidR="00C64408" w:rsidRPr="009A259F">
        <w:rPr>
          <w:rFonts w:eastAsia="MS Mincho" w:cs="Arial"/>
        </w:rPr>
        <w:fldChar w:fldCharType="begin" w:fldLock="1"/>
      </w:r>
      <w:r w:rsidR="004B5F8D">
        <w:rPr>
          <w:rFonts w:eastAsia="MS Mincho" w:cs="Arial"/>
        </w:rPr>
        <w:instrText>ADDIN CSL_CITATION {"citationItems":[{"id":"ITEM-1","itemData":{"DOI":"10.1161/STROKEAHA.112.673384","ISBN":"1524-4628","ISSN":"00392499","PMID":"23138443","abstract":"BACKGROUND AND PURPOSE: Face-to-face cognitive testing is not always possible in large studies. Therefore, we assessed the telephone Montreal Cognitive Assessment (T-MoCA: MoCA items not requiring pencil and paper or visual stimulus) and the modified Telephone Interview of Cognitive Status (TICSm) against face-to-face cognitive tests in patients with transient ischemic attack (TIA) or stroke.\\n\\nMETHODS: In a population-based study, consecutive community-dwelling patients underwent the MoCA and neuropsychological battery &gt;1 year after TIA or stroke, followed by T-MoCA (22 points) and TICSm (39 points) at least 1 month later. Mild cognitive impairment (MCI) was diagnosed using modified Petersen criteria and the area under the receiver-operating characteristic curve (AUC) determined for T-MoCA and TICSm.\\n\\nRESULTS: Ninety-one nondemented subjects completed neuropsychological testing (mean±SD age, 72.9±11.6 years; 54 males; stroke 49%) and 73 had telephone follow-up. MoCA subtest scores for repetition, abstraction, and verbal fluency were significantly worse (P&lt;0.02) by telephone than during face-to-face testing. Reliability of diagnosis for MCI (AUC) were T-MoCA of 0.75 (95% confidence interval [CI], 0.63-0.87) and TICSm of 0.79 (95% CI, 0.68-0.90) vs face-to-face MoCA of 0.85 (95% CI, 0.76-0.94). Optimal cutoffs were 18 to 19 for T-MoCA and 24 to 25 for TICSm. Reliability of diagnosis for MCI (AUC) was greater when only multi-domain impairment was considered (T-MoCA=0.85; 95% CI, 0.75-0.96 and TICSm=0.83, 95% CI, 0.70-0.96) vs face-to-face MoCA=0.87; 95% CI, 0.76-0.97).\\n\\nCONCLUSIONS: Both T-MoCA and TICSm are feasible and valid telephone tests of cognition after TIA and stroke but perform better in detecting multi-domain vs single-domain impairment. However, T-MoCA is limited in its ability to assess visuoexecutive and complex language tasks compared with face-to-face MoCA.","author":[{"dropping-particle":"","family":"Pendlebury","given":"Sarah T.","non-dropping-particle":"","parse-names":false,"suffix":""},{"dropping-particle":"V","family":"Welch","given":"Sarah J","non-dropping-particle":"","parse-names":false,"suffix":""},{"dropping-particle":"","family":"Cuthbertson","given":"Fiona C.","non-dropping-particle":"","parse-names":false,"suffix":""},{"dropping-particle":"","family":"Mariz","given":"Jose","non-dropping-particle":"","parse-names":false,"suffix":""},{"dropping-particle":"","family":"Mehta","given":"Ziyah","non-dropping-particle":"","parse-names":false,"suffix":""},{"dropping-particle":"","family":"Rothwell","given":"Peter M.","non-dropping-particle":"","parse-names":false,"suffix":""}],"container-title":"Stroke","id":"ITEM-1","issue":"1","issued":{"date-parts":[["2013"]]},"page":"227-229","title":"Telephone assessment of cognition after transient ischemic attack and stroke: Modified telephone interview of cognitive status and telephone montreal cognitive assessment versus face-to-face montreal cognitive assessment and neuropsychological battery","type":"article-journal","volume":"44"},"uris":["http://www.mendeley.com/documents/?uuid=49d2b986-c4e0-426b-964c-b213f1081ab2"]}],"mendeley":{"formattedCitation":"[16]","plainTextFormattedCitation":"[16]","previouslyFormattedCitation":"[16]"},"properties":{"noteIndex":0},"schema":"https://github.com/citation-style-language/schema/raw/master/csl-citation.json"}</w:instrText>
      </w:r>
      <w:r w:rsidR="00C64408" w:rsidRPr="009A259F">
        <w:rPr>
          <w:rFonts w:eastAsia="MS Mincho" w:cs="Arial"/>
        </w:rPr>
        <w:fldChar w:fldCharType="separate"/>
      </w:r>
      <w:r w:rsidR="001D6C02" w:rsidRPr="001D6C02">
        <w:rPr>
          <w:rFonts w:eastAsia="MS Mincho" w:cs="Arial"/>
          <w:noProof/>
        </w:rPr>
        <w:t>[16]</w:t>
      </w:r>
      <w:r w:rsidR="00C64408" w:rsidRPr="009A259F">
        <w:rPr>
          <w:rFonts w:eastAsia="MS Mincho" w:cs="Arial"/>
        </w:rPr>
        <w:fldChar w:fldCharType="end"/>
      </w:r>
      <w:r w:rsidR="00C64408" w:rsidRPr="009A259F">
        <w:rPr>
          <w:rFonts w:eastAsia="MS Mincho" w:cs="Arial"/>
        </w:rPr>
        <w:t xml:space="preserve">, experienced freezing of gait, had deep brain stimulation, or a diagnosis of dementia or other neurodegenerative diseases. This study was approved by the University of Houston’s </w:t>
      </w:r>
      <w:r w:rsidR="00C64408">
        <w:rPr>
          <w:rFonts w:eastAsia="MS Mincho" w:cs="Arial"/>
        </w:rPr>
        <w:t>Institutional Review Board</w:t>
      </w:r>
      <w:r w:rsidR="00C64408" w:rsidRPr="009A259F">
        <w:rPr>
          <w:rFonts w:eastAsia="MS Mincho" w:cs="Arial"/>
        </w:rPr>
        <w:t xml:space="preserve"> and all subjects provided written informed consent.</w:t>
      </w:r>
    </w:p>
    <w:p w14:paraId="24BD7B80" w14:textId="329B9A81" w:rsidR="00D55DC5" w:rsidRPr="00864B56" w:rsidRDefault="00D55DC5" w:rsidP="008009D0">
      <w:pPr>
        <w:pStyle w:val="Heading3"/>
        <w:jc w:val="both"/>
      </w:pPr>
      <w:bookmarkStart w:id="61" w:name="_Toc527361766"/>
      <w:r w:rsidRPr="00864B56">
        <w:t>Equipment</w:t>
      </w:r>
      <w:r>
        <w:t xml:space="preserve"> and Tasks</w:t>
      </w:r>
      <w:bookmarkEnd w:id="61"/>
    </w:p>
    <w:p w14:paraId="5E6B1879" w14:textId="4CAD1D93" w:rsidR="009D3B86" w:rsidRPr="002F171F" w:rsidRDefault="00D55DC5" w:rsidP="008009D0">
      <w:pPr>
        <w:jc w:val="both"/>
        <w:rPr>
          <w:rFonts w:eastAsia="MS Mincho" w:cs="Arial"/>
        </w:rPr>
      </w:pPr>
      <w:r>
        <w:rPr>
          <w:rFonts w:cs="Arial"/>
        </w:rPr>
        <w:tab/>
      </w:r>
      <w:r w:rsidR="009D3B86" w:rsidRPr="002F171F">
        <w:rPr>
          <w:rFonts w:eastAsia="MS Mincho" w:cs="Arial"/>
        </w:rPr>
        <w:t xml:space="preserve">Kinematic data were collected using the Xsens MVN Biomech Awinda wireless system (Xsens Technologies B.V., Enschede, The Netherlands), which includes 17 inertial motion trackers (triaxial accelerometers, gyroscopes, and magnetometers) placed at the body segments shown in Figure </w:t>
      </w:r>
      <w:r w:rsidR="00465CC6">
        <w:rPr>
          <w:rFonts w:eastAsia="MS Mincho" w:cs="Arial"/>
        </w:rPr>
        <w:t>6</w:t>
      </w:r>
      <w:r w:rsidR="009D3B86" w:rsidRPr="002F171F">
        <w:rPr>
          <w:rFonts w:eastAsia="MS Mincho" w:cs="Arial"/>
        </w:rPr>
        <w:t xml:space="preserve">. Movement </w:t>
      </w:r>
      <w:r w:rsidR="009D3B86">
        <w:rPr>
          <w:rFonts w:eastAsia="MS Mincho" w:cs="Arial"/>
        </w:rPr>
        <w:t>data were</w:t>
      </w:r>
      <w:r w:rsidR="009D3B86" w:rsidRPr="002F171F">
        <w:rPr>
          <w:rFonts w:eastAsia="MS Mincho" w:cs="Arial"/>
        </w:rPr>
        <w:t xml:space="preserve"> collected </w:t>
      </w:r>
      <w:r w:rsidR="009D3B86">
        <w:rPr>
          <w:rFonts w:eastAsia="MS Mincho" w:cs="Arial"/>
        </w:rPr>
        <w:t>at</w:t>
      </w:r>
      <w:r w:rsidR="009D3B86" w:rsidRPr="002F171F">
        <w:rPr>
          <w:rFonts w:eastAsia="MS Mincho" w:cs="Arial"/>
        </w:rPr>
        <w:t xml:space="preserve"> a 60 Hz </w:t>
      </w:r>
      <w:r w:rsidR="009D3B86">
        <w:rPr>
          <w:rFonts w:eastAsia="MS Mincho" w:cs="Arial"/>
        </w:rPr>
        <w:t>sampling rate</w:t>
      </w:r>
      <w:r w:rsidR="009D3B86" w:rsidRPr="002F171F">
        <w:rPr>
          <w:rFonts w:eastAsia="MS Mincho" w:cs="Arial"/>
        </w:rPr>
        <w:t xml:space="preserve"> by each tracker, which were integrated into a full-body kinematic model by the Xsens software. </w:t>
      </w:r>
      <w:r w:rsidR="009D3B86">
        <w:rPr>
          <w:rFonts w:eastAsia="MS Mincho" w:cs="Arial"/>
        </w:rPr>
        <w:t>B</w:t>
      </w:r>
      <w:r w:rsidR="009D3B86" w:rsidRPr="002F171F">
        <w:rPr>
          <w:rFonts w:eastAsia="MS Mincho" w:cs="Arial"/>
        </w:rPr>
        <w:t xml:space="preserve">ilateral hip, knee, and shoulder angles in the sagittal plane were extracted. Balance data were collected using the NeuroCom Balance Master force platform (NeuroCom International Inc., Clackamas, OR, USA) operating at 100 Hz. The path of </w:t>
      </w:r>
      <w:r w:rsidR="009D3B86">
        <w:rPr>
          <w:rFonts w:eastAsia="MS Mincho" w:cs="Arial"/>
        </w:rPr>
        <w:t xml:space="preserve">the </w:t>
      </w:r>
      <w:r w:rsidR="009D3B86" w:rsidRPr="002F171F">
        <w:rPr>
          <w:rFonts w:eastAsia="MS Mincho" w:cs="Arial"/>
        </w:rPr>
        <w:t>center of pressure (COP)</w:t>
      </w:r>
      <w:r w:rsidR="009D3B86">
        <w:rPr>
          <w:rFonts w:eastAsia="MS Mincho" w:cs="Arial"/>
        </w:rPr>
        <w:t xml:space="preserve"> was determined</w:t>
      </w:r>
      <w:r w:rsidR="009D3B86" w:rsidRPr="002F171F">
        <w:rPr>
          <w:rFonts w:eastAsia="MS Mincho" w:cs="Arial"/>
        </w:rPr>
        <w:t xml:space="preserve">. PD motor symptoms were </w:t>
      </w:r>
      <w:r w:rsidR="009D3B86" w:rsidRPr="002F171F">
        <w:rPr>
          <w:rFonts w:eastAsia="MS Mincho" w:cs="Arial"/>
        </w:rPr>
        <w:lastRenderedPageBreak/>
        <w:t>assessed using the motor section of the Movement Disorder Society Unified Parkinson’s Disease Rating Scale</w:t>
      </w:r>
      <w:r w:rsidR="009D3B86">
        <w:rPr>
          <w:rFonts w:eastAsia="MS Mincho" w:cs="Arial"/>
        </w:rPr>
        <w:t xml:space="preserve"> </w:t>
      </w:r>
      <w:r w:rsidR="009D3B86" w:rsidRPr="002F171F">
        <w:rPr>
          <w:rFonts w:eastAsia="MS Mincho" w:cs="Arial"/>
        </w:rPr>
        <w:fldChar w:fldCharType="begin" w:fldLock="1"/>
      </w:r>
      <w:r w:rsidR="004B5F8D">
        <w:rPr>
          <w:rFonts w:eastAsia="MS Mincho" w:cs="Arial"/>
        </w:rPr>
        <w:instrText>ADDIN CSL_CITATION {"citationItems":[{"id":"ITEM-1","itemData":{"DOI":"10.1002/mds.22340","ISSN":"1531-8257","PMID":"19025984","abstract":"We present a clinimetric assessment of the Movement Disorder Society (MDS)-sponsored revision of the Unified Parkinson's Disease Rating Scale (MDS-UPDRS). The MDS-UDPRS Task Force revised and expanded the UPDRS using recommendations from a published critique. The MDS-UPDRS has four parts, namely, I: Non-motor Experiences of Daily Living; II: Motor Experiences of Daily Living; III: Motor Examination; IV: Motor Complications. Twenty questions are completed by the patient/caregiver. Item-specific instructions and an appendix of complementary additional scales are provided. Movement disorder specialists and study coordinators administered the UPDRS (55 items) and MDS-UPDRS (65 items) to 877 English speaking (78% non-Latino Caucasian) patients with Parkinson's disease from 39 sites. We compared the two scales using correlative techniques and factor analysis. The MDS-UPDRS showed high internal consistency (Cronbach's alpha = 0.79-0.93 across parts) and correlated with the original UPDRS (rho = 0.96). MDS-UPDRS across-part correlations ranged from 0.22 to 0.66. Reliable factor structures for each part were obtained (comparative fit index &gt; 0.90 for each part), which support the use of sum scores for each part in preference to a total score of all parts. The combined clinimetric results of this study support the validity of the MDS-UPDRS for rating PD.","author":[{"dropping-particle":"","family":"Goetz","given":"Christopher G","non-dropping-particle":"","parse-names":false,"suffix":""},{"dropping-particle":"","family":"Tilley","given":"Barbara C","non-dropping-particle":"","parse-names":false,"suffix":""},{"dropping-particle":"","family":"Shaftman","given":"Stephanie R","non-dropping-particle":"","parse-names":false,"suffix":""},{"dropping-particle":"","family":"Stebbins","given":"Glenn T","non-dropping-particle":"","parse-names":false,"suffix":""},{"dropping-particle":"","family":"Fahn","given":"Stanley","non-dropping-particle":"","parse-names":false,"suffix":""},{"dropping-particle":"","family":"Martinez-Martin","given":"Pablo","non-dropping-particle":"","parse-names":false,"suffix":""},{"dropping-particle":"","family":"Poewe","given":"Werner","non-dropping-particle":"","parse-names":false,"suffix":""},{"dropping-particle":"","family":"Sampaio","given":"Cristina","non-dropping-particle":"","parse-names":false,"suffix":""},{"dropping-particle":"","family":"Stern","given":"Matthew B","non-dropping-particle":"","parse-names":false,"suffix":""},{"dropping-particle":"","family":"Dodel","given":"Richard","non-dropping-particle":"","parse-names":false,"suffix":""},{"dropping-particle":"","family":"Dubois","given":"Bruno","non-dropping-particle":"","parse-names":false,"suffix":""},{"dropping-particle":"","family":"Holloway","given":"Robert","non-dropping-particle":"","parse-names":false,"suffix":""},{"dropping-particle":"","family":"Jankovic","given":"Joseph","non-dropping-particle":"","parse-names":false,"suffix":""},{"dropping-particle":"","family":"Kulisevsky","given":"Jaime","non-dropping-particle":"","parse-names":false,"suffix":""},{"dropping-particle":"","family":"Lang","given":"Anthony E","non-dropping-particle":"","parse-names":false,"suffix":""},{"dropping-particle":"","family":"Lees","given":"Andrew","non-dropping-particle":"","parse-names":false,"suffix":""},{"dropping-particle":"","family":"Leurgans","given":"Sue","non-dropping-particle":"","parse-names":false,"suffix":""},{"dropping-particle":"","family":"LeWitt","given":"Peter A","non-dropping-particle":"","parse-names":false,"suffix":""},{"dropping-particle":"","family":"Nyenhuis","given":"David","non-dropping-particle":"","parse-names":false,"suffix":""},{"dropping-particle":"","family":"Olanow","given":"C Warren","non-dropping-particle":"","parse-names":false,"suffix":""},{"dropping-particle":"","family":"Rascol","given":"Olivier","non-dropping-particle":"","parse-names":false,"suffix":""},{"dropping-particle":"","family":"Schrag","given":"Anette","non-dropping-particle":"","parse-names":false,"suffix":""},{"dropping-particle":"","family":"Teresi","given":"Jeanne A","non-dropping-particle":"","parse-names":false,"suffix":""},{"dropping-particle":"","family":"Hilten","given":"Jacobus J","non-dropping-particle":"van","parse-names":false,"suffix":""},{"dropping-particle":"","family":"LaPelle","given":"Nancy","non-dropping-particle":"","parse-names":false,"suffix":""},{"dropping-particle":"","family":"Movement Disorder Society UPDRS Revision Task Force","given":"","non-dropping-particle":"","parse-names":false,"suffix":""}],"container-title":"Movement disorders : official journal of the Movement Disorder Society","id":"ITEM-1","issue":"15","issued":{"date-parts":[["2008","11","15"]]},"page":"2129-70","title":"Movement Disorder Society-sponsored revision of the Unified Parkinson's Disease Rating Scale (MDS-UPDRS): scale presentation and clinimetric testing results.","type":"article-journal","volume":"23"},"uris":["http://www.mendeley.com/documents/?uuid=f7db7025-d423-32a9-9023-839a5a646c92"]}],"mendeley":{"formattedCitation":"[17]","plainTextFormattedCitation":"[17]","previouslyFormattedCitation":"[17]"},"properties":{"noteIndex":0},"schema":"https://github.com/citation-style-language/schema/raw/master/csl-citation.json"}</w:instrText>
      </w:r>
      <w:r w:rsidR="009D3B86" w:rsidRPr="002F171F">
        <w:rPr>
          <w:rFonts w:eastAsia="MS Mincho" w:cs="Arial"/>
        </w:rPr>
        <w:fldChar w:fldCharType="separate"/>
      </w:r>
      <w:r w:rsidR="001D6C02" w:rsidRPr="001D6C02">
        <w:rPr>
          <w:rFonts w:eastAsia="MS Mincho" w:cs="Arial"/>
          <w:noProof/>
        </w:rPr>
        <w:t>[17]</w:t>
      </w:r>
      <w:r w:rsidR="009D3B86" w:rsidRPr="002F171F">
        <w:rPr>
          <w:rFonts w:eastAsia="MS Mincho" w:cs="Arial"/>
        </w:rPr>
        <w:fldChar w:fldCharType="end"/>
      </w:r>
      <w:r w:rsidR="009D3B86" w:rsidRPr="002F171F">
        <w:rPr>
          <w:rFonts w:eastAsia="MS Mincho" w:cs="Arial"/>
        </w:rPr>
        <w:t xml:space="preserve"> (UPDRS III). </w:t>
      </w:r>
    </w:p>
    <w:p w14:paraId="4D96CA93" w14:textId="77777777" w:rsidR="009D3B86" w:rsidRPr="002F171F" w:rsidRDefault="009D3B86" w:rsidP="008009D0">
      <w:pPr>
        <w:jc w:val="both"/>
        <w:rPr>
          <w:rFonts w:eastAsia="MS Mincho" w:cs="Arial"/>
        </w:rPr>
      </w:pPr>
      <w:r w:rsidRPr="002F171F">
        <w:rPr>
          <w:rFonts w:eastAsia="MS Mincho" w:cs="Arial"/>
        </w:rPr>
        <w:tab/>
        <w:t>The two primary tasks were</w:t>
      </w:r>
      <w:r>
        <w:rPr>
          <w:rFonts w:eastAsia="MS Mincho" w:cs="Arial"/>
        </w:rPr>
        <w:t>: 1)</w:t>
      </w:r>
      <w:r w:rsidRPr="002F171F">
        <w:rPr>
          <w:rFonts w:eastAsia="MS Mincho" w:cs="Arial"/>
        </w:rPr>
        <w:t xml:space="preserve"> overground gait at a self-selected speed</w:t>
      </w:r>
      <w:r>
        <w:rPr>
          <w:rFonts w:eastAsia="MS Mincho" w:cs="Arial"/>
        </w:rPr>
        <w:t>,</w:t>
      </w:r>
      <w:r w:rsidRPr="002F171F">
        <w:rPr>
          <w:rFonts w:eastAsia="MS Mincho" w:cs="Arial"/>
        </w:rPr>
        <w:t xml:space="preserve"> and </w:t>
      </w:r>
      <w:r>
        <w:rPr>
          <w:rFonts w:eastAsia="MS Mincho" w:cs="Arial"/>
        </w:rPr>
        <w:t xml:space="preserve">2) </w:t>
      </w:r>
      <w:r w:rsidRPr="002F171F">
        <w:rPr>
          <w:rFonts w:eastAsia="MS Mincho" w:cs="Arial"/>
        </w:rPr>
        <w:t xml:space="preserve">standing balance with eyes open and eyes closed. Each </w:t>
      </w:r>
      <w:r>
        <w:rPr>
          <w:rFonts w:eastAsia="MS Mincho" w:cs="Arial"/>
        </w:rPr>
        <w:t>primary task</w:t>
      </w:r>
      <w:r w:rsidRPr="002F171F">
        <w:rPr>
          <w:rFonts w:eastAsia="MS Mincho" w:cs="Arial"/>
        </w:rPr>
        <w:t xml:space="preserve"> was performed one time for 3 min. The secondary task was a phoneme monitoring task, during which the subjects listened to audio text (i.e., an unfamiliar fairytale) through on-ear headphones and counted the number of times a pre-determined word occurred. The subjects </w:t>
      </w:r>
      <w:r>
        <w:rPr>
          <w:rFonts w:eastAsia="MS Mincho" w:cs="Arial"/>
        </w:rPr>
        <w:t>were instructed</w:t>
      </w:r>
      <w:r w:rsidRPr="002F171F">
        <w:rPr>
          <w:rFonts w:eastAsia="MS Mincho" w:cs="Arial"/>
        </w:rPr>
        <w:t xml:space="preserve"> to perform the counting mentally (i.e., not tally with fingers) while attending to the details of the story and answer questions at the end of the trial. </w:t>
      </w:r>
      <w:r>
        <w:rPr>
          <w:rFonts w:eastAsia="MS Mincho" w:cs="Arial"/>
        </w:rPr>
        <w:t>P</w:t>
      </w:r>
      <w:r w:rsidRPr="002F171F">
        <w:rPr>
          <w:rFonts w:eastAsia="MS Mincho" w:cs="Arial"/>
        </w:rPr>
        <w:t xml:space="preserve">honeme monitoring provided two outcomes; the proportion of words correctly tallied (PM-Tally) and the proportion of questions correctly answered (PM-Score). Tally reports greater than the correct tally were scored according to the following example. A report of ‘10’ when the correct tally was ‘8’ was scored as (8-|10-8|)/8 = 6/8 = 75%). </w:t>
      </w:r>
    </w:p>
    <w:p w14:paraId="750DE240" w14:textId="1CB78059" w:rsidR="00E741AA" w:rsidRDefault="009D3B86" w:rsidP="008009D0">
      <w:pPr>
        <w:jc w:val="both"/>
        <w:rPr>
          <w:rFonts w:eastAsia="MS Mincho" w:cs="Arial"/>
        </w:rPr>
      </w:pPr>
      <w:r w:rsidRPr="002F171F">
        <w:rPr>
          <w:rFonts w:eastAsia="MS Mincho" w:cs="Arial"/>
        </w:rPr>
        <w:tab/>
        <w:t>Phoneme monitoring was ideal for the desired long-duration collection time</w:t>
      </w:r>
      <w:r>
        <w:rPr>
          <w:rFonts w:eastAsia="MS Mincho" w:cs="Arial"/>
        </w:rPr>
        <w:t>,</w:t>
      </w:r>
      <w:r w:rsidRPr="002F171F">
        <w:rPr>
          <w:rFonts w:eastAsia="MS Mincho" w:cs="Arial"/>
        </w:rPr>
        <w:t xml:space="preserve"> because it has face validity with real-life situations like conversing while walking or standing. A long-duration data collection time provided sufficient data for the nonlinear analyses and also mirrors real-life situations the subjects experience on a daily basis. Several auditory recordings</w:t>
      </w:r>
      <w:r>
        <w:rPr>
          <w:rFonts w:eastAsia="MS Mincho" w:cs="Arial"/>
        </w:rPr>
        <w:t xml:space="preserve"> of</w:t>
      </w:r>
      <w:r w:rsidRPr="002F171F">
        <w:rPr>
          <w:rFonts w:eastAsia="MS Mincho" w:cs="Arial"/>
        </w:rPr>
        <w:t xml:space="preserve"> ~195 s </w:t>
      </w:r>
      <w:r>
        <w:rPr>
          <w:rFonts w:eastAsia="MS Mincho" w:cs="Arial"/>
        </w:rPr>
        <w:t xml:space="preserve">long </w:t>
      </w:r>
      <w:r w:rsidRPr="002F171F">
        <w:rPr>
          <w:rFonts w:eastAsia="MS Mincho" w:cs="Arial"/>
        </w:rPr>
        <w:t>were prepared so that each condition had a novel story and phoneme to tally. No practice or familiarization trials were performed.</w:t>
      </w:r>
    </w:p>
    <w:p w14:paraId="46C3AA54" w14:textId="5CA59CA4" w:rsidR="00582DF6" w:rsidRDefault="00582DF6" w:rsidP="008009D0">
      <w:pPr>
        <w:jc w:val="both"/>
        <w:rPr>
          <w:rFonts w:eastAsia="MS Mincho" w:cs="Arial"/>
        </w:rPr>
      </w:pPr>
    </w:p>
    <w:p w14:paraId="587737D6" w14:textId="77777777" w:rsidR="00582DF6" w:rsidRPr="00582DF6" w:rsidRDefault="00582DF6" w:rsidP="008009D0">
      <w:pPr>
        <w:jc w:val="both"/>
        <w:rPr>
          <w:rFonts w:eastAsia="MS Mincho" w:cs="Arial"/>
        </w:rPr>
      </w:pPr>
    </w:p>
    <w:p w14:paraId="588382D8" w14:textId="5649F335" w:rsidR="00D55DC5" w:rsidRPr="00864B56" w:rsidRDefault="00D55DC5" w:rsidP="008009D0">
      <w:pPr>
        <w:pStyle w:val="Heading3"/>
        <w:jc w:val="both"/>
      </w:pPr>
      <w:bookmarkStart w:id="62" w:name="_Toc527361767"/>
      <w:r w:rsidRPr="00864B56">
        <w:lastRenderedPageBreak/>
        <w:t>Procedures</w:t>
      </w:r>
      <w:bookmarkEnd w:id="62"/>
    </w:p>
    <w:p w14:paraId="2C183399" w14:textId="77777777" w:rsidR="002F00A5" w:rsidRPr="008E432D" w:rsidRDefault="00D55DC5" w:rsidP="008009D0">
      <w:pPr>
        <w:jc w:val="both"/>
        <w:rPr>
          <w:rFonts w:eastAsia="MS Mincho" w:cs="Arial"/>
        </w:rPr>
      </w:pPr>
      <w:r>
        <w:rPr>
          <w:rFonts w:cs="Arial"/>
        </w:rPr>
        <w:tab/>
      </w:r>
      <w:r w:rsidR="002F00A5" w:rsidRPr="008E432D">
        <w:rPr>
          <w:rFonts w:eastAsia="MS Mincho" w:cs="Arial"/>
        </w:rPr>
        <w:t>Testing always began with the off-medication state</w:t>
      </w:r>
      <w:r w:rsidR="002F00A5">
        <w:rPr>
          <w:rFonts w:eastAsia="MS Mincho" w:cs="Arial"/>
        </w:rPr>
        <w:t xml:space="preserve"> (OFF). A</w:t>
      </w:r>
      <w:r w:rsidR="002F00A5" w:rsidRPr="008E432D">
        <w:rPr>
          <w:rFonts w:eastAsia="MS Mincho" w:cs="Arial"/>
        </w:rPr>
        <w:t>ll trials were completed in one session. To ensure th</w:t>
      </w:r>
      <w:r w:rsidR="002F00A5">
        <w:rPr>
          <w:rFonts w:eastAsia="MS Mincho" w:cs="Arial"/>
        </w:rPr>
        <w:t>e subjects were in a stable off state, they were instructed to</w:t>
      </w:r>
      <w:r w:rsidR="002F00A5" w:rsidRPr="008E432D">
        <w:rPr>
          <w:rFonts w:eastAsia="MS Mincho" w:cs="Arial"/>
        </w:rPr>
        <w:t xml:space="preserve"> undertake a minimum 12-hour overnight medication withdrawal. First, the subjects’ anthropometric measurements were determined and input into Xsens software kinematic model and they were outfitted with the Xsens sensors. This provided consistent conditions for the non-gait trials (i.e.</w:t>
      </w:r>
      <w:r w:rsidR="002F00A5">
        <w:rPr>
          <w:rFonts w:eastAsia="MS Mincho" w:cs="Arial"/>
        </w:rPr>
        <w:t>,</w:t>
      </w:r>
      <w:r w:rsidR="002F00A5" w:rsidRPr="008E432D">
        <w:rPr>
          <w:rFonts w:eastAsia="MS Mincho" w:cs="Arial"/>
        </w:rPr>
        <w:t xml:space="preserve"> UPDRS III, single-task phoneme monitoring, balance trials), during both </w:t>
      </w:r>
      <w:r w:rsidR="002F00A5">
        <w:rPr>
          <w:rFonts w:eastAsia="MS Mincho" w:cs="Arial"/>
        </w:rPr>
        <w:t>OFF</w:t>
      </w:r>
      <w:r w:rsidR="002F00A5" w:rsidRPr="008E432D">
        <w:rPr>
          <w:rFonts w:eastAsia="MS Mincho" w:cs="Arial"/>
        </w:rPr>
        <w:t xml:space="preserve"> and on-medication</w:t>
      </w:r>
      <w:r w:rsidR="002F00A5">
        <w:rPr>
          <w:rFonts w:eastAsia="MS Mincho" w:cs="Arial"/>
        </w:rPr>
        <w:t xml:space="preserve"> (ON)</w:t>
      </w:r>
      <w:r w:rsidR="002F00A5" w:rsidRPr="008E432D">
        <w:rPr>
          <w:rFonts w:eastAsia="MS Mincho" w:cs="Arial"/>
        </w:rPr>
        <w:t xml:space="preserve"> states. This was necessary because once the sensors were donned, the subjects did not remove them.</w:t>
      </w:r>
    </w:p>
    <w:p w14:paraId="3780388B" w14:textId="77777777" w:rsidR="002F00A5" w:rsidRPr="008E432D" w:rsidRDefault="002F00A5" w:rsidP="008009D0">
      <w:pPr>
        <w:jc w:val="both"/>
        <w:rPr>
          <w:rFonts w:eastAsia="MS Mincho" w:cs="Arial"/>
        </w:rPr>
      </w:pPr>
      <w:r w:rsidRPr="008E432D">
        <w:rPr>
          <w:rFonts w:eastAsia="MS Mincho" w:cs="Arial"/>
        </w:rPr>
        <w:tab/>
        <w:t>After the sensors were placed, testing always commenced with the UPDRS III. The subjects then performed trials in blocks, organized by gait tasks and balance tasks. These blocks were randomly ordered. For the gait block, the subjects performed, in random order</w:t>
      </w:r>
      <w:r>
        <w:rPr>
          <w:rFonts w:eastAsia="MS Mincho" w:cs="Arial"/>
        </w:rPr>
        <w:t>:</w:t>
      </w:r>
      <w:r w:rsidRPr="008E432D">
        <w:rPr>
          <w:rFonts w:eastAsia="MS Mincho" w:cs="Arial"/>
        </w:rPr>
        <w:t xml:space="preserve"> single task (ST) phoneme monitoring while seated comfortably in a quiet room (ST-PM; if not completed in a previous balance block), </w:t>
      </w:r>
      <w:r>
        <w:rPr>
          <w:rFonts w:eastAsia="MS Mincho" w:cs="Arial"/>
        </w:rPr>
        <w:t>ST gait, and</w:t>
      </w:r>
      <w:r w:rsidRPr="008E432D">
        <w:rPr>
          <w:rFonts w:eastAsia="MS Mincho" w:cs="Arial"/>
        </w:rPr>
        <w:t xml:space="preserve"> dual-task (DT) gait, which was a combination of gait and phoneme monitoring. For the balance block, the following tasks were performed in random order: (ST-PM; if not completed in previous gait block), single-task standing eyes open (STEO), single-task standing eyes closed (STEC), dual-task standing eyes open (DTEO), and dual-task standing eyes closed (DTEC). As before, the dual-task conditions were a combination of the ST standing and phoneme monitoring tasks. Each condition was performed one time for 3 min. When needed, the subjects sat in a chair for at least one minute between conditions or blocks to rest. Before all phoneme monitoring conditions, the subjects were reminded to attend to the story to answer the </w:t>
      </w:r>
      <w:r w:rsidRPr="008E432D">
        <w:rPr>
          <w:rFonts w:eastAsia="MS Mincho" w:cs="Arial"/>
        </w:rPr>
        <w:lastRenderedPageBreak/>
        <w:t>questions and report the phoneme tally at the end of the trial. No other explicit instructions for directing attention were provided.</w:t>
      </w:r>
    </w:p>
    <w:p w14:paraId="4C56DEB0" w14:textId="4D05FCAB" w:rsidR="00D55DC5" w:rsidRPr="00864B56" w:rsidRDefault="002F00A5" w:rsidP="008009D0">
      <w:pPr>
        <w:jc w:val="both"/>
        <w:rPr>
          <w:rFonts w:cs="Arial"/>
        </w:rPr>
      </w:pPr>
      <w:r w:rsidRPr="008E432D">
        <w:rPr>
          <w:rFonts w:eastAsia="MS Mincho" w:cs="Arial"/>
        </w:rPr>
        <w:tab/>
        <w:t xml:space="preserve">Once all </w:t>
      </w:r>
      <w:r>
        <w:rPr>
          <w:rFonts w:eastAsia="MS Mincho" w:cs="Arial"/>
        </w:rPr>
        <w:t>OFF</w:t>
      </w:r>
      <w:r w:rsidRPr="008E432D">
        <w:rPr>
          <w:rFonts w:eastAsia="MS Mincho" w:cs="Arial"/>
        </w:rPr>
        <w:t xml:space="preserve"> trials were completed, the subjects took their medication as normally prescribed for their first/morning dose. </w:t>
      </w:r>
      <w:r>
        <w:rPr>
          <w:rFonts w:eastAsia="MS Mincho" w:cs="Arial"/>
        </w:rPr>
        <w:t>ON</w:t>
      </w:r>
      <w:r w:rsidRPr="008E432D">
        <w:rPr>
          <w:rFonts w:eastAsia="MS Mincho" w:cs="Arial"/>
        </w:rPr>
        <w:t xml:space="preserve"> testing commenced ~ 45 – 60 min later, with more time allowed to achieve a subjective ‘on’ state</w:t>
      </w:r>
      <w:r>
        <w:rPr>
          <w:rFonts w:eastAsia="MS Mincho" w:cs="Arial"/>
        </w:rPr>
        <w:t xml:space="preserve"> when needed</w:t>
      </w:r>
      <w:r w:rsidRPr="008E432D">
        <w:rPr>
          <w:rFonts w:eastAsia="MS Mincho" w:cs="Arial"/>
        </w:rPr>
        <w:t xml:space="preserve">. During this transition time, subject demographic information (i.e., weight, time since diagnosis, PD medication and dosages) were collected. </w:t>
      </w:r>
      <w:r>
        <w:rPr>
          <w:rFonts w:eastAsia="MS Mincho" w:cs="Arial"/>
        </w:rPr>
        <w:t>ON</w:t>
      </w:r>
      <w:r w:rsidRPr="008E432D">
        <w:rPr>
          <w:rFonts w:eastAsia="MS Mincho" w:cs="Arial"/>
        </w:rPr>
        <w:t xml:space="preserve"> testing proceeded with the same condition instructions as </w:t>
      </w:r>
      <w:r>
        <w:rPr>
          <w:rFonts w:eastAsia="MS Mincho" w:cs="Arial"/>
        </w:rPr>
        <w:t>OFF</w:t>
      </w:r>
      <w:r w:rsidRPr="008E432D">
        <w:rPr>
          <w:rFonts w:eastAsia="MS Mincho" w:cs="Arial"/>
        </w:rPr>
        <w:t>, but a new set of randomized blocks and conditions were provided.</w:t>
      </w:r>
      <w:r w:rsidR="00A322D7">
        <w:rPr>
          <w:rFonts w:cs="Arial"/>
        </w:rPr>
        <w:t xml:space="preserve"> </w:t>
      </w:r>
    </w:p>
    <w:p w14:paraId="02619FC8" w14:textId="7A99CC43" w:rsidR="00D55DC5" w:rsidRPr="00864B56" w:rsidRDefault="0061515C" w:rsidP="008009D0">
      <w:pPr>
        <w:pStyle w:val="Heading3"/>
        <w:jc w:val="both"/>
      </w:pPr>
      <w:bookmarkStart w:id="63" w:name="_Toc527361768"/>
      <w:r w:rsidRPr="00864B56">
        <w:t xml:space="preserve">Data </w:t>
      </w:r>
      <w:r>
        <w:t>Processing</w:t>
      </w:r>
      <w:bookmarkEnd w:id="63"/>
    </w:p>
    <w:p w14:paraId="2CDEFC62" w14:textId="1856601E" w:rsidR="00C32E9E" w:rsidRPr="004E1070" w:rsidRDefault="00D55DC5" w:rsidP="008009D0">
      <w:pPr>
        <w:jc w:val="both"/>
        <w:rPr>
          <w:rFonts w:eastAsia="MS Mincho" w:cs="Arial"/>
        </w:rPr>
      </w:pPr>
      <w:r>
        <w:rPr>
          <w:rFonts w:cs="Arial"/>
        </w:rPr>
        <w:tab/>
      </w:r>
      <w:r w:rsidR="00C32E9E" w:rsidRPr="004E1070">
        <w:rPr>
          <w:rFonts w:eastAsia="MS Mincho" w:cs="Arial"/>
        </w:rPr>
        <w:t xml:space="preserve">Segment-relative joint angles (i.e., 0º in the standing, neutral position) were exported using the Xsens software and COP paths were exported using the NeuroCom software. All data were imported into MATLAB (The MathWorks, Natick, MA) for analysis. Joint angle data were filtered using a second-order Butterworth low-pass filter with </w:t>
      </w:r>
      <w:r w:rsidR="003F6A7B" w:rsidRPr="004E1070">
        <w:rPr>
          <w:rFonts w:eastAsia="MS Mincho" w:cs="Arial"/>
        </w:rPr>
        <w:t xml:space="preserve">2.5 Hz (hip and shoulder angles) and 5 Hz (knee angles) </w:t>
      </w:r>
      <w:r w:rsidR="00C32E9E" w:rsidRPr="004E1070">
        <w:rPr>
          <w:rFonts w:eastAsia="MS Mincho" w:cs="Arial"/>
        </w:rPr>
        <w:t>cutoff frequencies</w:t>
      </w:r>
      <w:r w:rsidR="006255C2">
        <w:rPr>
          <w:rFonts w:cs="Arial"/>
        </w:rPr>
        <w:t>, as determined by spectral analysis</w:t>
      </w:r>
      <w:r w:rsidR="00C32E9E" w:rsidRPr="004E1070">
        <w:rPr>
          <w:rFonts w:eastAsia="MS Mincho" w:cs="Arial"/>
        </w:rPr>
        <w:t xml:space="preserve">, while COP data were filtered using a second-order Butterworth low-pass filter with </w:t>
      </w:r>
      <w:r w:rsidR="003F6A7B" w:rsidRPr="004E1070">
        <w:rPr>
          <w:rFonts w:eastAsia="MS Mincho" w:cs="Arial"/>
        </w:rPr>
        <w:t>a 10 Hz cutoff frequency</w:t>
      </w:r>
      <w:r w:rsidR="003F6A7B">
        <w:rPr>
          <w:rFonts w:eastAsia="MS Mincho" w:cs="Arial"/>
        </w:rPr>
        <w:t xml:space="preserve"> </w:t>
      </w:r>
      <w:r w:rsidR="003F6A7B">
        <w:rPr>
          <w:rFonts w:eastAsia="MS Mincho" w:cs="Arial"/>
        </w:rPr>
        <w:fldChar w:fldCharType="begin" w:fldLock="1"/>
      </w:r>
      <w:r w:rsidR="003F6A7B">
        <w:rPr>
          <w:rFonts w:eastAsia="MS Mincho" w:cs="Arial"/>
        </w:rPr>
        <w:instrText>ADDIN CSL_CITATION {"citationItems":[{"id":"ITEM-1","itemData":{"ISBN":"978-0-470-39818-0","author":[{"dropping-particle":"","family":"Winter","given":"David A.","non-dropping-particle":"","parse-names":false,"suffix":""}],"id":"ITEM-1","issued":{"date-parts":[["2009"]]},"publisher":"Wiley","publisher-place":"Hoboken, NJ","title":"Biomechanics and Motor Control of Human Movement","type":"book"},"uris":["http://www.mendeley.com/documents/?uuid=76fff62a-86a6-4a3f-a207-6e902c9bba50"]}],"mendeley":{"formattedCitation":"[36]","plainTextFormattedCitation":"[36]"},"properties":{"noteIndex":0},"schema":"https://github.com/citation-style-language/schema/raw/master/csl-citation.json"}</w:instrText>
      </w:r>
      <w:r w:rsidR="003F6A7B">
        <w:rPr>
          <w:rFonts w:eastAsia="MS Mincho" w:cs="Arial"/>
        </w:rPr>
        <w:fldChar w:fldCharType="separate"/>
      </w:r>
      <w:r w:rsidR="003F6A7B" w:rsidRPr="003F6A7B">
        <w:rPr>
          <w:rFonts w:eastAsia="MS Mincho" w:cs="Arial"/>
          <w:noProof/>
        </w:rPr>
        <w:t>[36]</w:t>
      </w:r>
      <w:r w:rsidR="003F6A7B">
        <w:rPr>
          <w:rFonts w:eastAsia="MS Mincho" w:cs="Arial"/>
        </w:rPr>
        <w:fldChar w:fldCharType="end"/>
      </w:r>
      <w:r w:rsidR="00C32E9E" w:rsidRPr="004E1070">
        <w:rPr>
          <w:rFonts w:eastAsia="MS Mincho" w:cs="Arial"/>
        </w:rPr>
        <w:t xml:space="preserve">. </w:t>
      </w:r>
    </w:p>
    <w:p w14:paraId="01850004" w14:textId="60E59A43" w:rsidR="00C32E9E" w:rsidRPr="004E1070" w:rsidRDefault="00C32E9E" w:rsidP="008009D0">
      <w:pPr>
        <w:jc w:val="both"/>
        <w:rPr>
          <w:rFonts w:eastAsia="MS Mincho" w:cs="Arial"/>
        </w:rPr>
      </w:pPr>
      <w:r w:rsidRPr="004E1070">
        <w:rPr>
          <w:rFonts w:eastAsia="MS Mincho" w:cs="Arial"/>
        </w:rPr>
        <w:tab/>
        <w:t>The regularity characteristics of the filtered bilateral hip, knee, and shoulder joint angle series and the filtered COP path series were determined using approximate entropy (ApEn) and Recurrence Quantification Analysis (RQA). ApEn is a family of statistics that determines the regularity of a given signal</w:t>
      </w:r>
      <w:r>
        <w:rPr>
          <w:rFonts w:eastAsia="MS Mincho" w:cs="Arial"/>
        </w:rPr>
        <w:t xml:space="preserve"> </w:t>
      </w:r>
      <w:r w:rsidRPr="004E1070">
        <w:rPr>
          <w:rFonts w:eastAsia="MS Mincho" w:cs="Arial"/>
        </w:rPr>
        <w:fldChar w:fldCharType="begin" w:fldLock="1"/>
      </w:r>
      <w:r w:rsidR="003F6A7B">
        <w:rPr>
          <w:rFonts w:eastAsia="MS Mincho" w:cs="Arial"/>
        </w:rPr>
        <w:instrText>ADDIN CSL_CITATION {"citationItems":[{"id":"ITEM-1","itemData":{"DOI":"10.1073/pnas.88.6.2297","ISBN":"0027-8424","ISSN":"0027-8424","PMID":"11607165","abstract":"Techniques to determine changing system complexity from data are evaluated. Convergence of a frequently used correlation dimension algorithm to a finite value does not necessarily imply an underlying deterministic model or chaos. Analysis of a recently developed family of formulas and statistics, approximate entropy (ApEn), suggests that ApEn can classify complex systems, given at least 1000 data values in diverse settings that include both deterministic chaotic and stochastic processes. The capability to discern changing complexity from such a relatively small amount of data holds promise for applications of ApEn in a variety of contexts.","author":[{"dropping-particle":"","family":"Pincus","given":"Steven M","non-dropping-particle":"","parse-names":false,"suffix":""}],"container-title":"Proceedings of the National Academy of Sciences of the United States of America","id":"ITEM-1","issue":"6","issued":{"date-parts":[["1991","3","15"]]},"page":"2297-2301","title":"Approximate entropy as a measure of system complexity.","type":"article-journal","volume":"88"},"uris":["http://www.mendeley.com/documents/?uuid=1f963304-7af9-432b-a612-b1bab51a074c"]}],"mendeley":{"formattedCitation":"[44]","plainTextFormattedCitation":"[44]","previouslyFormattedCitation":"[44]"},"properties":{"noteIndex":0},"schema":"https://github.com/citation-style-language/schema/raw/master/csl-citation.json"}</w:instrText>
      </w:r>
      <w:r w:rsidRPr="004E1070">
        <w:rPr>
          <w:rFonts w:eastAsia="MS Mincho" w:cs="Arial"/>
        </w:rPr>
        <w:fldChar w:fldCharType="separate"/>
      </w:r>
      <w:r w:rsidR="004B5F8D" w:rsidRPr="004B5F8D">
        <w:rPr>
          <w:rFonts w:eastAsia="MS Mincho" w:cs="Arial"/>
          <w:noProof/>
        </w:rPr>
        <w:t>[44]</w:t>
      </w:r>
      <w:r w:rsidRPr="004E1070">
        <w:rPr>
          <w:rFonts w:eastAsia="MS Mincho" w:cs="Arial"/>
        </w:rPr>
        <w:fldChar w:fldCharType="end"/>
      </w:r>
      <w:r w:rsidR="000741BE">
        <w:rPr>
          <w:rFonts w:eastAsia="MS Mincho" w:cs="Arial"/>
        </w:rPr>
        <w:t xml:space="preserve"> and is computed by the equation </w:t>
      </w:r>
      <w:r w:rsidR="009F52D6" w:rsidRPr="009F52D6">
        <w:rPr>
          <w:rFonts w:eastAsia="MS Mincho" w:cs="Arial"/>
          <w:i/>
        </w:rPr>
        <w:t>ApEn(m,r,N)</w:t>
      </w:r>
      <w:r w:rsidR="009F52D6">
        <w:rPr>
          <w:rFonts w:eastAsia="MS Mincho" w:cs="Arial"/>
          <w:i/>
        </w:rPr>
        <w:t xml:space="preserve"> </w:t>
      </w:r>
      <w:r w:rsidR="009F52D6" w:rsidRPr="009F52D6">
        <w:rPr>
          <w:rFonts w:eastAsia="MS Mincho" w:cs="Arial"/>
          <w:i/>
        </w:rPr>
        <w:t>= Φ</w:t>
      </w:r>
      <w:r w:rsidR="000741BE" w:rsidRPr="00E27CEF">
        <w:rPr>
          <w:rFonts w:eastAsia="MS Mincho" w:cs="Arial"/>
          <w:i/>
          <w:vertAlign w:val="superscript"/>
        </w:rPr>
        <w:t>m</w:t>
      </w:r>
      <w:r w:rsidR="000741BE" w:rsidRPr="00E27CEF">
        <w:rPr>
          <w:rFonts w:eastAsia="MS Mincho" w:cs="Arial"/>
          <w:i/>
        </w:rPr>
        <w:t>(r)- Φ</w:t>
      </w:r>
      <w:r w:rsidR="000741BE" w:rsidRPr="00E27CEF">
        <w:rPr>
          <w:rFonts w:eastAsia="MS Mincho" w:cs="Arial"/>
          <w:i/>
          <w:vertAlign w:val="superscript"/>
        </w:rPr>
        <w:t>(m+1)</w:t>
      </w:r>
      <w:r w:rsidR="000741BE" w:rsidRPr="00E27CEF">
        <w:rPr>
          <w:rFonts w:eastAsia="MS Mincho" w:cs="Arial"/>
          <w:i/>
        </w:rPr>
        <w:t>(r)</w:t>
      </w:r>
      <w:r w:rsidR="000741BE">
        <w:rPr>
          <w:rFonts w:eastAsia="MS Mincho" w:cs="Arial"/>
        </w:rPr>
        <w:t>.</w:t>
      </w:r>
      <w:r w:rsidRPr="004E1070">
        <w:rPr>
          <w:rFonts w:eastAsia="MS Mincho" w:cs="Arial"/>
        </w:rPr>
        <w:t xml:space="preserve"> </w:t>
      </w:r>
      <w:r w:rsidR="00F551D6">
        <w:rPr>
          <w:rFonts w:eastAsia="MS Mincho" w:cs="Arial"/>
        </w:rPr>
        <w:t>It is dependent on</w:t>
      </w:r>
      <w:r w:rsidRPr="004E1070">
        <w:rPr>
          <w:rFonts w:eastAsia="MS Mincho" w:cs="Arial"/>
        </w:rPr>
        <w:t xml:space="preserve"> </w:t>
      </w:r>
      <w:r w:rsidR="00453FF8">
        <w:rPr>
          <w:rFonts w:eastAsia="MS Mincho" w:cs="Arial"/>
        </w:rPr>
        <w:t>the</w:t>
      </w:r>
      <w:r w:rsidR="000443E0" w:rsidRPr="004E1070">
        <w:rPr>
          <w:rFonts w:eastAsia="MS Mincho" w:cs="Arial"/>
          <w:i/>
        </w:rPr>
        <w:t xml:space="preserve"> </w:t>
      </w:r>
      <w:r w:rsidR="000443E0" w:rsidRPr="004E1070">
        <w:rPr>
          <w:rFonts w:eastAsia="MS Mincho" w:cs="Arial"/>
        </w:rPr>
        <w:t xml:space="preserve">length of compared runs </w:t>
      </w:r>
      <w:r w:rsidR="000443E0">
        <w:rPr>
          <w:rFonts w:eastAsia="MS Mincho" w:cs="Arial"/>
        </w:rPr>
        <w:t>(</w:t>
      </w:r>
      <w:r w:rsidRPr="004E1070">
        <w:rPr>
          <w:rFonts w:eastAsia="MS Mincho" w:cs="Arial"/>
          <w:i/>
        </w:rPr>
        <w:t>m</w:t>
      </w:r>
      <w:r w:rsidR="000443E0" w:rsidRPr="007B13FD">
        <w:rPr>
          <w:rFonts w:eastAsia="MS Mincho" w:cs="Arial"/>
        </w:rPr>
        <w:t>)</w:t>
      </w:r>
      <w:r w:rsidRPr="004E1070">
        <w:rPr>
          <w:rFonts w:eastAsia="MS Mincho" w:cs="Arial"/>
        </w:rPr>
        <w:t xml:space="preserve"> and </w:t>
      </w:r>
      <w:r w:rsidR="002C4744">
        <w:rPr>
          <w:rFonts w:eastAsia="MS Mincho" w:cs="Arial"/>
        </w:rPr>
        <w:lastRenderedPageBreak/>
        <w:t>the criterion for similarity</w:t>
      </w:r>
      <w:r w:rsidR="00D03892">
        <w:rPr>
          <w:rFonts w:eastAsia="MS Mincho" w:cs="Arial"/>
        </w:rPr>
        <w:t xml:space="preserve"> between points within the series</w:t>
      </w:r>
      <w:r w:rsidRPr="004E1070">
        <w:rPr>
          <w:rFonts w:eastAsia="MS Mincho" w:cs="Arial"/>
        </w:rPr>
        <w:t xml:space="preserve"> </w:t>
      </w:r>
      <w:r w:rsidR="002C4744">
        <w:rPr>
          <w:rFonts w:eastAsia="MS Mincho" w:cs="Arial"/>
        </w:rPr>
        <w:t>(</w:t>
      </w:r>
      <w:r w:rsidRPr="004E1070">
        <w:rPr>
          <w:rFonts w:eastAsia="MS Mincho" w:cs="Arial"/>
          <w:i/>
        </w:rPr>
        <w:t>r</w:t>
      </w:r>
      <w:r w:rsidRPr="004E1070">
        <w:rPr>
          <w:rFonts w:eastAsia="MS Mincho" w:cs="Arial"/>
        </w:rPr>
        <w:t>)</w:t>
      </w:r>
      <w:r w:rsidR="00F551D6">
        <w:rPr>
          <w:rFonts w:eastAsia="MS Mincho" w:cs="Arial"/>
        </w:rPr>
        <w:t>, and the number of data points within the series (</w:t>
      </w:r>
      <w:r w:rsidR="00F551D6" w:rsidRPr="007B13FD">
        <w:rPr>
          <w:rFonts w:eastAsia="MS Mincho" w:cs="Arial"/>
          <w:i/>
        </w:rPr>
        <w:t>N</w:t>
      </w:r>
      <w:r w:rsidR="00F551D6">
        <w:rPr>
          <w:rFonts w:eastAsia="MS Mincho" w:cs="Arial"/>
        </w:rPr>
        <w:t>)</w:t>
      </w:r>
      <w:r w:rsidRPr="004E1070">
        <w:rPr>
          <w:rFonts w:eastAsia="MS Mincho" w:cs="Arial"/>
        </w:rPr>
        <w:t>. ApEn estimates the probability that a series of patterns</w:t>
      </w:r>
      <w:r>
        <w:rPr>
          <w:rFonts w:eastAsia="MS Mincho" w:cs="Arial"/>
        </w:rPr>
        <w:t>,</w:t>
      </w:r>
      <w:r w:rsidRPr="004E1070">
        <w:rPr>
          <w:rFonts w:eastAsia="MS Mincho" w:cs="Arial"/>
        </w:rPr>
        <w:t xml:space="preserve"> which are similar for </w:t>
      </w:r>
      <w:r w:rsidRPr="004E1070">
        <w:rPr>
          <w:rFonts w:eastAsia="MS Mincho" w:cs="Arial"/>
          <w:i/>
        </w:rPr>
        <w:t>m</w:t>
      </w:r>
      <w:r w:rsidRPr="004E1070">
        <w:rPr>
          <w:rFonts w:eastAsia="MS Mincho" w:cs="Arial"/>
        </w:rPr>
        <w:t xml:space="preserve"> observations</w:t>
      </w:r>
      <w:r>
        <w:rPr>
          <w:rFonts w:eastAsia="MS Mincho" w:cs="Arial"/>
        </w:rPr>
        <w:t>,</w:t>
      </w:r>
      <w:r w:rsidRPr="004E1070">
        <w:rPr>
          <w:rFonts w:eastAsia="MS Mincho" w:cs="Arial"/>
        </w:rPr>
        <w:t xml:space="preserve"> remains similar on the next iteration of comparisons (</w:t>
      </w:r>
      <w:r w:rsidRPr="004E1070">
        <w:rPr>
          <w:rFonts w:eastAsia="MS Mincho" w:cs="Arial"/>
          <w:i/>
        </w:rPr>
        <w:t>m+1</w:t>
      </w:r>
      <w:r w:rsidRPr="004E1070">
        <w:rPr>
          <w:rFonts w:eastAsia="MS Mincho" w:cs="Arial"/>
        </w:rPr>
        <w:t>)</w:t>
      </w:r>
      <w:r w:rsidR="00D03892">
        <w:rPr>
          <w:rFonts w:eastAsia="MS Mincho" w:cs="Arial"/>
        </w:rPr>
        <w:t>. ApEn values range from 0-2,</w:t>
      </w:r>
      <w:r w:rsidRPr="004E1070">
        <w:rPr>
          <w:rFonts w:eastAsia="MS Mincho" w:cs="Arial"/>
        </w:rPr>
        <w:t xml:space="preserve"> with smaller values indicating similarity between the </w:t>
      </w:r>
      <w:r w:rsidR="009F52D6" w:rsidRPr="007B13FD">
        <w:rPr>
          <w:rFonts w:eastAsia="MS Mincho" w:cs="Arial"/>
          <w:i/>
        </w:rPr>
        <w:t>m</w:t>
      </w:r>
      <w:r w:rsidR="009F52D6">
        <w:rPr>
          <w:rFonts w:eastAsia="MS Mincho" w:cs="Arial"/>
        </w:rPr>
        <w:t xml:space="preserve"> and </w:t>
      </w:r>
      <w:r w:rsidR="009F52D6" w:rsidRPr="007B13FD">
        <w:rPr>
          <w:rFonts w:eastAsia="MS Mincho" w:cs="Arial"/>
          <w:i/>
        </w:rPr>
        <w:t>m+1</w:t>
      </w:r>
      <w:r w:rsidR="009F52D6">
        <w:rPr>
          <w:rFonts w:eastAsia="MS Mincho" w:cs="Arial"/>
        </w:rPr>
        <w:t xml:space="preserve"> </w:t>
      </w:r>
      <w:r w:rsidRPr="004E1070">
        <w:rPr>
          <w:rFonts w:eastAsia="MS Mincho" w:cs="Arial"/>
        </w:rPr>
        <w:t>patterns</w:t>
      </w:r>
      <w:r w:rsidR="0047097C">
        <w:rPr>
          <w:rFonts w:eastAsia="MS Mincho" w:cs="Arial"/>
        </w:rPr>
        <w:t xml:space="preserve">; in other words, </w:t>
      </w:r>
      <w:r w:rsidR="009F52D6">
        <w:rPr>
          <w:rFonts w:eastAsia="MS Mincho" w:cs="Arial"/>
        </w:rPr>
        <w:t xml:space="preserve">if </w:t>
      </w:r>
      <w:r w:rsidR="0047097C" w:rsidRPr="009F52D6">
        <w:rPr>
          <w:rFonts w:eastAsia="MS Mincho" w:cs="Arial"/>
          <w:i/>
        </w:rPr>
        <w:t>Φ</w:t>
      </w:r>
      <w:r w:rsidR="0047097C" w:rsidRPr="00D82321">
        <w:rPr>
          <w:rFonts w:eastAsia="MS Mincho" w:cs="Arial"/>
          <w:i/>
          <w:vertAlign w:val="superscript"/>
        </w:rPr>
        <w:t>m</w:t>
      </w:r>
      <w:r w:rsidR="0047097C" w:rsidRPr="00D82321">
        <w:rPr>
          <w:rFonts w:eastAsia="MS Mincho" w:cs="Arial"/>
          <w:i/>
        </w:rPr>
        <w:t>(r)</w:t>
      </w:r>
      <w:r w:rsidR="0047097C">
        <w:rPr>
          <w:rFonts w:eastAsia="MS Mincho" w:cs="Arial"/>
          <w:i/>
        </w:rPr>
        <w:t xml:space="preserve"> </w:t>
      </w:r>
      <w:r w:rsidR="0047097C">
        <w:rPr>
          <w:rFonts w:eastAsia="MS Mincho" w:cs="Arial"/>
        </w:rPr>
        <w:t xml:space="preserve">and </w:t>
      </w:r>
      <w:r w:rsidR="0047097C" w:rsidRPr="009F52D6">
        <w:rPr>
          <w:rFonts w:eastAsia="MS Mincho" w:cs="Arial"/>
          <w:i/>
        </w:rPr>
        <w:t>Φ</w:t>
      </w:r>
      <w:r w:rsidR="0047097C" w:rsidRPr="00D82321">
        <w:rPr>
          <w:rFonts w:eastAsia="MS Mincho" w:cs="Arial"/>
          <w:i/>
          <w:vertAlign w:val="superscript"/>
        </w:rPr>
        <w:t>m</w:t>
      </w:r>
      <w:r w:rsidR="0047097C">
        <w:rPr>
          <w:rFonts w:eastAsia="MS Mincho" w:cs="Arial"/>
          <w:i/>
          <w:vertAlign w:val="superscript"/>
        </w:rPr>
        <w:t>+1</w:t>
      </w:r>
      <w:r w:rsidR="0047097C" w:rsidRPr="00D82321">
        <w:rPr>
          <w:rFonts w:eastAsia="MS Mincho" w:cs="Arial"/>
          <w:i/>
        </w:rPr>
        <w:t>(r)</w:t>
      </w:r>
      <w:r w:rsidR="0047097C">
        <w:rPr>
          <w:rFonts w:eastAsia="MS Mincho" w:cs="Arial"/>
          <w:i/>
        </w:rPr>
        <w:t xml:space="preserve"> </w:t>
      </w:r>
      <w:r w:rsidR="0047097C">
        <w:rPr>
          <w:rFonts w:eastAsia="MS Mincho" w:cs="Arial"/>
        </w:rPr>
        <w:t xml:space="preserve">are similar, the difference between the two will be small, which indicates </w:t>
      </w:r>
      <w:r w:rsidRPr="004E1070">
        <w:rPr>
          <w:rFonts w:eastAsia="MS Mincho" w:cs="Arial"/>
        </w:rPr>
        <w:t>greater regularity</w:t>
      </w:r>
      <w:r w:rsidR="0047097C">
        <w:rPr>
          <w:rFonts w:eastAsia="MS Mincho" w:cs="Arial"/>
        </w:rPr>
        <w:t xml:space="preserve"> of the series</w:t>
      </w:r>
      <w:r w:rsidRPr="004E1070">
        <w:rPr>
          <w:rFonts w:eastAsia="MS Mincho" w:cs="Arial"/>
        </w:rPr>
        <w:t xml:space="preserve">. </w:t>
      </w:r>
    </w:p>
    <w:p w14:paraId="665E46B5" w14:textId="52823A4C" w:rsidR="00C32E9E" w:rsidRPr="004E1070" w:rsidRDefault="00C32E9E" w:rsidP="008009D0">
      <w:pPr>
        <w:jc w:val="both"/>
        <w:rPr>
          <w:rFonts w:eastAsia="MS Mincho" w:cs="Arial"/>
        </w:rPr>
      </w:pPr>
      <w:r w:rsidRPr="004E1070">
        <w:rPr>
          <w:rFonts w:eastAsia="MS Mincho" w:cs="Arial"/>
        </w:rPr>
        <w:tab/>
        <w:t>RQA considers the recurrent behavior of a dynamic signal using recurrence plots, which are graphical representations of recurrent patterns derived from a one-dimensional time series. RQA requires several inputs (i.e., embedding dimension, time delay, and threshold) to observe and interpret patterns to quantify the recurrent aspects of the recurrence plots</w:t>
      </w:r>
      <w:r>
        <w:rPr>
          <w:rFonts w:eastAsia="MS Mincho" w:cs="Arial"/>
        </w:rPr>
        <w:t xml:space="preserve"> </w:t>
      </w:r>
      <w:r w:rsidRPr="004E1070">
        <w:rPr>
          <w:rFonts w:eastAsia="MS Mincho" w:cs="Arial"/>
        </w:rPr>
        <w:fldChar w:fldCharType="begin" w:fldLock="1"/>
      </w:r>
      <w:r w:rsidR="003F6A7B">
        <w:rPr>
          <w:rFonts w:eastAsia="MS Mincho" w:cs="Arial"/>
        </w:rPr>
        <w:instrText>ADDIN CSL_CITATION {"citationItems":[{"id":"ITEM-1","itemData":{"abstract":"... results of the traditional analysis of COP data as previously reported by Pellecchia (2003). Next, we employ the methods of RQA to examine the dynamical properties of COP time series. COGNITIVE ACTIVITY &amp; POSTURAL CONTROL : THE EXPERIMENT ...","author":[{"dropping-particle":"","family":"Pellecchia","given":"GL","non-dropping-particle":"","parse-names":false,"suffix":""},{"dropping-particle":"","family":"Shockley","given":"Kevin","non-dropping-particle":"","parse-names":false,"suffix":""}],"container-title":"Tutorials in Contemporary Nonlinear Methods for the Behavioral Sciences","editor":[{"dropping-particle":"","family":"Riley","given":"MA","non-dropping-particle":"","parse-names":false,"suffix":""},{"dropping-particle":"","family":"Orden","given":"GC","non-dropping-particle":"Van","parse-names":false,"suffix":""}],"id":"ITEM-1","issued":{"date-parts":[["2005"]]},"page":"95-141","publisher":"National Science Foundation","publisher-place":"Arlington, VA","title":"Application of recurrence quantification analysis: Influence of cognitive activity on postural fluctuations","type":"chapter"},"uris":["http://www.mendeley.com/documents/?uuid=f56aef33-e113-4016-8b66-422baf4bce14"]}],"mendeley":{"formattedCitation":"[45]","plainTextFormattedCitation":"[45]","previouslyFormattedCitation":"[45]"},"properties":{"noteIndex":0},"schema":"https://github.com/citation-style-language/schema/raw/master/csl-citation.json"}</w:instrText>
      </w:r>
      <w:r w:rsidRPr="004E1070">
        <w:rPr>
          <w:rFonts w:eastAsia="MS Mincho" w:cs="Arial"/>
        </w:rPr>
        <w:fldChar w:fldCharType="separate"/>
      </w:r>
      <w:r w:rsidR="004B5F8D" w:rsidRPr="004B5F8D">
        <w:rPr>
          <w:rFonts w:eastAsia="MS Mincho" w:cs="Arial"/>
          <w:noProof/>
        </w:rPr>
        <w:t>[45]</w:t>
      </w:r>
      <w:r w:rsidRPr="004E1070">
        <w:rPr>
          <w:rFonts w:eastAsia="MS Mincho" w:cs="Arial"/>
        </w:rPr>
        <w:fldChar w:fldCharType="end"/>
      </w:r>
      <w:r w:rsidRPr="004E1070">
        <w:rPr>
          <w:rFonts w:eastAsia="MS Mincho" w:cs="Arial"/>
        </w:rPr>
        <w:t>. For this study, the Cross Recurrence Plot (CRP) Toolbox</w:t>
      </w:r>
      <w:r>
        <w:rPr>
          <w:rFonts w:eastAsia="MS Mincho" w:cs="Arial"/>
        </w:rPr>
        <w:t xml:space="preserve"> </w:t>
      </w:r>
      <w:r w:rsidRPr="004E1070">
        <w:rPr>
          <w:rFonts w:eastAsia="MS Mincho" w:cs="Arial"/>
        </w:rPr>
        <w:fldChar w:fldCharType="begin" w:fldLock="1"/>
      </w:r>
      <w:r w:rsidR="003F6A7B">
        <w:rPr>
          <w:rFonts w:eastAsia="MS Mincho" w:cs="Arial"/>
        </w:rPr>
        <w:instrText>ADDIN CSL_CITATION {"citationItems":[{"id":"ITEM-1","itemData":{"DOI":"10.1016/j.physrep.2006.11.001","ISBN":"0370-1573","ISSN":"03701573","PMID":"18291439","abstract":"Recurrence is a fundamental property of dynamical systems, which can be exploited to characterise the system's behaviour in phase space. A powerful tool for their visualisation and analysis called recurrence plot was introduced in the late 1980's. This report is a comprehensive overview covering recurrence based methods and their applications with an emphasis on recent developments. After a brief outline of the theory of recurrences, the basic idea of the recurrence plot with its variations is presented. This includes the quantification of recurrence plots, like the recurrence quantification analysis, which is highly effective to detect, e. g., transitions in the dynamics of systems from time series. A main point is how to link recurrences to dynamical invariants and unstable periodic orbits. This and further evidence suggest that recurrences contain all relevant information about a system's behaviour. As the respective phase spaces of two systems change due to coupling, recurrence plots allow studying and quantifying their interaction. This fact also provides us with a sensitive tool for the study of synchronisation of complex systems. In the last part of the report several applications of recurrence plots in economy, physiology, neuroscience, earth sciences, astrophysics and engineering are shown. The aim of this work is to provide the readers with the know how for the application of recurrence plot based methods in their own field of research. We therefore detail the analysis of data and indicate possible difficulties and pitfalls. ?? 2006 Elsevier B.V. All rights reserved.","author":[{"dropping-particle":"","family":"Marwan","given":"Norbert","non-dropping-particle":"","parse-names":false,"suffix":""},{"dropping-particle":"","family":"Romano","given":"M Carmen","non-dropping-particle":"","parse-names":false,"suffix":""},{"dropping-particle":"","family":"Thiel","given":"Marco","non-dropping-particle":"","parse-names":false,"suffix":""},{"dropping-particle":"","family":"Kurths","given":"Jürgen","non-dropping-particle":"","parse-names":false,"suffix":""}],"container-title":"Physics Reports","id":"ITEM-1","issue":"5-6","issued":{"date-parts":[["2007","1"]]},"page":"237-329","title":"Recurrence plots for the analysis of complex systems","type":"article-journal","volume":"438"},"uris":["http://www.mendeley.com/documents/?uuid=b52dbd8c-afe1-4da4-b7ab-82cc986b21a1"]}],"mendeley":{"formattedCitation":"[46]","plainTextFormattedCitation":"[46]","previouslyFormattedCitation":"[46]"},"properties":{"noteIndex":0},"schema":"https://github.com/citation-style-language/schema/raw/master/csl-citation.json"}</w:instrText>
      </w:r>
      <w:r w:rsidRPr="004E1070">
        <w:rPr>
          <w:rFonts w:eastAsia="MS Mincho" w:cs="Arial"/>
        </w:rPr>
        <w:fldChar w:fldCharType="separate"/>
      </w:r>
      <w:r w:rsidR="004B5F8D" w:rsidRPr="004B5F8D">
        <w:rPr>
          <w:rFonts w:eastAsia="MS Mincho" w:cs="Arial"/>
          <w:noProof/>
        </w:rPr>
        <w:t>[46]</w:t>
      </w:r>
      <w:r w:rsidRPr="004E1070">
        <w:rPr>
          <w:rFonts w:eastAsia="MS Mincho" w:cs="Arial"/>
        </w:rPr>
        <w:fldChar w:fldCharType="end"/>
      </w:r>
      <w:r w:rsidRPr="004E1070">
        <w:rPr>
          <w:rFonts w:eastAsia="MS Mincho" w:cs="Arial"/>
        </w:rPr>
        <w:t xml:space="preserve"> for MATLAB was used to perform the RQA analysis</w:t>
      </w:r>
      <w:r>
        <w:rPr>
          <w:rFonts w:eastAsia="MS Mincho" w:cs="Arial"/>
        </w:rPr>
        <w:t>, and p</w:t>
      </w:r>
      <w:r w:rsidRPr="004E1070">
        <w:rPr>
          <w:rFonts w:eastAsia="MS Mincho" w:cs="Arial"/>
        </w:rPr>
        <w:t xml:space="preserve">ercent recurrence (%REC) and percent determinism (%DET) </w:t>
      </w:r>
      <w:r>
        <w:rPr>
          <w:rFonts w:eastAsia="MS Mincho" w:cs="Arial"/>
        </w:rPr>
        <w:t>of the signal were chosen as the two outputs</w:t>
      </w:r>
      <w:r w:rsidRPr="004E1070">
        <w:rPr>
          <w:rFonts w:eastAsia="MS Mincho" w:cs="Arial"/>
        </w:rPr>
        <w:t xml:space="preserve">. %REC is the percentage of data points that fall within a specified radius. </w:t>
      </w:r>
      <w:r>
        <w:rPr>
          <w:rFonts w:eastAsia="MS Mincho" w:cs="Arial"/>
        </w:rPr>
        <w:t>On the other hand</w:t>
      </w:r>
      <w:r w:rsidRPr="004E1070">
        <w:rPr>
          <w:rFonts w:eastAsia="MS Mincho" w:cs="Arial"/>
        </w:rPr>
        <w:t>, %DET is the percentage of recurrent points that form diagonal lines (≥ 2 points) in the recurrence plot, which are parallel to the central diagonal line. It serves as an estimation of the signal</w:t>
      </w:r>
      <w:r>
        <w:rPr>
          <w:rFonts w:eastAsia="MS Mincho" w:cs="Arial"/>
        </w:rPr>
        <w:t>’s</w:t>
      </w:r>
      <w:r w:rsidRPr="004E1070">
        <w:rPr>
          <w:rFonts w:eastAsia="MS Mincho" w:cs="Arial"/>
        </w:rPr>
        <w:t xml:space="preserve"> regularity. Thus, %REC provide</w:t>
      </w:r>
      <w:r>
        <w:rPr>
          <w:rFonts w:eastAsia="MS Mincho" w:cs="Arial"/>
        </w:rPr>
        <w:t>s</w:t>
      </w:r>
      <w:r w:rsidRPr="004E1070">
        <w:rPr>
          <w:rFonts w:eastAsia="MS Mincho" w:cs="Arial"/>
        </w:rPr>
        <w:t xml:space="preserve"> different information about the signal than ApEn, while %DET serve</w:t>
      </w:r>
      <w:r>
        <w:rPr>
          <w:rFonts w:eastAsia="MS Mincho" w:cs="Arial"/>
        </w:rPr>
        <w:t>s</w:t>
      </w:r>
      <w:r w:rsidRPr="004E1070">
        <w:rPr>
          <w:rFonts w:eastAsia="MS Mincho" w:cs="Arial"/>
        </w:rPr>
        <w:t xml:space="preserve"> a complimentary role in estimating the regularity of the signal from a deterministic, as opposed to a probabilistic (ApEn)</w:t>
      </w:r>
      <w:r>
        <w:rPr>
          <w:rFonts w:eastAsia="MS Mincho" w:cs="Arial"/>
        </w:rPr>
        <w:t>,</w:t>
      </w:r>
      <w:r w:rsidRPr="004E1070">
        <w:rPr>
          <w:rFonts w:eastAsia="MS Mincho" w:cs="Arial"/>
        </w:rPr>
        <w:t xml:space="preserve"> perspective.</w:t>
      </w:r>
    </w:p>
    <w:p w14:paraId="2EB3ED2F" w14:textId="529F0ABE" w:rsidR="00D55DC5" w:rsidRDefault="00C32E9E" w:rsidP="008009D0">
      <w:pPr>
        <w:jc w:val="both"/>
        <w:rPr>
          <w:rFonts w:cs="Arial"/>
        </w:rPr>
      </w:pPr>
      <w:r w:rsidRPr="004E1070">
        <w:rPr>
          <w:rFonts w:eastAsia="MS Mincho" w:cs="Arial"/>
        </w:rPr>
        <w:tab/>
        <w:t xml:space="preserve">It must be noted that choosing input parameters for RQA (i.e., embedding dimension, time delay, and threshold) and ApEn (i.e. embedding dimension and tolerance/radius; recall </w:t>
      </w:r>
      <w:r w:rsidRPr="004E1070">
        <w:rPr>
          <w:rFonts w:eastAsia="MS Mincho" w:cs="Arial"/>
          <w:i/>
        </w:rPr>
        <w:t>m</w:t>
      </w:r>
      <w:r w:rsidRPr="004E1070">
        <w:rPr>
          <w:rFonts w:eastAsia="MS Mincho" w:cs="Arial"/>
        </w:rPr>
        <w:t xml:space="preserve"> and </w:t>
      </w:r>
      <w:r w:rsidRPr="004E1070">
        <w:rPr>
          <w:rFonts w:eastAsia="MS Mincho" w:cs="Arial"/>
          <w:i/>
        </w:rPr>
        <w:t>r,</w:t>
      </w:r>
      <w:r w:rsidRPr="004E1070">
        <w:rPr>
          <w:rFonts w:eastAsia="MS Mincho" w:cs="Arial"/>
        </w:rPr>
        <w:t xml:space="preserve"> respectively) can be challenging and there are no </w:t>
      </w:r>
      <w:r w:rsidRPr="004E1070">
        <w:rPr>
          <w:rFonts w:eastAsia="MS Mincho" w:cs="Arial"/>
        </w:rPr>
        <w:lastRenderedPageBreak/>
        <w:t xml:space="preserve">concrete guidelines. </w:t>
      </w:r>
      <w:r>
        <w:rPr>
          <w:rFonts w:eastAsia="MS Mincho" w:cs="Arial"/>
        </w:rPr>
        <w:t>T</w:t>
      </w:r>
      <w:r w:rsidRPr="004E1070">
        <w:rPr>
          <w:rFonts w:eastAsia="MS Mincho" w:cs="Arial"/>
        </w:rPr>
        <w:t>he choice of input parameters has a noticeable effect on %REC, %DET, and ApEn. There are, however, some RQA input parameter selection guidelines offered by Pellechia and Shockley</w:t>
      </w:r>
      <w:r>
        <w:rPr>
          <w:rFonts w:eastAsia="MS Mincho" w:cs="Arial"/>
        </w:rPr>
        <w:t xml:space="preserve"> </w:t>
      </w:r>
      <w:r w:rsidRPr="004E1070">
        <w:rPr>
          <w:rFonts w:eastAsia="MS Mincho" w:cs="Arial"/>
        </w:rPr>
        <w:fldChar w:fldCharType="begin" w:fldLock="1"/>
      </w:r>
      <w:r w:rsidR="003F6A7B">
        <w:rPr>
          <w:rFonts w:eastAsia="MS Mincho" w:cs="Arial"/>
        </w:rPr>
        <w:instrText>ADDIN CSL_CITATION {"citationItems":[{"id":"ITEM-1","itemData":{"abstract":"... results of the traditional analysis of COP data as previously reported by Pellecchia (2003). Next, we employ the methods of RQA to examine the dynamical properties of COP time series. COGNITIVE ACTIVITY &amp; POSTURAL CONTROL : THE EXPERIMENT ...","author":[{"dropping-particle":"","family":"Pellecchia","given":"GL","non-dropping-particle":"","parse-names":false,"suffix":""},{"dropping-particle":"","family":"Shockley","given":"Kevin","non-dropping-particle":"","parse-names":false,"suffix":""}],"container-title":"Tutorials in Contemporary Nonlinear Methods for the Behavioral Sciences","editor":[{"dropping-particle":"","family":"Riley","given":"MA","non-dropping-particle":"","parse-names":false,"suffix":""},{"dropping-particle":"","family":"Orden","given":"GC","non-dropping-particle":"Van","parse-names":false,"suffix":""}],"id":"ITEM-1","issued":{"date-parts":[["2005"]]},"page":"95-141","publisher":"National Science Foundation","publisher-place":"Arlington, VA","title":"Application of recurrence quantification analysis: Influence of cognitive activity on postural fluctuations","type":"chapter"},"uris":["http://www.mendeley.com/documents/?uuid=f56aef33-e113-4016-8b66-422baf4bce14"]}],"mendeley":{"formattedCitation":"[45]","plainTextFormattedCitation":"[45]","previouslyFormattedCitation":"[45]"},"properties":{"noteIndex":0},"schema":"https://github.com/citation-style-language/schema/raw/master/csl-citation.json"}</w:instrText>
      </w:r>
      <w:r w:rsidRPr="004E1070">
        <w:rPr>
          <w:rFonts w:eastAsia="MS Mincho" w:cs="Arial"/>
        </w:rPr>
        <w:fldChar w:fldCharType="separate"/>
      </w:r>
      <w:r w:rsidR="004B5F8D" w:rsidRPr="004B5F8D">
        <w:rPr>
          <w:rFonts w:eastAsia="MS Mincho" w:cs="Arial"/>
          <w:noProof/>
        </w:rPr>
        <w:t>[45]</w:t>
      </w:r>
      <w:r w:rsidRPr="004E1070">
        <w:rPr>
          <w:rFonts w:eastAsia="MS Mincho" w:cs="Arial"/>
        </w:rPr>
        <w:fldChar w:fldCharType="end"/>
      </w:r>
      <w:r w:rsidRPr="004E1070">
        <w:rPr>
          <w:rFonts w:eastAsia="MS Mincho" w:cs="Arial"/>
        </w:rPr>
        <w:t xml:space="preserve">, one of which is choosing a threshold such that %REC is less than 5% but not too close to 0%. </w:t>
      </w:r>
      <w:r>
        <w:rPr>
          <w:rFonts w:eastAsia="MS Mincho" w:cs="Arial"/>
        </w:rPr>
        <w:t>T</w:t>
      </w:r>
      <w:r w:rsidRPr="004E1070">
        <w:rPr>
          <w:rFonts w:eastAsia="MS Mincho" w:cs="Arial"/>
        </w:rPr>
        <w:t xml:space="preserve">hresholds were manually selected for each analysis so that %REC was in the range of 1%-5%. This is particularly important, because larger %REC values can inflate %DET values. </w:t>
      </w:r>
      <w:r>
        <w:rPr>
          <w:rFonts w:eastAsia="MS Mincho" w:cs="Arial"/>
        </w:rPr>
        <w:t>T</w:t>
      </w:r>
      <w:r w:rsidRPr="004E1070">
        <w:rPr>
          <w:rFonts w:eastAsia="MS Mincho" w:cs="Arial"/>
        </w:rPr>
        <w:t>he CRP Toolbox</w:t>
      </w:r>
      <w:r>
        <w:rPr>
          <w:rFonts w:eastAsia="MS Mincho" w:cs="Arial"/>
        </w:rPr>
        <w:t xml:space="preserve"> also</w:t>
      </w:r>
      <w:r w:rsidRPr="004E1070">
        <w:rPr>
          <w:rFonts w:eastAsia="MS Mincho" w:cs="Arial"/>
        </w:rPr>
        <w:t xml:space="preserve"> includes codes to aid in calculating and selecting parameters based on the characteristics of the data series. As such, these codes were used to calculate embedding dimension and time delay for each series. Parameter selection for ApEn is less variable than RQA, but still lacks specific guidelines. Typically, the range of dimension (</w:t>
      </w:r>
      <w:r w:rsidRPr="004E1070">
        <w:rPr>
          <w:rFonts w:eastAsia="MS Mincho" w:cs="Arial"/>
          <w:i/>
        </w:rPr>
        <w:t>m</w:t>
      </w:r>
      <w:r w:rsidRPr="004E1070">
        <w:rPr>
          <w:rFonts w:eastAsia="MS Mincho" w:cs="Arial"/>
        </w:rPr>
        <w:t>) is 1-3, and tolerance (</w:t>
      </w:r>
      <w:r w:rsidRPr="004E1070">
        <w:rPr>
          <w:rFonts w:eastAsia="MS Mincho" w:cs="Arial"/>
          <w:i/>
        </w:rPr>
        <w:t>r</w:t>
      </w:r>
      <w:r w:rsidRPr="004E1070">
        <w:rPr>
          <w:rFonts w:eastAsia="MS Mincho" w:cs="Arial"/>
        </w:rPr>
        <w:t xml:space="preserve">) is 20% of the standard deviation of the data series. For this study, </w:t>
      </w:r>
      <w:r w:rsidRPr="004E1070">
        <w:rPr>
          <w:rFonts w:eastAsia="MS Mincho" w:cs="Arial"/>
          <w:i/>
        </w:rPr>
        <w:t>m</w:t>
      </w:r>
      <w:r w:rsidRPr="004E1070">
        <w:rPr>
          <w:rFonts w:eastAsia="MS Mincho" w:cs="Arial"/>
        </w:rPr>
        <w:t xml:space="preserve"> was set to 2 and </w:t>
      </w:r>
      <w:r w:rsidRPr="004E1070">
        <w:rPr>
          <w:rFonts w:eastAsia="MS Mincho" w:cs="Arial"/>
          <w:i/>
        </w:rPr>
        <w:t>r</w:t>
      </w:r>
      <w:r w:rsidRPr="004E1070">
        <w:rPr>
          <w:rFonts w:eastAsia="MS Mincho" w:cs="Arial"/>
        </w:rPr>
        <w:t xml:space="preserve"> was calculated as </w:t>
      </w:r>
      <w:r w:rsidR="00627B29" w:rsidRPr="004E1070">
        <w:rPr>
          <w:rFonts w:eastAsia="MS Mincho" w:cs="Arial"/>
        </w:rPr>
        <w:t>suggested above</w:t>
      </w:r>
      <w:r w:rsidR="00627B29">
        <w:rPr>
          <w:rFonts w:eastAsia="MS Mincho" w:cs="Arial"/>
        </w:rPr>
        <w:t xml:space="preserve"> (i.e., </w:t>
      </w:r>
      <w:r w:rsidR="00627B29" w:rsidRPr="007B13FD">
        <w:rPr>
          <w:rFonts w:eastAsia="MS Mincho" w:cs="Arial"/>
          <w:i/>
        </w:rPr>
        <w:t>r</w:t>
      </w:r>
      <w:r w:rsidR="00627B29">
        <w:rPr>
          <w:rFonts w:eastAsia="MS Mincho" w:cs="Arial"/>
        </w:rPr>
        <w:t xml:space="preserve"> = </w:t>
      </w:r>
      <w:r w:rsidR="00663619">
        <w:rPr>
          <w:rFonts w:eastAsia="MS Mincho" w:cs="Arial"/>
        </w:rPr>
        <w:t>0</w:t>
      </w:r>
      <w:r w:rsidR="00627B29">
        <w:rPr>
          <w:rFonts w:eastAsia="MS Mincho" w:cs="Arial"/>
        </w:rPr>
        <w:t>.2*SD</w:t>
      </w:r>
      <w:r w:rsidR="00663619">
        <w:rPr>
          <w:rFonts w:eastAsia="MS Mincho" w:cs="Arial"/>
        </w:rPr>
        <w:t>)</w:t>
      </w:r>
      <w:r w:rsidRPr="004E1070">
        <w:rPr>
          <w:rFonts w:eastAsia="MS Mincho" w:cs="Arial"/>
        </w:rPr>
        <w:t>.</w:t>
      </w:r>
    </w:p>
    <w:p w14:paraId="397FCBAE" w14:textId="2EDAA183" w:rsidR="00D55DC5" w:rsidRPr="00864B56" w:rsidRDefault="00D55DC5" w:rsidP="008009D0">
      <w:pPr>
        <w:pStyle w:val="Heading3"/>
        <w:jc w:val="both"/>
      </w:pPr>
      <w:bookmarkStart w:id="64" w:name="_Toc527361769"/>
      <w:r w:rsidRPr="00864B56">
        <w:t>Statistical Analysis</w:t>
      </w:r>
      <w:bookmarkEnd w:id="64"/>
    </w:p>
    <w:p w14:paraId="46D7D65B" w14:textId="3D87D400" w:rsidR="009160C8" w:rsidRPr="001C1461" w:rsidRDefault="00D55DC5" w:rsidP="008009D0">
      <w:pPr>
        <w:jc w:val="both"/>
        <w:rPr>
          <w:rFonts w:cs="Arial"/>
        </w:rPr>
      </w:pPr>
      <w:r>
        <w:rPr>
          <w:rFonts w:cs="Arial"/>
        </w:rPr>
        <w:tab/>
      </w:r>
      <w:r w:rsidR="008E123B">
        <w:rPr>
          <w:rFonts w:cs="Arial"/>
        </w:rPr>
        <w:t xml:space="preserve">For the joint </w:t>
      </w:r>
      <w:proofErr w:type="gramStart"/>
      <w:r w:rsidR="008E123B">
        <w:rPr>
          <w:rFonts w:cs="Arial"/>
        </w:rPr>
        <w:t>angles</w:t>
      </w:r>
      <w:proofErr w:type="gramEnd"/>
      <w:r w:rsidR="008E123B">
        <w:rPr>
          <w:rFonts w:cs="Arial"/>
        </w:rPr>
        <w:t xml:space="preserve"> analysis, a</w:t>
      </w:r>
      <w:r w:rsidR="008E123B" w:rsidRPr="005A5E1E">
        <w:rPr>
          <w:rFonts w:cs="Arial"/>
        </w:rPr>
        <w:t xml:space="preserve"> linear mixed effects model for repeated measures was performed, with medication (OFF vs. ON) and task (ST vs. DT) and the </w:t>
      </w:r>
      <w:r w:rsidR="008E123B">
        <w:rPr>
          <w:rFonts w:cs="Arial"/>
        </w:rPr>
        <w:t xml:space="preserve">medication by </w:t>
      </w:r>
      <w:r w:rsidR="008E123B" w:rsidRPr="005A5E1E">
        <w:rPr>
          <w:rFonts w:cs="Arial"/>
        </w:rPr>
        <w:t xml:space="preserve">task </w:t>
      </w:r>
      <w:r w:rsidR="008E123B">
        <w:rPr>
          <w:rFonts w:cs="Arial"/>
        </w:rPr>
        <w:t>interaction input as fixed effects, and</w:t>
      </w:r>
      <w:r w:rsidR="008E123B" w:rsidRPr="005A5E1E">
        <w:rPr>
          <w:rFonts w:cs="Arial"/>
        </w:rPr>
        <w:t xml:space="preserve"> gait velocity </w:t>
      </w:r>
      <w:r w:rsidR="008E123B">
        <w:rPr>
          <w:rFonts w:cs="Arial"/>
        </w:rPr>
        <w:t>as a repeated measure covariate. M</w:t>
      </w:r>
      <w:r w:rsidR="008E123B" w:rsidRPr="005A5E1E">
        <w:rPr>
          <w:rFonts w:cs="Arial"/>
        </w:rPr>
        <w:t>aximum likelihood</w:t>
      </w:r>
      <w:r w:rsidR="008E123B">
        <w:rPr>
          <w:rFonts w:cs="Arial"/>
        </w:rPr>
        <w:t xml:space="preserve"> was used</w:t>
      </w:r>
      <w:r w:rsidR="008E123B" w:rsidRPr="005A5E1E">
        <w:rPr>
          <w:rFonts w:cs="Arial"/>
        </w:rPr>
        <w:t xml:space="preserve"> as the estimation method. The covariate </w:t>
      </w:r>
      <w:r w:rsidR="008E123B">
        <w:rPr>
          <w:rFonts w:cs="Arial"/>
        </w:rPr>
        <w:t xml:space="preserve">was included to control for anticipated </w:t>
      </w:r>
      <w:r w:rsidR="008E123B" w:rsidRPr="005A5E1E">
        <w:rPr>
          <w:rFonts w:cs="Arial"/>
        </w:rPr>
        <w:t xml:space="preserve">improvements in gait velocity </w:t>
      </w:r>
      <w:r w:rsidR="008E123B">
        <w:rPr>
          <w:rFonts w:cs="Arial"/>
        </w:rPr>
        <w:t xml:space="preserve">after taking dopaminergic </w:t>
      </w:r>
      <w:r w:rsidR="008E123B" w:rsidRPr="005A5E1E">
        <w:rPr>
          <w:rFonts w:cs="Arial"/>
        </w:rPr>
        <w:t xml:space="preserve">medication </w:t>
      </w:r>
      <w:r w:rsidR="008E123B" w:rsidRPr="005A5E1E">
        <w:rPr>
          <w:rFonts w:cs="Arial"/>
        </w:rPr>
        <w:fldChar w:fldCharType="begin" w:fldLock="1"/>
      </w:r>
      <w:r w:rsidR="008E123B" w:rsidRPr="005A5E1E">
        <w:rPr>
          <w:rFonts w:cs="Arial"/>
        </w:rPr>
        <w:instrText>ADDIN CSL_CITATION {"citationItems":[{"id":"ITEM-1","itemData":{"abstract":"Parkinsonism is a clinical syndrome comprising combinations of motor problems—namely, bradykinesia, resting tremor, rigidity, flexed posture, “freezing,” and loss of postural reflexes. Parkinson’s disease (PD) is the major cause of parkinsonism. PD is a slowly progressive parkinsonian syn- drome that begins insidiously and usually affects one side of the body before spreading to involve the other side. Pathology shows loss of neuromelanin-containing monoamine neurons, particularly dopamine (DA) neurons in the substantia nigra pars compacta. A pathologic hallmark is the presence of cytoplasmic eosinophilic inclusions (Lewy bodies) in monoamine neurons. The loss of DA content in the nigrostriatal neurons accounts for many of the motor symptoms, which can be ameliorated by DA replacement therapy—that is, levodopa. Most cases are sporadic, of unknown etiology; but rare cases of monogenic mutations (10 genes at present count) show that there are multiple causes for the neuronal degeneration. The pathogenesis of PD remains unknown. Clinical fluctuations and dyskinesias are frequent complications of levodopa therapy; these, as well as some motor features of PD, improve by resetting the abnormal brain physiology towards normal by surgical therapy. Nonmotor symptoms (depression, lack of motivation, passivity, and dementia) are common. As the disease progresses, even motor symptoms become intractable to therapy. No proven means of slowing progression have yet been found.","author":[{"dropping-particle":"","family":"Fahn","given":"Stanley","non-dropping-particle":"","parse-names":false,"suffix":""}],"container-title":"Annals New York Academy of Sciences","id":"ITEM-1","issued":{"date-parts":[["2003"]]},"page":"1-14","title":"Description of Parkinson’ s Disease as a Clinical Syndrome","type":"article-journal","volume":"991"},"uris":["http://www.mendeley.com/documents/?uuid=63b3f15d-72bd-4a15-a52d-94491c167cb5"]}],"mendeley":{"formattedCitation":"[2]","plainTextFormattedCitation":"[2]","previouslyFormattedCitation":"[2]"},"properties":{"noteIndex":0},"schema":"https://github.com/citation-style-language/schema/raw/master/csl-citation.json"}</w:instrText>
      </w:r>
      <w:r w:rsidR="008E123B" w:rsidRPr="005A5E1E">
        <w:rPr>
          <w:rFonts w:cs="Arial"/>
        </w:rPr>
        <w:fldChar w:fldCharType="separate"/>
      </w:r>
      <w:r w:rsidR="008E123B" w:rsidRPr="005A5E1E">
        <w:rPr>
          <w:rFonts w:cs="Arial"/>
          <w:noProof/>
        </w:rPr>
        <w:t>[2]</w:t>
      </w:r>
      <w:r w:rsidR="008E123B" w:rsidRPr="005A5E1E">
        <w:rPr>
          <w:rFonts w:cs="Arial"/>
        </w:rPr>
        <w:fldChar w:fldCharType="end"/>
      </w:r>
      <w:r w:rsidR="008E123B">
        <w:rPr>
          <w:rFonts w:cs="Arial"/>
        </w:rPr>
        <w:t xml:space="preserve">. </w:t>
      </w:r>
      <w:r w:rsidR="008E123B" w:rsidRPr="00253831">
        <w:rPr>
          <w:rFonts w:eastAsia="MS Mincho" w:cs="Arial"/>
        </w:rPr>
        <w:t>Because PD often asymmetrically impacts patients, e.g., unilaterally present (mild) or unilaterally more severe (moderate), joint angles were stratified into more-affected and less-affected sides.</w:t>
      </w:r>
      <w:r w:rsidR="008E123B">
        <w:rPr>
          <w:rFonts w:eastAsia="MS Mincho" w:cs="Arial"/>
        </w:rPr>
        <w:t xml:space="preserve"> </w:t>
      </w:r>
      <w:r w:rsidR="008E123B" w:rsidRPr="00253831">
        <w:rPr>
          <w:rFonts w:eastAsia="MS Mincho" w:cs="Arial"/>
        </w:rPr>
        <w:t>Dependent variables included %DET and ApEn for the bilateral hip, knee, and shoulder joint angle series</w:t>
      </w:r>
      <w:r w:rsidR="008E123B">
        <w:rPr>
          <w:rFonts w:eastAsia="MS Mincho" w:cs="Arial"/>
        </w:rPr>
        <w:t>.</w:t>
      </w:r>
      <w:r w:rsidR="008E123B" w:rsidRPr="00253831">
        <w:rPr>
          <w:rFonts w:eastAsia="MS Mincho" w:cs="Arial"/>
        </w:rPr>
        <w:t xml:space="preserve"> </w:t>
      </w:r>
      <w:r w:rsidR="008E123B">
        <w:rPr>
          <w:rFonts w:cs="Arial"/>
        </w:rPr>
        <w:t>For the COP path analysis,</w:t>
      </w:r>
      <w:r w:rsidR="008E123B" w:rsidRPr="00253831">
        <w:rPr>
          <w:rFonts w:eastAsia="MS Mincho" w:cs="Arial"/>
        </w:rPr>
        <w:t xml:space="preserve"> a </w:t>
      </w:r>
      <w:r w:rsidR="008E123B" w:rsidRPr="00253831">
        <w:rPr>
          <w:rFonts w:eastAsia="MS Mincho" w:cs="Arial"/>
        </w:rPr>
        <w:lastRenderedPageBreak/>
        <w:t xml:space="preserve">3-factor repeated-measures ANOVA, medication (OFF vs. ON) by task (ST vs. DT) by eyes condition (EO vs. EC), </w:t>
      </w:r>
      <w:r w:rsidR="008E123B">
        <w:rPr>
          <w:rFonts w:eastAsia="MS Mincho" w:cs="Arial"/>
        </w:rPr>
        <w:t>was</w:t>
      </w:r>
      <w:r w:rsidR="008E123B" w:rsidRPr="00253831">
        <w:rPr>
          <w:rFonts w:eastAsia="MS Mincho" w:cs="Arial"/>
        </w:rPr>
        <w:t xml:space="preserve"> employed</w:t>
      </w:r>
      <w:r w:rsidR="008E123B">
        <w:rPr>
          <w:rFonts w:eastAsia="MS Mincho" w:cs="Arial"/>
        </w:rPr>
        <w:t xml:space="preserve"> with %DET and ApEn as d</w:t>
      </w:r>
      <w:r w:rsidR="008E123B" w:rsidRPr="00253831">
        <w:rPr>
          <w:rFonts w:eastAsia="MS Mincho" w:cs="Arial"/>
        </w:rPr>
        <w:t xml:space="preserve">ependent. The assumptions for a repeated measures ANOVA were reviewed and tested. The normality assumption of each variable was checked via histograms, skewness, and </w:t>
      </w:r>
      <w:r w:rsidR="0019472E" w:rsidRPr="00253831">
        <w:rPr>
          <w:rFonts w:eastAsia="MS Mincho" w:cs="Arial"/>
        </w:rPr>
        <w:t xml:space="preserve">kurtosis </w:t>
      </w:r>
      <w:r w:rsidR="008E123B" w:rsidRPr="00253831">
        <w:rPr>
          <w:rFonts w:eastAsia="MS Mincho" w:cs="Arial"/>
        </w:rPr>
        <w:t>statistics</w:t>
      </w:r>
      <w:r w:rsidR="0019472E" w:rsidRPr="00253831">
        <w:rPr>
          <w:rFonts w:eastAsia="MS Mincho" w:cs="Arial"/>
        </w:rPr>
        <w:t xml:space="preserve">. </w:t>
      </w:r>
      <w:r w:rsidR="0019472E" w:rsidRPr="00253831">
        <w:rPr>
          <w:rFonts w:eastAsia="MS Mincho" w:cs="Arial"/>
          <w:i/>
        </w:rPr>
        <w:t>Post-hoc</w:t>
      </w:r>
      <w:r w:rsidR="0019472E" w:rsidRPr="00253831">
        <w:rPr>
          <w:rFonts w:eastAsia="MS Mincho" w:cs="Arial"/>
        </w:rPr>
        <w:t xml:space="preserve"> comparisons </w:t>
      </w:r>
      <w:r w:rsidR="00D07DA5">
        <w:rPr>
          <w:rFonts w:eastAsia="MS Mincho" w:cs="Arial"/>
        </w:rPr>
        <w:t xml:space="preserve">(i.e., paired </w:t>
      </w:r>
      <w:r w:rsidR="00D07DA5" w:rsidRPr="007B13FD">
        <w:rPr>
          <w:rFonts w:eastAsia="MS Mincho" w:cs="Arial"/>
          <w:i/>
        </w:rPr>
        <w:t>t</w:t>
      </w:r>
      <w:r w:rsidR="00D07DA5">
        <w:rPr>
          <w:rFonts w:eastAsia="MS Mincho" w:cs="Arial"/>
        </w:rPr>
        <w:t>-tests)</w:t>
      </w:r>
      <w:r w:rsidR="00FF4A2F">
        <w:rPr>
          <w:rFonts w:eastAsia="MS Mincho" w:cs="Arial"/>
        </w:rPr>
        <w:t xml:space="preserve"> </w:t>
      </w:r>
      <w:r w:rsidR="008E123B" w:rsidRPr="00253831">
        <w:rPr>
          <w:rFonts w:eastAsia="MS Mincho" w:cs="Arial"/>
        </w:rPr>
        <w:t xml:space="preserve">were performed to determine pairwise differences. Significance was accepted at </w:t>
      </w:r>
      <w:r w:rsidR="008E123B" w:rsidRPr="00253831">
        <w:rPr>
          <w:rFonts w:eastAsia="MS Mincho" w:cs="Arial"/>
          <w:i/>
        </w:rPr>
        <w:t>p</w:t>
      </w:r>
      <w:r w:rsidR="008E123B" w:rsidRPr="00253831">
        <w:rPr>
          <w:rFonts w:eastAsia="MS Mincho" w:cs="Arial"/>
        </w:rPr>
        <w:t xml:space="preserve"> &lt; 0.05. Statistical analysis was performed using SPSS 23 (IBM Corp., Armonk, NY, USA).</w:t>
      </w:r>
      <w:r>
        <w:rPr>
          <w:rFonts w:cs="Arial"/>
        </w:rPr>
        <w:t xml:space="preserve"> </w:t>
      </w:r>
    </w:p>
    <w:p w14:paraId="338AC0BD" w14:textId="1472DDC2" w:rsidR="00D55DC5" w:rsidRPr="00864B56" w:rsidRDefault="00D55DC5" w:rsidP="008009D0">
      <w:pPr>
        <w:pStyle w:val="Heading2"/>
        <w:jc w:val="both"/>
      </w:pPr>
      <w:bookmarkStart w:id="65" w:name="_Toc527361770"/>
      <w:r w:rsidRPr="00864B56">
        <w:t>Results</w:t>
      </w:r>
      <w:bookmarkEnd w:id="65"/>
    </w:p>
    <w:p w14:paraId="6D10DEA3" w14:textId="0AC43811" w:rsidR="00D55DC5" w:rsidRDefault="00D55DC5" w:rsidP="008009D0">
      <w:pPr>
        <w:jc w:val="both"/>
        <w:rPr>
          <w:rFonts w:cs="Arial"/>
        </w:rPr>
      </w:pPr>
      <w:r>
        <w:rPr>
          <w:rFonts w:cs="Arial"/>
        </w:rPr>
        <w:tab/>
      </w:r>
      <w:r w:rsidR="00637D87" w:rsidRPr="001A2371">
        <w:rPr>
          <w:rFonts w:eastAsia="MS Mincho" w:cs="Arial"/>
        </w:rPr>
        <w:t xml:space="preserve">All subjects completed all of the testing conditions according to study protocol. Table </w:t>
      </w:r>
      <w:r w:rsidR="00BF79A7">
        <w:rPr>
          <w:rFonts w:eastAsia="MS Mincho" w:cs="Arial"/>
        </w:rPr>
        <w:t>5</w:t>
      </w:r>
      <w:r w:rsidR="00637D87" w:rsidRPr="001A2371">
        <w:rPr>
          <w:rFonts w:eastAsia="MS Mincho" w:cs="Arial"/>
        </w:rPr>
        <w:t xml:space="preserve"> displays the subject demographic information. The assumptions for a repeated measures ANOVA were sufficiently</w:t>
      </w:r>
      <w:r w:rsidR="00637D87">
        <w:rPr>
          <w:rFonts w:eastAsia="MS Mincho" w:cs="Arial"/>
        </w:rPr>
        <w:t xml:space="preserve"> met</w:t>
      </w:r>
      <w:r w:rsidR="00637D87" w:rsidRPr="001A2371">
        <w:rPr>
          <w:rFonts w:eastAsia="MS Mincho" w:cs="Arial"/>
        </w:rPr>
        <w:t xml:space="preserve"> </w:t>
      </w:r>
      <w:r w:rsidR="00637D87">
        <w:rPr>
          <w:rFonts w:eastAsia="MS Mincho" w:cs="Arial"/>
        </w:rPr>
        <w:t>and no adjustments were made</w:t>
      </w:r>
      <w:r w:rsidR="00637D87" w:rsidRPr="001A2371">
        <w:rPr>
          <w:rFonts w:eastAsia="MS Mincho" w:cs="Arial"/>
        </w:rPr>
        <w:t xml:space="preserve">. </w:t>
      </w:r>
      <w:r w:rsidR="00637D87" w:rsidRPr="001A2371">
        <w:rPr>
          <w:rFonts w:eastAsia="MS Mincho" w:cs="Arial"/>
          <w:color w:val="000000"/>
        </w:rPr>
        <w:t xml:space="preserve">Tables </w:t>
      </w:r>
      <w:r w:rsidR="00BF79A7">
        <w:rPr>
          <w:rFonts w:eastAsia="MS Mincho" w:cs="Arial"/>
          <w:color w:val="000000"/>
        </w:rPr>
        <w:t>6</w:t>
      </w:r>
      <w:r w:rsidR="00637D87" w:rsidRPr="001A2371">
        <w:rPr>
          <w:rFonts w:eastAsia="MS Mincho" w:cs="Arial"/>
          <w:color w:val="000000"/>
        </w:rPr>
        <w:t xml:space="preserve"> and </w:t>
      </w:r>
      <w:r w:rsidR="00BF79A7">
        <w:rPr>
          <w:rFonts w:eastAsia="MS Mincho" w:cs="Arial"/>
          <w:color w:val="000000"/>
        </w:rPr>
        <w:t>7</w:t>
      </w:r>
      <w:r w:rsidR="00637D87" w:rsidRPr="001A2371">
        <w:rPr>
          <w:rFonts w:eastAsia="MS Mincho" w:cs="Arial"/>
          <w:color w:val="000000"/>
        </w:rPr>
        <w:t xml:space="preserve"> contain the mean ± SD of %REC and the parameters calculated and input into the RQA analysis for the joint angle series and the COP path series, respectively. </w:t>
      </w:r>
      <w:r w:rsidR="00637D87" w:rsidRPr="00066AC4">
        <w:rPr>
          <w:rFonts w:eastAsia="MS Mincho" w:cs="Arial"/>
        </w:rPr>
        <w:t xml:space="preserve">Figures </w:t>
      </w:r>
      <w:r w:rsidR="00465CC6">
        <w:rPr>
          <w:rFonts w:eastAsia="MS Mincho" w:cs="Arial"/>
        </w:rPr>
        <w:t>7</w:t>
      </w:r>
      <w:r w:rsidR="00637D87" w:rsidRPr="00066AC4">
        <w:rPr>
          <w:rFonts w:eastAsia="MS Mincho" w:cs="Arial"/>
        </w:rPr>
        <w:t xml:space="preserve"> and </w:t>
      </w:r>
      <w:r w:rsidR="00465CC6">
        <w:rPr>
          <w:rFonts w:eastAsia="MS Mincho" w:cs="Arial"/>
        </w:rPr>
        <w:t>8</w:t>
      </w:r>
      <w:r w:rsidR="00637D87" w:rsidRPr="001A2371">
        <w:rPr>
          <w:rFonts w:eastAsia="MS Mincho" w:cs="Arial"/>
        </w:rPr>
        <w:t xml:space="preserve"> display the results of the statistical analys</w:t>
      </w:r>
      <w:r w:rsidR="00637D87">
        <w:rPr>
          <w:rFonts w:eastAsia="MS Mincho" w:cs="Arial"/>
        </w:rPr>
        <w:t>e</w:t>
      </w:r>
      <w:r w:rsidR="00637D87" w:rsidRPr="001A2371">
        <w:rPr>
          <w:rFonts w:eastAsia="MS Mincho" w:cs="Arial"/>
        </w:rPr>
        <w:t>s and indicate significant pairwise differences with lines and tick marks.</w:t>
      </w:r>
    </w:p>
    <w:p w14:paraId="395637AD" w14:textId="065BFEB0" w:rsidR="00D55DC5" w:rsidRPr="00684F22" w:rsidRDefault="00B31821" w:rsidP="008009D0">
      <w:pPr>
        <w:pStyle w:val="Heading3"/>
        <w:jc w:val="both"/>
      </w:pPr>
      <w:bookmarkStart w:id="66" w:name="_Toc527361771"/>
      <w:r>
        <w:rPr>
          <w:rFonts w:cs="Arial"/>
        </w:rPr>
        <w:t>Joint Angles during Gait</w:t>
      </w:r>
      <w:bookmarkEnd w:id="66"/>
    </w:p>
    <w:p w14:paraId="3BA2C476" w14:textId="37227749" w:rsidR="00D55DC5" w:rsidRDefault="00D55DC5" w:rsidP="008009D0">
      <w:pPr>
        <w:jc w:val="both"/>
        <w:rPr>
          <w:rFonts w:cs="Arial"/>
        </w:rPr>
      </w:pPr>
      <w:r>
        <w:rPr>
          <w:rFonts w:cs="Arial"/>
        </w:rPr>
        <w:tab/>
      </w:r>
      <w:r w:rsidR="00D63108">
        <w:rPr>
          <w:rFonts w:eastAsia="MS Mincho" w:cs="Arial"/>
        </w:rPr>
        <w:t xml:space="preserve">After controlling for gait velocity, there was a main </w:t>
      </w:r>
      <w:r w:rsidR="00D63108" w:rsidRPr="0008298A">
        <w:rPr>
          <w:rFonts w:eastAsia="MS Mincho" w:cs="Arial"/>
        </w:rPr>
        <w:t>effect</w:t>
      </w:r>
      <w:r w:rsidR="00D63108">
        <w:rPr>
          <w:rFonts w:eastAsia="MS Mincho" w:cs="Arial"/>
        </w:rPr>
        <w:t xml:space="preserve"> of medication</w:t>
      </w:r>
      <w:r w:rsidR="00D63108" w:rsidRPr="0008298A">
        <w:rPr>
          <w:rFonts w:eastAsia="MS Mincho" w:cs="Arial"/>
        </w:rPr>
        <w:t xml:space="preserve"> </w:t>
      </w:r>
      <w:r w:rsidR="00D63108">
        <w:rPr>
          <w:rFonts w:eastAsia="MS Mincho" w:cs="Arial"/>
        </w:rPr>
        <w:t xml:space="preserve">for ApEn </w:t>
      </w:r>
      <w:r w:rsidR="00D63108" w:rsidRPr="0008298A">
        <w:rPr>
          <w:rFonts w:eastAsia="MS Mincho" w:cs="Arial"/>
        </w:rPr>
        <w:t xml:space="preserve">at the more-affected </w:t>
      </w:r>
      <w:r w:rsidR="00D63108">
        <w:rPr>
          <w:rFonts w:eastAsia="MS Mincho" w:cs="Arial"/>
        </w:rPr>
        <w:t>knee (</w:t>
      </w:r>
      <w:r w:rsidR="00D63108" w:rsidRPr="0008298A">
        <w:rPr>
          <w:rFonts w:eastAsia="MS Mincho" w:cs="Arial"/>
          <w:i/>
        </w:rPr>
        <w:t>p</w:t>
      </w:r>
      <w:r w:rsidR="00D63108" w:rsidRPr="0008298A">
        <w:rPr>
          <w:rFonts w:eastAsia="MS Mincho" w:cs="Arial"/>
        </w:rPr>
        <w:t xml:space="preserve"> = 0.014</w:t>
      </w:r>
      <w:r w:rsidR="00D63108">
        <w:rPr>
          <w:rFonts w:eastAsia="MS Mincho" w:cs="Arial"/>
        </w:rPr>
        <w:t>), but not a task or interaction effect (</w:t>
      </w:r>
      <w:r w:rsidR="00D63108" w:rsidRPr="0008298A">
        <w:rPr>
          <w:rFonts w:eastAsia="MS Mincho" w:cs="Arial"/>
          <w:i/>
        </w:rPr>
        <w:t>p</w:t>
      </w:r>
      <w:r w:rsidR="00D63108" w:rsidRPr="0008298A">
        <w:rPr>
          <w:rFonts w:eastAsia="MS Mincho" w:cs="Arial"/>
        </w:rPr>
        <w:t xml:space="preserve"> = 0.</w:t>
      </w:r>
      <w:r w:rsidR="00D63108">
        <w:rPr>
          <w:rFonts w:eastAsia="MS Mincho" w:cs="Arial"/>
        </w:rPr>
        <w:t xml:space="preserve">053 and </w:t>
      </w:r>
      <w:r w:rsidR="00D63108" w:rsidRPr="0008298A">
        <w:rPr>
          <w:rFonts w:eastAsia="MS Mincho" w:cs="Arial"/>
          <w:i/>
        </w:rPr>
        <w:t>p</w:t>
      </w:r>
      <w:r w:rsidR="00D63108" w:rsidRPr="0008298A">
        <w:rPr>
          <w:rFonts w:eastAsia="MS Mincho" w:cs="Arial"/>
        </w:rPr>
        <w:t xml:space="preserve"> = 0.</w:t>
      </w:r>
      <w:r w:rsidR="00D63108">
        <w:rPr>
          <w:rFonts w:eastAsia="MS Mincho" w:cs="Arial"/>
        </w:rPr>
        <w:t>555, respectively). Pairwise tests indicated that ApEn for the more-affected</w:t>
      </w:r>
      <w:r w:rsidR="00D63108" w:rsidRPr="0008298A">
        <w:rPr>
          <w:rFonts w:eastAsia="MS Mincho" w:cs="Arial"/>
        </w:rPr>
        <w:t xml:space="preserve"> </w:t>
      </w:r>
      <w:r w:rsidR="00D63108">
        <w:rPr>
          <w:rFonts w:eastAsia="MS Mincho" w:cs="Arial"/>
        </w:rPr>
        <w:t xml:space="preserve">knee was </w:t>
      </w:r>
      <w:r w:rsidR="00D63108" w:rsidRPr="0008298A">
        <w:rPr>
          <w:rFonts w:eastAsia="MS Mincho" w:cs="Arial"/>
        </w:rPr>
        <w:t>smaller</w:t>
      </w:r>
      <w:r w:rsidR="00D63108">
        <w:rPr>
          <w:rFonts w:eastAsia="MS Mincho" w:cs="Arial"/>
        </w:rPr>
        <w:t xml:space="preserve"> (i.e., more regular)</w:t>
      </w:r>
      <w:r w:rsidR="00D63108" w:rsidRPr="0008298A">
        <w:rPr>
          <w:rFonts w:eastAsia="MS Mincho" w:cs="Arial"/>
        </w:rPr>
        <w:t xml:space="preserve"> </w:t>
      </w:r>
      <w:r w:rsidR="00D63108">
        <w:rPr>
          <w:rFonts w:eastAsia="MS Mincho" w:cs="Arial"/>
        </w:rPr>
        <w:t xml:space="preserve">during </w:t>
      </w:r>
      <w:r w:rsidR="00D63108" w:rsidRPr="0008298A">
        <w:rPr>
          <w:rFonts w:eastAsia="MS Mincho" w:cs="Arial"/>
        </w:rPr>
        <w:t>OFF-</w:t>
      </w:r>
      <w:r w:rsidR="00A94FB8">
        <w:rPr>
          <w:rFonts w:eastAsia="MS Mincho" w:cs="Arial"/>
        </w:rPr>
        <w:t>S</w:t>
      </w:r>
      <w:r w:rsidR="00D63108" w:rsidRPr="0008298A">
        <w:rPr>
          <w:rFonts w:eastAsia="MS Mincho" w:cs="Arial"/>
        </w:rPr>
        <w:t>T than ON-</w:t>
      </w:r>
      <w:r w:rsidR="00A94FB8">
        <w:rPr>
          <w:rFonts w:eastAsia="MS Mincho" w:cs="Arial"/>
        </w:rPr>
        <w:t>S</w:t>
      </w:r>
      <w:r w:rsidR="00D63108" w:rsidRPr="0008298A">
        <w:rPr>
          <w:rFonts w:eastAsia="MS Mincho" w:cs="Arial"/>
        </w:rPr>
        <w:t>T (</w:t>
      </w:r>
      <w:r w:rsidR="00D63108" w:rsidRPr="0008298A">
        <w:rPr>
          <w:rFonts w:eastAsia="MS Mincho" w:cs="Arial"/>
          <w:i/>
        </w:rPr>
        <w:t>p</w:t>
      </w:r>
      <w:r w:rsidR="00D63108" w:rsidRPr="0008298A">
        <w:rPr>
          <w:rFonts w:eastAsia="MS Mincho" w:cs="Arial"/>
        </w:rPr>
        <w:t xml:space="preserve"> = 0.0</w:t>
      </w:r>
      <w:r w:rsidR="00D63108">
        <w:rPr>
          <w:rFonts w:eastAsia="MS Mincho" w:cs="Arial"/>
        </w:rPr>
        <w:t>26</w:t>
      </w:r>
      <w:r w:rsidR="00D63108" w:rsidRPr="0008298A">
        <w:rPr>
          <w:rFonts w:eastAsia="MS Mincho" w:cs="Arial"/>
        </w:rPr>
        <w:t xml:space="preserve">). </w:t>
      </w:r>
      <w:r w:rsidR="00D63108">
        <w:rPr>
          <w:rFonts w:eastAsia="MS Mincho" w:cs="Arial"/>
        </w:rPr>
        <w:t>There was also a main effect of medication for ApEn a</w:t>
      </w:r>
      <w:r w:rsidR="00D63108" w:rsidRPr="0008298A">
        <w:rPr>
          <w:rFonts w:eastAsia="MS Mincho" w:cs="Arial"/>
        </w:rPr>
        <w:t>t the less-affected knee (</w:t>
      </w:r>
      <w:r w:rsidR="00D63108" w:rsidRPr="0008298A">
        <w:rPr>
          <w:rFonts w:eastAsia="MS Mincho" w:cs="Arial"/>
          <w:i/>
        </w:rPr>
        <w:t>p</w:t>
      </w:r>
      <w:r w:rsidR="00D63108">
        <w:rPr>
          <w:rFonts w:eastAsia="MS Mincho" w:cs="Arial"/>
        </w:rPr>
        <w:t xml:space="preserve"> = 0.004), but not a task or interaction effect (</w:t>
      </w:r>
      <w:r w:rsidR="00D63108" w:rsidRPr="0008298A">
        <w:rPr>
          <w:rFonts w:eastAsia="MS Mincho" w:cs="Arial"/>
          <w:i/>
        </w:rPr>
        <w:t>p</w:t>
      </w:r>
      <w:r w:rsidR="00D63108" w:rsidRPr="0008298A">
        <w:rPr>
          <w:rFonts w:eastAsia="MS Mincho" w:cs="Arial"/>
        </w:rPr>
        <w:t xml:space="preserve"> = 0.</w:t>
      </w:r>
      <w:r w:rsidR="00D63108">
        <w:rPr>
          <w:rFonts w:eastAsia="MS Mincho" w:cs="Arial"/>
        </w:rPr>
        <w:t xml:space="preserve">380 and </w:t>
      </w:r>
      <w:r w:rsidR="00D63108" w:rsidRPr="0008298A">
        <w:rPr>
          <w:rFonts w:eastAsia="MS Mincho" w:cs="Arial"/>
          <w:i/>
        </w:rPr>
        <w:t>p</w:t>
      </w:r>
      <w:r w:rsidR="00D63108" w:rsidRPr="0008298A">
        <w:rPr>
          <w:rFonts w:eastAsia="MS Mincho" w:cs="Arial"/>
        </w:rPr>
        <w:t xml:space="preserve"> = 0.</w:t>
      </w:r>
      <w:r w:rsidR="00D63108">
        <w:rPr>
          <w:rFonts w:eastAsia="MS Mincho" w:cs="Arial"/>
        </w:rPr>
        <w:t>436, respectively). Paired</w:t>
      </w:r>
      <w:r w:rsidR="00D63108" w:rsidRPr="0008298A">
        <w:rPr>
          <w:rFonts w:eastAsia="MS Mincho" w:cs="Arial"/>
        </w:rPr>
        <w:t xml:space="preserve"> comparison</w:t>
      </w:r>
      <w:r w:rsidR="00D63108">
        <w:rPr>
          <w:rFonts w:eastAsia="MS Mincho" w:cs="Arial"/>
        </w:rPr>
        <w:t>s</w:t>
      </w:r>
      <w:r w:rsidR="00D63108" w:rsidRPr="0008298A">
        <w:rPr>
          <w:rFonts w:eastAsia="MS Mincho" w:cs="Arial"/>
        </w:rPr>
        <w:t xml:space="preserve"> further </w:t>
      </w:r>
      <w:r w:rsidR="00D63108" w:rsidRPr="0008298A">
        <w:rPr>
          <w:rFonts w:eastAsia="MS Mincho" w:cs="Arial"/>
        </w:rPr>
        <w:lastRenderedPageBreak/>
        <w:t>clarified that</w:t>
      </w:r>
      <w:r w:rsidR="00D63108">
        <w:rPr>
          <w:rFonts w:eastAsia="MS Mincho" w:cs="Arial"/>
        </w:rPr>
        <w:t xml:space="preserve"> the </w:t>
      </w:r>
      <w:r w:rsidR="00D63108" w:rsidRPr="0008298A">
        <w:rPr>
          <w:rFonts w:eastAsia="MS Mincho" w:cs="Arial"/>
        </w:rPr>
        <w:t>OFF-DT</w:t>
      </w:r>
      <w:r w:rsidR="00D63108">
        <w:rPr>
          <w:rFonts w:eastAsia="MS Mincho" w:cs="Arial"/>
        </w:rPr>
        <w:t xml:space="preserve"> ApEn</w:t>
      </w:r>
      <w:r w:rsidR="00D63108" w:rsidRPr="0008298A">
        <w:rPr>
          <w:rFonts w:eastAsia="MS Mincho" w:cs="Arial"/>
        </w:rPr>
        <w:t xml:space="preserve"> </w:t>
      </w:r>
      <w:r w:rsidR="00D63108">
        <w:rPr>
          <w:rFonts w:eastAsia="MS Mincho" w:cs="Arial"/>
        </w:rPr>
        <w:t>of the less-affected</w:t>
      </w:r>
      <w:r w:rsidR="00D63108" w:rsidRPr="0008298A">
        <w:rPr>
          <w:rFonts w:eastAsia="MS Mincho" w:cs="Arial"/>
        </w:rPr>
        <w:t xml:space="preserve"> </w:t>
      </w:r>
      <w:r w:rsidR="00D63108">
        <w:rPr>
          <w:rFonts w:eastAsia="MS Mincho" w:cs="Arial"/>
        </w:rPr>
        <w:t>knee angle was smaller/more regular</w:t>
      </w:r>
      <w:r w:rsidR="00D63108" w:rsidRPr="0008298A">
        <w:rPr>
          <w:rFonts w:eastAsia="MS Mincho" w:cs="Arial"/>
        </w:rPr>
        <w:t xml:space="preserve"> than ON-DT</w:t>
      </w:r>
      <w:r w:rsidR="00D63108">
        <w:rPr>
          <w:rFonts w:eastAsia="MS Mincho" w:cs="Arial"/>
        </w:rPr>
        <w:t xml:space="preserve"> of the same joint</w:t>
      </w:r>
      <w:r w:rsidR="00D63108" w:rsidRPr="0008298A">
        <w:rPr>
          <w:rFonts w:eastAsia="MS Mincho" w:cs="Arial"/>
        </w:rPr>
        <w:t xml:space="preserve"> (</w:t>
      </w:r>
      <w:r w:rsidR="00D63108" w:rsidRPr="0008298A">
        <w:rPr>
          <w:rFonts w:eastAsia="MS Mincho" w:cs="Arial"/>
          <w:i/>
        </w:rPr>
        <w:t>p</w:t>
      </w:r>
      <w:r w:rsidR="00D63108" w:rsidRPr="0008298A">
        <w:rPr>
          <w:rFonts w:eastAsia="MS Mincho" w:cs="Arial"/>
        </w:rPr>
        <w:t xml:space="preserve"> = 0.</w:t>
      </w:r>
      <w:r w:rsidR="00D63108">
        <w:rPr>
          <w:rFonts w:eastAsia="MS Mincho" w:cs="Arial"/>
        </w:rPr>
        <w:t>010</w:t>
      </w:r>
      <w:r w:rsidR="00D63108" w:rsidRPr="0008298A">
        <w:rPr>
          <w:rFonts w:eastAsia="MS Mincho" w:cs="Arial"/>
        </w:rPr>
        <w:t>).</w:t>
      </w:r>
      <w:r w:rsidR="00D63108">
        <w:rPr>
          <w:rFonts w:eastAsia="MS Mincho" w:cs="Arial"/>
        </w:rPr>
        <w:t xml:space="preserve"> There were no effects for %DET at any of the joints and no medication, task, or interaction effects for ApEn other than those detailed above.</w:t>
      </w:r>
    </w:p>
    <w:p w14:paraId="341ADE04" w14:textId="6A6A37A6" w:rsidR="00D55DC5" w:rsidRPr="00B8221E" w:rsidRDefault="004E25A6" w:rsidP="008009D0">
      <w:pPr>
        <w:pStyle w:val="Heading3"/>
        <w:jc w:val="both"/>
      </w:pPr>
      <w:bookmarkStart w:id="67" w:name="_Toc527361772"/>
      <w:r>
        <w:rPr>
          <w:rFonts w:cs="Arial"/>
        </w:rPr>
        <w:t>COP Path while Standing</w:t>
      </w:r>
      <w:bookmarkEnd w:id="67"/>
    </w:p>
    <w:p w14:paraId="2A8FCF40" w14:textId="78DADE6A" w:rsidR="0081505B" w:rsidRDefault="00D55DC5" w:rsidP="008009D0">
      <w:pPr>
        <w:jc w:val="both"/>
        <w:rPr>
          <w:rFonts w:eastAsia="MS Mincho" w:cs="Arial"/>
        </w:rPr>
      </w:pPr>
      <w:r>
        <w:rPr>
          <w:rFonts w:cs="Arial"/>
        </w:rPr>
        <w:tab/>
      </w:r>
      <w:r w:rsidR="0081505B" w:rsidRPr="0008298A">
        <w:rPr>
          <w:rFonts w:eastAsia="MS Mincho" w:cs="Arial"/>
        </w:rPr>
        <w:t xml:space="preserve">For ApEn, there was a significant </w:t>
      </w:r>
      <w:r w:rsidR="0081505B">
        <w:rPr>
          <w:rFonts w:eastAsia="MS Mincho" w:cs="Arial"/>
        </w:rPr>
        <w:t>main</w:t>
      </w:r>
      <w:r w:rsidR="0081505B" w:rsidRPr="0008298A">
        <w:rPr>
          <w:rFonts w:eastAsia="MS Mincho" w:cs="Arial"/>
        </w:rPr>
        <w:t xml:space="preserve"> effect </w:t>
      </w:r>
      <w:r w:rsidR="0081505B">
        <w:rPr>
          <w:rFonts w:eastAsia="MS Mincho" w:cs="Arial"/>
        </w:rPr>
        <w:t>of the eyes condition (</w:t>
      </w:r>
      <w:r w:rsidR="0081505B">
        <w:rPr>
          <w:rFonts w:eastAsia="MS Mincho" w:cs="Arial"/>
          <w:i/>
        </w:rPr>
        <w:t>p</w:t>
      </w:r>
      <w:r w:rsidR="0081505B">
        <w:rPr>
          <w:rFonts w:eastAsia="MS Mincho" w:cs="Arial"/>
        </w:rPr>
        <w:t xml:space="preserve"> = 0.005) and a significant interaction effect between medication and eyes conditions (</w:t>
      </w:r>
      <w:r w:rsidR="0081505B">
        <w:rPr>
          <w:rFonts w:eastAsia="MS Mincho" w:cs="Arial"/>
          <w:i/>
        </w:rPr>
        <w:t>p</w:t>
      </w:r>
      <w:r w:rsidR="0081505B">
        <w:rPr>
          <w:rFonts w:eastAsia="MS Mincho" w:cs="Arial"/>
        </w:rPr>
        <w:t xml:space="preserve"> = 0.002). There were no main effects of medication or task (</w:t>
      </w:r>
      <w:r w:rsidR="0081505B">
        <w:rPr>
          <w:rFonts w:eastAsia="MS Mincho" w:cs="Arial"/>
          <w:i/>
        </w:rPr>
        <w:t>p</w:t>
      </w:r>
      <w:r w:rsidR="0081505B">
        <w:rPr>
          <w:rFonts w:eastAsia="MS Mincho" w:cs="Arial"/>
        </w:rPr>
        <w:t xml:space="preserve"> = 0.714 and </w:t>
      </w:r>
      <w:r w:rsidR="0081505B">
        <w:rPr>
          <w:rFonts w:eastAsia="MS Mincho" w:cs="Arial"/>
          <w:i/>
        </w:rPr>
        <w:t>p</w:t>
      </w:r>
      <w:r w:rsidR="0081505B">
        <w:rPr>
          <w:rFonts w:eastAsia="MS Mincho" w:cs="Arial"/>
        </w:rPr>
        <w:t xml:space="preserve"> = 0.505, respectively) and no other interaction effects (</w:t>
      </w:r>
      <w:r w:rsidR="0081505B" w:rsidRPr="00DF5197">
        <w:rPr>
          <w:rFonts w:eastAsia="MS Mincho" w:cs="Arial"/>
          <w:i/>
        </w:rPr>
        <w:t>p</w:t>
      </w:r>
      <w:r w:rsidR="0081505B">
        <w:rPr>
          <w:rFonts w:eastAsia="MS Mincho" w:cs="Arial"/>
        </w:rPr>
        <w:t>-value range = 0.188 – 0.687). For the eyes condition main effect, paired analyses indicated that OFF-STEO was significantly smaller/more regular than OFF-STEC (</w:t>
      </w:r>
      <w:r w:rsidR="0081505B">
        <w:rPr>
          <w:rFonts w:eastAsia="MS Mincho" w:cs="Arial"/>
          <w:i/>
        </w:rPr>
        <w:t>p</w:t>
      </w:r>
      <w:r w:rsidR="0081505B">
        <w:rPr>
          <w:rFonts w:eastAsia="MS Mincho" w:cs="Arial"/>
        </w:rPr>
        <w:t xml:space="preserve"> = 0.005), OFF-DTEO was significantly smaller/more regular than OFF-DTEC (</w:t>
      </w:r>
      <w:r w:rsidR="0081505B">
        <w:rPr>
          <w:rFonts w:eastAsia="MS Mincho" w:cs="Arial"/>
          <w:i/>
        </w:rPr>
        <w:t>p</w:t>
      </w:r>
      <w:r w:rsidR="0081505B">
        <w:rPr>
          <w:rFonts w:eastAsia="MS Mincho" w:cs="Arial"/>
        </w:rPr>
        <w:t xml:space="preserve"> = 0.029), and ON-DTEO was significantly smaller/more regular than ON-DTEC (</w:t>
      </w:r>
      <w:r w:rsidR="0081505B">
        <w:rPr>
          <w:rFonts w:eastAsia="MS Mincho" w:cs="Arial"/>
          <w:i/>
        </w:rPr>
        <w:t>p</w:t>
      </w:r>
      <w:r w:rsidR="0081505B">
        <w:rPr>
          <w:rFonts w:eastAsia="MS Mincho" w:cs="Arial"/>
        </w:rPr>
        <w:t xml:space="preserve"> = 0.029). For the interaction effect, pairwise comparisons revealed that OFF-DTEO was smaller/more regular than ON-DTEC (</w:t>
      </w:r>
      <w:r w:rsidR="0081505B">
        <w:rPr>
          <w:rFonts w:eastAsia="MS Mincho" w:cs="Arial"/>
          <w:i/>
        </w:rPr>
        <w:t>p</w:t>
      </w:r>
      <w:r w:rsidR="0081505B">
        <w:rPr>
          <w:rFonts w:eastAsia="MS Mincho" w:cs="Arial"/>
        </w:rPr>
        <w:t xml:space="preserve"> = 0.016). Other significant paired effects are shown in Figure </w:t>
      </w:r>
      <w:r w:rsidR="002A4926">
        <w:rPr>
          <w:rFonts w:eastAsia="MS Mincho" w:cs="Arial"/>
        </w:rPr>
        <w:t>8</w:t>
      </w:r>
      <w:r w:rsidR="0081505B">
        <w:rPr>
          <w:rFonts w:eastAsia="MS Mincho" w:cs="Arial"/>
        </w:rPr>
        <w:t>.</w:t>
      </w:r>
    </w:p>
    <w:p w14:paraId="0CDCCA7E" w14:textId="0A059D7F" w:rsidR="00956F76" w:rsidRDefault="0081505B" w:rsidP="008009D0">
      <w:pPr>
        <w:jc w:val="both"/>
        <w:rPr>
          <w:rFonts w:eastAsia="MS Mincho" w:cs="Arial"/>
        </w:rPr>
      </w:pPr>
      <w:r>
        <w:rPr>
          <w:rFonts w:eastAsia="MS Mincho" w:cs="Arial"/>
        </w:rPr>
        <w:tab/>
      </w:r>
      <w:r w:rsidRPr="0008298A">
        <w:rPr>
          <w:rFonts w:eastAsia="MS Mincho" w:cs="Arial"/>
        </w:rPr>
        <w:t xml:space="preserve">For </w:t>
      </w:r>
      <w:r>
        <w:rPr>
          <w:rFonts w:eastAsia="MS Mincho" w:cs="Arial"/>
        </w:rPr>
        <w:t>%DET</w:t>
      </w:r>
      <w:r w:rsidRPr="0008298A">
        <w:rPr>
          <w:rFonts w:eastAsia="MS Mincho" w:cs="Arial"/>
        </w:rPr>
        <w:t xml:space="preserve">, there was a significant </w:t>
      </w:r>
      <w:r>
        <w:rPr>
          <w:rFonts w:eastAsia="MS Mincho" w:cs="Arial"/>
        </w:rPr>
        <w:t>eyes condition main</w:t>
      </w:r>
      <w:r w:rsidRPr="0008298A">
        <w:rPr>
          <w:rFonts w:eastAsia="MS Mincho" w:cs="Arial"/>
        </w:rPr>
        <w:t xml:space="preserve"> effect </w:t>
      </w:r>
      <w:r>
        <w:rPr>
          <w:rFonts w:eastAsia="MS Mincho" w:cs="Arial"/>
        </w:rPr>
        <w:t>(</w:t>
      </w:r>
      <w:r>
        <w:rPr>
          <w:rFonts w:eastAsia="MS Mincho" w:cs="Arial"/>
          <w:i/>
        </w:rPr>
        <w:t>p</w:t>
      </w:r>
      <w:r>
        <w:rPr>
          <w:rFonts w:eastAsia="MS Mincho" w:cs="Arial"/>
        </w:rPr>
        <w:t xml:space="preserve"> = 0.046) but no medication or task main effects (</w:t>
      </w:r>
      <w:r>
        <w:rPr>
          <w:rFonts w:eastAsia="MS Mincho" w:cs="Arial"/>
          <w:i/>
        </w:rPr>
        <w:t>p</w:t>
      </w:r>
      <w:r>
        <w:rPr>
          <w:rFonts w:eastAsia="MS Mincho" w:cs="Arial"/>
        </w:rPr>
        <w:t xml:space="preserve"> = 0.900 and </w:t>
      </w:r>
      <w:r>
        <w:rPr>
          <w:rFonts w:eastAsia="MS Mincho" w:cs="Arial"/>
          <w:i/>
        </w:rPr>
        <w:t>p</w:t>
      </w:r>
      <w:r>
        <w:rPr>
          <w:rFonts w:eastAsia="MS Mincho" w:cs="Arial"/>
        </w:rPr>
        <w:t xml:space="preserve"> = 0.721, respectively) and no interaction effects (</w:t>
      </w:r>
      <w:r w:rsidRPr="00DF5197">
        <w:rPr>
          <w:rFonts w:eastAsia="MS Mincho" w:cs="Arial"/>
          <w:i/>
        </w:rPr>
        <w:t>p</w:t>
      </w:r>
      <w:r>
        <w:rPr>
          <w:rFonts w:eastAsia="MS Mincho" w:cs="Arial"/>
        </w:rPr>
        <w:t xml:space="preserve">-value range = 0.517 – 0.687). Pairwise analysis of the eyes condition indicated that </w:t>
      </w:r>
      <w:r w:rsidRPr="0008298A">
        <w:rPr>
          <w:rFonts w:eastAsia="MS Mincho" w:cs="Arial"/>
        </w:rPr>
        <w:t xml:space="preserve">OFF-STEO </w:t>
      </w:r>
      <w:r>
        <w:rPr>
          <w:rFonts w:eastAsia="MS Mincho" w:cs="Arial"/>
        </w:rPr>
        <w:t xml:space="preserve">was </w:t>
      </w:r>
      <w:r w:rsidRPr="0008298A">
        <w:rPr>
          <w:rFonts w:eastAsia="MS Mincho" w:cs="Arial"/>
        </w:rPr>
        <w:t>significantly larger</w:t>
      </w:r>
      <w:r>
        <w:rPr>
          <w:rFonts w:eastAsia="MS Mincho" w:cs="Arial"/>
        </w:rPr>
        <w:t xml:space="preserve"> (i.e., more regular)</w:t>
      </w:r>
      <w:r w:rsidRPr="0008298A">
        <w:rPr>
          <w:rFonts w:eastAsia="MS Mincho" w:cs="Arial"/>
        </w:rPr>
        <w:t xml:space="preserve"> than OFF-DTEC (</w:t>
      </w:r>
      <w:r w:rsidRPr="0008298A">
        <w:rPr>
          <w:rFonts w:eastAsia="MS Mincho" w:cs="Arial"/>
          <w:i/>
        </w:rPr>
        <w:t>p</w:t>
      </w:r>
      <w:r w:rsidRPr="0008298A">
        <w:rPr>
          <w:rFonts w:eastAsia="MS Mincho" w:cs="Arial"/>
        </w:rPr>
        <w:t xml:space="preserve"> = 0.016). </w:t>
      </w:r>
      <w:r>
        <w:rPr>
          <w:rFonts w:eastAsia="MS Mincho" w:cs="Arial"/>
        </w:rPr>
        <w:t>There were no other COP path findings for %DET.</w:t>
      </w:r>
    </w:p>
    <w:p w14:paraId="1477D374" w14:textId="77777777" w:rsidR="00D43B0C" w:rsidRDefault="00D43B0C" w:rsidP="008009D0">
      <w:pPr>
        <w:jc w:val="both"/>
        <w:rPr>
          <w:rFonts w:cs="Arial"/>
        </w:rPr>
      </w:pPr>
    </w:p>
    <w:p w14:paraId="5B185562" w14:textId="3A32BE9A" w:rsidR="00D55DC5" w:rsidRPr="00F1326B" w:rsidRDefault="00D55DC5" w:rsidP="008009D0">
      <w:pPr>
        <w:pStyle w:val="Heading2"/>
        <w:jc w:val="both"/>
      </w:pPr>
      <w:bookmarkStart w:id="68" w:name="_Toc527361773"/>
      <w:r w:rsidRPr="00AC26E9">
        <w:lastRenderedPageBreak/>
        <w:t>Discussion</w:t>
      </w:r>
      <w:bookmarkEnd w:id="68"/>
    </w:p>
    <w:p w14:paraId="1FAA6AEA" w14:textId="77777777" w:rsidR="00FF26E3" w:rsidRPr="00964D79" w:rsidRDefault="00D55DC5" w:rsidP="008009D0">
      <w:pPr>
        <w:jc w:val="both"/>
        <w:rPr>
          <w:rFonts w:eastAsia="MS Mincho" w:cs="Arial"/>
        </w:rPr>
      </w:pPr>
      <w:r>
        <w:rPr>
          <w:rFonts w:cs="Arial"/>
        </w:rPr>
        <w:tab/>
      </w:r>
      <w:r w:rsidR="00FF26E3" w:rsidRPr="00964D79">
        <w:rPr>
          <w:rFonts w:eastAsia="MS Mincho" w:cs="Arial"/>
        </w:rPr>
        <w:t xml:space="preserve">The primary hypothesis for the study was that medication would improve the nonlinear aspects of the gait and balance signals such that dual-task conditions </w:t>
      </w:r>
      <w:r w:rsidR="00FF26E3">
        <w:rPr>
          <w:rFonts w:eastAsia="MS Mincho" w:cs="Arial"/>
        </w:rPr>
        <w:t>ON</w:t>
      </w:r>
      <w:r w:rsidR="00FF26E3" w:rsidRPr="00964D79">
        <w:rPr>
          <w:rFonts w:eastAsia="MS Mincho" w:cs="Arial"/>
        </w:rPr>
        <w:t xml:space="preserve"> would be significantly more regular</w:t>
      </w:r>
      <w:r w:rsidR="00FF26E3">
        <w:rPr>
          <w:rFonts w:eastAsia="MS Mincho" w:cs="Arial"/>
        </w:rPr>
        <w:t xml:space="preserve"> (smaller ApEn)</w:t>
      </w:r>
      <w:r w:rsidR="00FF26E3" w:rsidRPr="00964D79">
        <w:rPr>
          <w:rFonts w:eastAsia="MS Mincho" w:cs="Arial"/>
        </w:rPr>
        <w:t xml:space="preserve"> and deterministic</w:t>
      </w:r>
      <w:r w:rsidR="00FF26E3">
        <w:rPr>
          <w:rFonts w:eastAsia="MS Mincho" w:cs="Arial"/>
        </w:rPr>
        <w:t xml:space="preserve"> (larger %DET)</w:t>
      </w:r>
      <w:r w:rsidR="00FF26E3" w:rsidRPr="00964D79">
        <w:rPr>
          <w:rFonts w:eastAsia="MS Mincho" w:cs="Arial"/>
        </w:rPr>
        <w:t xml:space="preserve"> compared to single-task </w:t>
      </w:r>
      <w:r w:rsidR="00FF26E3">
        <w:rPr>
          <w:rFonts w:eastAsia="MS Mincho" w:cs="Arial"/>
        </w:rPr>
        <w:t>OFF</w:t>
      </w:r>
      <w:r w:rsidR="00FF26E3" w:rsidRPr="00964D79">
        <w:rPr>
          <w:rFonts w:eastAsia="MS Mincho" w:cs="Arial"/>
        </w:rPr>
        <w:t xml:space="preserve"> condit</w:t>
      </w:r>
      <w:r w:rsidR="00FF26E3">
        <w:rPr>
          <w:rFonts w:eastAsia="MS Mincho" w:cs="Arial"/>
        </w:rPr>
        <w:t>ions. Because of a lack of significant medication by task interactions, the results of this study do not</w:t>
      </w:r>
      <w:r w:rsidR="00FF26E3" w:rsidRPr="00964D79">
        <w:rPr>
          <w:rFonts w:eastAsia="MS Mincho" w:cs="Arial"/>
        </w:rPr>
        <w:t xml:space="preserve"> support the hypothesis</w:t>
      </w:r>
      <w:r w:rsidR="00FF26E3">
        <w:rPr>
          <w:rFonts w:eastAsia="MS Mincho" w:cs="Arial"/>
        </w:rPr>
        <w:t xml:space="preserve">. However, there were other noteworthy findings. </w:t>
      </w:r>
    </w:p>
    <w:p w14:paraId="67D4540B" w14:textId="22756161" w:rsidR="00FF26E3" w:rsidRDefault="00FF26E3" w:rsidP="008009D0">
      <w:pPr>
        <w:jc w:val="both"/>
        <w:rPr>
          <w:rFonts w:eastAsia="MS Mincho" w:cs="Arial"/>
        </w:rPr>
      </w:pPr>
      <w:r w:rsidRPr="00964D79">
        <w:rPr>
          <w:rFonts w:eastAsia="MS Mincho" w:cs="Arial"/>
        </w:rPr>
        <w:tab/>
      </w:r>
      <w:r>
        <w:rPr>
          <w:rFonts w:eastAsia="MS Mincho" w:cs="Arial"/>
        </w:rPr>
        <w:t>T</w:t>
      </w:r>
      <w:r w:rsidRPr="00964D79">
        <w:rPr>
          <w:rFonts w:eastAsia="MS Mincho" w:cs="Arial"/>
        </w:rPr>
        <w:t xml:space="preserve">here were </w:t>
      </w:r>
      <w:r>
        <w:rPr>
          <w:rFonts w:eastAsia="MS Mincho" w:cs="Arial"/>
        </w:rPr>
        <w:t>only two</w:t>
      </w:r>
      <w:r w:rsidRPr="00964D79">
        <w:rPr>
          <w:rFonts w:eastAsia="MS Mincho" w:cs="Arial"/>
        </w:rPr>
        <w:t xml:space="preserve"> medication effects, reflected in the ApEn </w:t>
      </w:r>
      <w:r>
        <w:rPr>
          <w:rFonts w:eastAsia="MS Mincho" w:cs="Arial"/>
        </w:rPr>
        <w:t xml:space="preserve">of the more-affected and less affected knee joint, </w:t>
      </w:r>
      <w:r w:rsidRPr="00964D79">
        <w:rPr>
          <w:rFonts w:eastAsia="MS Mincho" w:cs="Arial"/>
        </w:rPr>
        <w:t xml:space="preserve">during the gait trials and </w:t>
      </w:r>
      <w:r>
        <w:rPr>
          <w:rFonts w:eastAsia="MS Mincho" w:cs="Arial"/>
        </w:rPr>
        <w:t xml:space="preserve">both ApEn measurements </w:t>
      </w:r>
      <w:r w:rsidRPr="00964D79">
        <w:rPr>
          <w:rFonts w:eastAsia="MS Mincho" w:cs="Arial"/>
        </w:rPr>
        <w:t>apparently increased (i.e.</w:t>
      </w:r>
      <w:r>
        <w:rPr>
          <w:rFonts w:eastAsia="MS Mincho" w:cs="Arial"/>
        </w:rPr>
        <w:t>,</w:t>
      </w:r>
      <w:r w:rsidRPr="00964D79">
        <w:rPr>
          <w:rFonts w:eastAsia="MS Mincho" w:cs="Arial"/>
        </w:rPr>
        <w:t xml:space="preserve"> became less regular) </w:t>
      </w:r>
      <w:r>
        <w:rPr>
          <w:rFonts w:eastAsia="MS Mincho" w:cs="Arial"/>
        </w:rPr>
        <w:t>during ON</w:t>
      </w:r>
      <w:r w:rsidRPr="00964D79">
        <w:rPr>
          <w:rFonts w:eastAsia="MS Mincho" w:cs="Arial"/>
        </w:rPr>
        <w:t>. This is particularly interesting</w:t>
      </w:r>
      <w:r>
        <w:rPr>
          <w:rFonts w:eastAsia="MS Mincho" w:cs="Arial"/>
        </w:rPr>
        <w:t>,</w:t>
      </w:r>
      <w:r w:rsidRPr="00964D79">
        <w:rPr>
          <w:rFonts w:eastAsia="MS Mincho" w:cs="Arial"/>
        </w:rPr>
        <w:t xml:space="preserve"> because temporal-spatial and joint angle analysis of these same subjects indicated significant improvements (</w:t>
      </w:r>
      <w:r w:rsidR="00193BB2">
        <w:rPr>
          <w:rFonts w:eastAsia="MS Mincho" w:cs="Arial"/>
        </w:rPr>
        <w:t xml:space="preserve">see </w:t>
      </w:r>
      <w:r w:rsidRPr="00964D79">
        <w:rPr>
          <w:rFonts w:eastAsia="MS Mincho" w:cs="Arial"/>
        </w:rPr>
        <w:t xml:space="preserve">Manuscript 1). These studies, taken in combination with well accepted gait improvement </w:t>
      </w:r>
      <w:r>
        <w:rPr>
          <w:rFonts w:eastAsia="MS Mincho" w:cs="Arial"/>
        </w:rPr>
        <w:t>after taking</w:t>
      </w:r>
      <w:r w:rsidRPr="00964D79">
        <w:rPr>
          <w:rFonts w:eastAsia="MS Mincho" w:cs="Arial"/>
        </w:rPr>
        <w:t xml:space="preserve"> medication</w:t>
      </w:r>
      <w:r>
        <w:rPr>
          <w:rFonts w:eastAsia="MS Mincho" w:cs="Arial"/>
        </w:rPr>
        <w:t xml:space="preserve"> </w:t>
      </w:r>
      <w:r w:rsidRPr="00964D79">
        <w:rPr>
          <w:rFonts w:eastAsia="MS Mincho" w:cs="Arial"/>
        </w:rPr>
        <w:fldChar w:fldCharType="begin" w:fldLock="1"/>
      </w:r>
      <w:r w:rsidR="003F6A7B">
        <w:rPr>
          <w:rFonts w:eastAsia="MS Mincho" w:cs="Arial"/>
        </w:rPr>
        <w:instrText>ADDIN CSL_CITATION {"citationItems":[{"id":"ITEM-1","itemData":{"DOI":"10.1001/jama.2014.3654","ISBN":"0041500540085","ISSN":"0098-7484","PMID":"24756517","abstract":"IMPORTANCE Parkinson disease is the second most common neurodegenerative disease worldwide. Although no available therapies alter the underlying neurodegenerative process, symptomatic therapies can improve patient quality of life. OBJECTIVE To provide an evidence-based review of the initial pharmacological management of the classic motor symptoms of Parkinson disease; describe management of medication-related motor complications (such as motor fluctuations and dyskinesia), and other medication adverse effects (nausea, psychosis, and impulse control disorders and related behaviors); and discuss the management of selected nonmotor symptoms of Parkinson disease, including rapid eye movement sleep behavior disorder, cognitive impairment, depression, orthostatic hypotension, and sialorrhea. EVIDENCE REVIEW References were identified using searches of PubMed between January 1985 and February 2014 for English-language human studies and the full database of the Cochrane Library. The classification of studies by quality (classes I-IV) was assessed using the levels of evidence guidelines from the American Academy of Neurology and the highest-quality data for each topic. RESULTS Although levodopa is the most effective medication available for treating the motor symptoms of Parkinson disease, in certain instances (eg, mild symptoms, tremor as the only or most prominent symptom, aged &lt;60 years) other medications (eg, monoamine oxidase type B inhibitors [MAOBIs], amantadine, anticholinergics, β-blockers, or dopamine agonists) may be initiated first to avoid levodopa-related motor complications. Motor fluctuations may be managed by modifying the levodopa dosing regimen or by adding several other medications, such as MAOBIs, catechol-O-methyltransferase inhibitors, or dopamine agonists. Impulse control disorders are typically managed by reducing or withdrawing dopaminergic medication, particularly dopamine agonists. Evidence-based management of some nonmotor symptoms is limited by a paucity of high-quality positive studies.","author":[{"dropping-particle":"","family":"Connolly","given":"Barbara S.","non-dropping-particle":"","parse-names":false,"suffix":""},{"dropping-particle":"","family":"Lang","given":"Anthony E.","non-dropping-particle":"","parse-names":false,"suffix":""}],"container-title":"JAMA","id":"ITEM-1","issue":"16","issued":{"date-parts":[["2014","4","23"]]},"page":"1670","title":"Pharmacological Treatment of Parkinson Disease","type":"article-journal","volume":"311"},"uris":["http://www.mendeley.com/documents/?uuid=9a6f20bd-6089-4945-85f6-9a3a64166a68"]}],"mendeley":{"formattedCitation":"[47]","plainTextFormattedCitation":"[47]","previouslyFormattedCitation":"[47]"},"properties":{"noteIndex":0},"schema":"https://github.com/citation-style-language/schema/raw/master/csl-citation.json"}</w:instrText>
      </w:r>
      <w:r w:rsidRPr="00964D79">
        <w:rPr>
          <w:rFonts w:eastAsia="MS Mincho" w:cs="Arial"/>
        </w:rPr>
        <w:fldChar w:fldCharType="separate"/>
      </w:r>
      <w:r w:rsidR="004B5F8D" w:rsidRPr="004B5F8D">
        <w:rPr>
          <w:rFonts w:eastAsia="MS Mincho" w:cs="Arial"/>
          <w:noProof/>
        </w:rPr>
        <w:t>[47]</w:t>
      </w:r>
      <w:r w:rsidRPr="00964D79">
        <w:rPr>
          <w:rFonts w:eastAsia="MS Mincho" w:cs="Arial"/>
        </w:rPr>
        <w:fldChar w:fldCharType="end"/>
      </w:r>
      <w:r w:rsidRPr="00964D79">
        <w:rPr>
          <w:rFonts w:eastAsia="MS Mincho" w:cs="Arial"/>
        </w:rPr>
        <w:t xml:space="preserve">, suggest that PD subjects </w:t>
      </w:r>
      <w:r>
        <w:rPr>
          <w:rFonts w:eastAsia="MS Mincho" w:cs="Arial"/>
        </w:rPr>
        <w:t xml:space="preserve">execute </w:t>
      </w:r>
      <w:r w:rsidRPr="00964D79">
        <w:rPr>
          <w:rFonts w:eastAsia="MS Mincho" w:cs="Arial"/>
        </w:rPr>
        <w:t xml:space="preserve">their movements </w:t>
      </w:r>
      <w:r>
        <w:rPr>
          <w:rFonts w:eastAsia="MS Mincho" w:cs="Arial"/>
        </w:rPr>
        <w:t xml:space="preserve">with increased regularity </w:t>
      </w:r>
      <w:r w:rsidRPr="00964D79">
        <w:rPr>
          <w:rFonts w:eastAsia="MS Mincho" w:cs="Arial"/>
        </w:rPr>
        <w:t xml:space="preserve">when OFF </w:t>
      </w:r>
      <w:r>
        <w:rPr>
          <w:rFonts w:eastAsia="MS Mincho" w:cs="Arial"/>
        </w:rPr>
        <w:t xml:space="preserve">medication and that </w:t>
      </w:r>
      <w:r w:rsidRPr="00964D79">
        <w:rPr>
          <w:rFonts w:eastAsia="MS Mincho" w:cs="Arial"/>
        </w:rPr>
        <w:t xml:space="preserve">medication-induced motor improvements </w:t>
      </w:r>
      <w:r>
        <w:rPr>
          <w:rFonts w:eastAsia="MS Mincho" w:cs="Arial"/>
        </w:rPr>
        <w:t>may be</w:t>
      </w:r>
      <w:r w:rsidRPr="00964D79">
        <w:rPr>
          <w:rFonts w:eastAsia="MS Mincho" w:cs="Arial"/>
        </w:rPr>
        <w:t xml:space="preserve"> accompanied by decreases in regularity. This is possible</w:t>
      </w:r>
      <w:r>
        <w:rPr>
          <w:rFonts w:eastAsia="MS Mincho" w:cs="Arial"/>
        </w:rPr>
        <w:t>,</w:t>
      </w:r>
      <w:r w:rsidRPr="00964D79">
        <w:rPr>
          <w:rFonts w:eastAsia="MS Mincho" w:cs="Arial"/>
        </w:rPr>
        <w:t xml:space="preserve"> </w:t>
      </w:r>
      <w:r>
        <w:rPr>
          <w:rFonts w:eastAsia="MS Mincho" w:cs="Arial"/>
        </w:rPr>
        <w:t xml:space="preserve">since </w:t>
      </w:r>
      <w:r w:rsidRPr="00964D79">
        <w:rPr>
          <w:rFonts w:eastAsia="MS Mincho" w:cs="Arial"/>
        </w:rPr>
        <w:t>a certain degree of irregularity is accompanied by an increase in adaptability</w:t>
      </w:r>
      <w:r>
        <w:rPr>
          <w:rFonts w:eastAsia="MS Mincho" w:cs="Arial"/>
        </w:rPr>
        <w:t xml:space="preserve"> </w:t>
      </w:r>
      <w:r>
        <w:rPr>
          <w:rFonts w:eastAsia="MS Mincho" w:cs="Arial"/>
        </w:rPr>
        <w:fldChar w:fldCharType="begin" w:fldLock="1"/>
      </w:r>
      <w:r w:rsidR="003F6A7B">
        <w:rPr>
          <w:rFonts w:eastAsia="MS Mincho" w:cs="Arial"/>
        </w:rPr>
        <w:instrText>ADDIN CSL_CITATION {"citationItems":[{"id":"ITEM-1","itemData":{"DOI":"10.1001/jama.1992.03480130122036","ISSN":"0098-7484","PMID":"1482430","abstract":"The concept of \"complexity,\" derived from the field of nonlinear dynamics, can be adapted to measure the output of physiologic processes that generate highly variable fluctuations resembling \"chaos.\" We review data suggesting that physiologic aging is associated with a generalized loss of such complexity in the dynamics of healthy organ system function and hypothesize that such loss of complexity leads to an impaired ability to adapt to physiologic stress. This hypothesis is supported by observations showing an age-related loss of complex variability in multiple physiologic processes including cardiovascular control, pulsatile hormone release, and electroencephalographic potentials. If further research supports this hypothesis, measures of complexity based on chaos theory and the related geometric concept of fractals may provide new ways to monitor senescence and test the efficacy of specific interventions to modify the age-related decline in adaptive capacity.","author":[{"dropping-particle":"","family":"Lipsitz","given":"Lewis A.","non-dropping-particle":"","parse-names":false,"suffix":""},{"dropping-particle":"","family":"Goldberger","given":"A L","non-dropping-particle":"","parse-names":false,"suffix":""}],"container-title":"JAMA","id":"ITEM-1","issue":"13","issued":{"date-parts":[["1992","4","1"]]},"page":"1806-1809","title":"Loss of 'Complexity' and Aging. Potential Applications of Fractals and Chaos Theory to Senescence.","type":"article-journal","volume":"267"},"uris":["http://www.mendeley.com/documents/?uuid=1968dfb7-cda2-4a4d-98f0-92489cfc5477"]},{"id":"ITEM-2","itemData":{"DOI":"10.1016/j.neulet.2007.12.056","ISBN":"0304-3940 (Print)\\n0304-3940 (Linking)","ISSN":"03043940","PMID":"18262360","abstract":"This experiment examined the hypothesis that aging reduces the coupling between system components, resulting in a loss of complexity in behavior. Young (18-23 years), old (60-65 years), and older old (70-75 years) subjects performed rhythmical movement and postural tasks with the index finger. Irregularity of the acceleration dynamics was lower during postural tremor and movement in the old and older old subjects, an age effect that was only observed on the mediolateral axis of motion. Coupling across the axes of motion was significantly higher during rhythmic movement in the elderly but remained unaltered across the tasks in the young adults. The results show that the loss of complexity with aging can be detected even in healthy 60-65-year-olds, but demonstrates the need for postural tremor to be examined on more than a single axis of motion. Our findings suggest that reduced motor adaptability with aging results from a greater demand on task-related reorganization of the motor output. © 2008 Elsevier Ireland Ltd. All rights reserved.","author":[{"dropping-particle":"","family":"Hong","given":"S. Lee","non-dropping-particle":"","parse-names":false,"suffix":""},{"dropping-particle":"","family":"James","given":"Eric G.","non-dropping-particle":"","parse-names":false,"suffix":""},{"dropping-particle":"","family":"Newell","given":"Karl M.","non-dropping-particle":"","parse-names":false,"suffix":""}],"container-title":"Neuroscience Letters","id":"ITEM-2","issue":"2","issued":{"date-parts":[["2008","3"]]},"page":"119-124","title":"Coupling and Irregularity in the Aging Motor System: Tremor and Movement","type":"article-journal","volume":"433"},"uris":["http://www.mendeley.com/documents/?uuid=a4560324-a7bc-4681-86de-1244cea68886"]}],"mendeley":{"formattedCitation":"[48,49]","plainTextFormattedCitation":"[48,49]","previouslyFormattedCitation":"[48,49]"},"properties":{"noteIndex":0},"schema":"https://github.com/citation-style-language/schema/raw/master/csl-citation.json"}</w:instrText>
      </w:r>
      <w:r>
        <w:rPr>
          <w:rFonts w:eastAsia="MS Mincho" w:cs="Arial"/>
        </w:rPr>
        <w:fldChar w:fldCharType="separate"/>
      </w:r>
      <w:r w:rsidR="004B5F8D" w:rsidRPr="004B5F8D">
        <w:rPr>
          <w:rFonts w:eastAsia="MS Mincho" w:cs="Arial"/>
          <w:noProof/>
        </w:rPr>
        <w:t>[48,49]</w:t>
      </w:r>
      <w:r>
        <w:rPr>
          <w:rFonts w:eastAsia="MS Mincho" w:cs="Arial"/>
        </w:rPr>
        <w:fldChar w:fldCharType="end"/>
      </w:r>
      <w:r w:rsidRPr="00964D79">
        <w:rPr>
          <w:rFonts w:eastAsia="MS Mincho" w:cs="Arial"/>
        </w:rPr>
        <w:t>. There were also several</w:t>
      </w:r>
      <w:r>
        <w:rPr>
          <w:rFonts w:eastAsia="MS Mincho" w:cs="Arial"/>
        </w:rPr>
        <w:t xml:space="preserve"> eyes condition balance</w:t>
      </w:r>
      <w:r w:rsidRPr="00964D79">
        <w:rPr>
          <w:rFonts w:eastAsia="MS Mincho" w:cs="Arial"/>
        </w:rPr>
        <w:t xml:space="preserve"> effects </w:t>
      </w:r>
      <w:r>
        <w:rPr>
          <w:rFonts w:eastAsia="MS Mincho" w:cs="Arial"/>
        </w:rPr>
        <w:t>on ApEn, but only one for %DET, with the EO conditions yielding more regular results than the EC conditions, despite task complexity (i.e., ST vs. DT). T</w:t>
      </w:r>
      <w:r w:rsidRPr="00964D79">
        <w:rPr>
          <w:rFonts w:eastAsia="MS Mincho" w:cs="Arial"/>
        </w:rPr>
        <w:t>hese</w:t>
      </w:r>
      <w:r>
        <w:rPr>
          <w:rFonts w:eastAsia="MS Mincho" w:cs="Arial"/>
        </w:rPr>
        <w:t xml:space="preserve"> </w:t>
      </w:r>
      <w:r w:rsidRPr="00964D79">
        <w:rPr>
          <w:rFonts w:eastAsia="MS Mincho" w:cs="Arial"/>
        </w:rPr>
        <w:t xml:space="preserve">were </w:t>
      </w:r>
      <w:r>
        <w:rPr>
          <w:rFonts w:eastAsia="MS Mincho" w:cs="Arial"/>
        </w:rPr>
        <w:t xml:space="preserve">as expected and denoted that an increase in balance difficulty (e.g., EC vs. EO) resulted in decreases in regularity, which agrees with previous understandings of balance regularity and stability </w:t>
      </w:r>
      <w:r>
        <w:rPr>
          <w:rFonts w:eastAsia="MS Mincho" w:cs="Arial"/>
        </w:rPr>
        <w:fldChar w:fldCharType="begin" w:fldLock="1"/>
      </w:r>
      <w:r w:rsidR="003F6A7B">
        <w:rPr>
          <w:rFonts w:eastAsia="MS Mincho" w:cs="Arial"/>
        </w:rPr>
        <w:instrText>ADDIN CSL_CITATION {"citationItems":[{"id":"ITEM-1","itemData":{"DOI":"10.1007/s00221-005-0094-y","ISBN":"0014-4819 (Print)\\r0014-4819 (Linking)","ISSN":"00144819","PMID":"16047175","abstract":"Static posturographic recordings were obtained from six Parkinson's patients and six age-matched, healthy control participants. The availability of vision and visuo-spatial cognitive load were manipulated. Postural sway patterns were analyzed using recurrence quantification analysis (RQA), which revealed differences in center of pressure (COP) dynamics between Parkinson's and control participants. AP COP trajectories for the Parkinson's group were not only significantly more variable than for the control group, but also exhibited distinct patterns of temporal dynamics. The visual manipulation did not differentially affect the two groups. No cognitive load effects were found. The results are generally consistent with the hypothesis that pathological physiological systems exhibit a tendency for less flexible, more deterministic dynamic patterns.","author":[{"dropping-particle":"","family":"Schmit","given":"Jennifer M.","non-dropping-particle":"","parse-names":false,"suffix":""},{"dropping-particle":"","family":"Riley","given":"Michael A.","non-dropping-particle":"","parse-names":false,"suffix":""},{"dropping-particle":"","family":"Dalvi","given":"Arif","non-dropping-particle":"","parse-names":false,"suffix":""},{"dropping-particle":"","family":"Sahay","given":"Alok","non-dropping-particle":"","parse-names":false,"suffix":""},{"dropping-particle":"","family":"Shear","given":"Paula K.","non-dropping-particle":"","parse-names":false,"suffix":""},{"dropping-particle":"","family":"Shockley","given":"Kevin D.","non-dropping-particle":"","parse-names":false,"suffix":""},{"dropping-particle":"","family":"Pun","given":"Raymund Y K","non-dropping-particle":"","parse-names":false,"suffix":""}],"container-title":"Experimental Brain Research","id":"ITEM-1","issue":"3","issued":{"date-parts":[["2006"]]},"note":"The final parameter settings we chose for both AP and ML time series were: embedding dimension=8, time-delay=9 samples, radius=32% of the mean Euclidean distance separating points in the reconstructed phase space, and number of successive points defining a line segment = 2.","page":"357-367","title":"Deterministic center of pressure patterns characterize postural instability in Parkinson's disease","type":"article-journal","volume":"168"},"uris":["http://www.mendeley.com/documents/?uuid=4c0ac77b-5139-469f-abbd-f05fab4054f3"]}],"mendeley":{"formattedCitation":"[41]","plainTextFormattedCitation":"[41]","previouslyFormattedCitation":"[41]"},"properties":{"noteIndex":0},"schema":"https://github.com/citation-style-language/schema/raw/master/csl-citation.json"}</w:instrText>
      </w:r>
      <w:r>
        <w:rPr>
          <w:rFonts w:eastAsia="MS Mincho" w:cs="Arial"/>
        </w:rPr>
        <w:fldChar w:fldCharType="separate"/>
      </w:r>
      <w:r w:rsidR="004B5F8D" w:rsidRPr="004B5F8D">
        <w:rPr>
          <w:rFonts w:eastAsia="MS Mincho" w:cs="Arial"/>
          <w:noProof/>
        </w:rPr>
        <w:t>[41]</w:t>
      </w:r>
      <w:r>
        <w:rPr>
          <w:rFonts w:eastAsia="MS Mincho" w:cs="Arial"/>
        </w:rPr>
        <w:fldChar w:fldCharType="end"/>
      </w:r>
      <w:r>
        <w:rPr>
          <w:rFonts w:eastAsia="MS Mincho" w:cs="Arial"/>
        </w:rPr>
        <w:t xml:space="preserve">.Furthermore, the lack of significant findings between EC conditions indicates that </w:t>
      </w:r>
      <w:r>
        <w:rPr>
          <w:rFonts w:eastAsia="MS Mincho" w:cs="Arial"/>
        </w:rPr>
        <w:lastRenderedPageBreak/>
        <w:t>standing with EC alone is sufficient to affect balance signals so that performing a secondary task and/or taking PD medication</w:t>
      </w:r>
      <w:r w:rsidRPr="003E1556">
        <w:rPr>
          <w:rFonts w:eastAsia="MS Mincho" w:cs="Arial"/>
        </w:rPr>
        <w:t xml:space="preserve"> </w:t>
      </w:r>
      <w:r>
        <w:rPr>
          <w:rFonts w:eastAsia="MS Mincho" w:cs="Arial"/>
        </w:rPr>
        <w:t xml:space="preserve">were </w:t>
      </w:r>
      <w:r w:rsidRPr="00F677F8">
        <w:rPr>
          <w:rFonts w:eastAsia="MS Mincho" w:cs="Arial"/>
        </w:rPr>
        <w:t>inadequate</w:t>
      </w:r>
      <w:r>
        <w:rPr>
          <w:rFonts w:eastAsia="MS Mincho" w:cs="Arial"/>
        </w:rPr>
        <w:t xml:space="preserve"> further challenge balance performance.</w:t>
      </w:r>
    </w:p>
    <w:p w14:paraId="1D15BBCE" w14:textId="655B868A" w:rsidR="00F226B5" w:rsidRDefault="00FF26E3" w:rsidP="008009D0">
      <w:pPr>
        <w:jc w:val="both"/>
        <w:rPr>
          <w:rFonts w:cs="Arial"/>
        </w:rPr>
      </w:pPr>
      <w:r w:rsidRPr="00964D79">
        <w:rPr>
          <w:rFonts w:eastAsia="MS Mincho" w:cs="Arial"/>
        </w:rPr>
        <w:tab/>
        <w:t>Overall, %DET and ApEn values for both gait and balance were respectively large and small acr</w:t>
      </w:r>
      <w:r>
        <w:rPr>
          <w:rFonts w:eastAsia="MS Mincho" w:cs="Arial"/>
        </w:rPr>
        <w:t>oss medication states and tasks.</w:t>
      </w:r>
      <w:r w:rsidRPr="00964D79">
        <w:rPr>
          <w:rFonts w:eastAsia="MS Mincho" w:cs="Arial"/>
        </w:rPr>
        <w:t xml:space="preserve"> </w:t>
      </w:r>
      <w:r>
        <w:rPr>
          <w:rFonts w:eastAsia="MS Mincho" w:cs="Arial"/>
        </w:rPr>
        <w:t>T</w:t>
      </w:r>
      <w:r w:rsidRPr="00964D79">
        <w:rPr>
          <w:rFonts w:eastAsia="MS Mincho" w:cs="Arial"/>
        </w:rPr>
        <w:t>hey were also exceptionally similar between tasks and conditions. This</w:t>
      </w:r>
      <w:r>
        <w:rPr>
          <w:rFonts w:eastAsia="MS Mincho" w:cs="Arial"/>
        </w:rPr>
        <w:t xml:space="preserve"> may</w:t>
      </w:r>
      <w:r w:rsidRPr="00964D79">
        <w:rPr>
          <w:rFonts w:eastAsia="MS Mincho" w:cs="Arial"/>
        </w:rPr>
        <w:t xml:space="preserve"> </w:t>
      </w:r>
      <w:r>
        <w:rPr>
          <w:rFonts w:eastAsia="MS Mincho" w:cs="Arial"/>
        </w:rPr>
        <w:t>indicate</w:t>
      </w:r>
      <w:r w:rsidRPr="00964D79">
        <w:rPr>
          <w:rFonts w:eastAsia="MS Mincho" w:cs="Arial"/>
        </w:rPr>
        <w:t xml:space="preserve"> that</w:t>
      </w:r>
      <w:r>
        <w:rPr>
          <w:rFonts w:eastAsia="MS Mincho" w:cs="Arial"/>
        </w:rPr>
        <w:t xml:space="preserve"> both</w:t>
      </w:r>
      <w:r w:rsidRPr="00964D79">
        <w:rPr>
          <w:rFonts w:eastAsia="MS Mincho" w:cs="Arial"/>
        </w:rPr>
        <w:t xml:space="preserve"> gait and balance control in PD subjects a</w:t>
      </w:r>
      <w:r>
        <w:rPr>
          <w:rFonts w:eastAsia="MS Mincho" w:cs="Arial"/>
        </w:rPr>
        <w:t xml:space="preserve">re very regular, despite medication state, task complexity, and </w:t>
      </w:r>
      <w:r w:rsidR="002B5528">
        <w:rPr>
          <w:rFonts w:eastAsia="MS Mincho" w:cs="Arial"/>
        </w:rPr>
        <w:t>visual</w:t>
      </w:r>
      <w:r w:rsidR="00A85427">
        <w:rPr>
          <w:rFonts w:eastAsia="MS Mincho" w:cs="Arial"/>
        </w:rPr>
        <w:t xml:space="preserve"> </w:t>
      </w:r>
      <w:r>
        <w:rPr>
          <w:rFonts w:eastAsia="MS Mincho" w:cs="Arial"/>
        </w:rPr>
        <w:t>condition. These similarities can be interpreted in a few ways. 1) a possible shift in the current interpretations of ‘stable gait’ and ‘stable balance’, which are</w:t>
      </w:r>
      <w:r w:rsidR="001065F8">
        <w:rPr>
          <w:rFonts w:eastAsia="MS Mincho" w:cs="Arial"/>
        </w:rPr>
        <w:t xml:space="preserve"> currently</w:t>
      </w:r>
      <w:r>
        <w:rPr>
          <w:rFonts w:eastAsia="MS Mincho" w:cs="Arial"/>
        </w:rPr>
        <w:t xml:space="preserve"> based on linear regularity measures (i.e., SD, coefficient of variation [CV]), may be needed. These are traditionally interpreted as more regular findings being associated with increased stability. The similarity of our nonlinear data across medication states, tasks, and conditions challenges these interpretations, especially considering that these same subjects experienced significant gait and balance changes from different medication states, task complexities, and balance conditions (see Manuscript 1 and Manuscript 2); or 2), the similarity of these nonlinear findings in our data suggests that a novel interpretation of gait and balance stability exclusive to nonlinear measures, and separate from linear measures, may be necessary, especially with PD subjects. However, t</w:t>
      </w:r>
      <w:r w:rsidRPr="00964D79">
        <w:rPr>
          <w:rFonts w:eastAsia="MS Mincho" w:cs="Arial"/>
        </w:rPr>
        <w:t xml:space="preserve">he application of these tools </w:t>
      </w:r>
      <w:r>
        <w:rPr>
          <w:rFonts w:eastAsia="MS Mincho" w:cs="Arial"/>
        </w:rPr>
        <w:t>in PD movement, especially</w:t>
      </w:r>
      <w:r w:rsidRPr="00964D79">
        <w:rPr>
          <w:rFonts w:eastAsia="MS Mincho" w:cs="Arial"/>
        </w:rPr>
        <w:t xml:space="preserve"> </w:t>
      </w:r>
      <w:r>
        <w:rPr>
          <w:rFonts w:eastAsia="MS Mincho" w:cs="Arial"/>
        </w:rPr>
        <w:t>PD</w:t>
      </w:r>
      <w:r w:rsidRPr="00964D79">
        <w:rPr>
          <w:rFonts w:eastAsia="MS Mincho" w:cs="Arial"/>
        </w:rPr>
        <w:t xml:space="preserve"> </w:t>
      </w:r>
      <w:r>
        <w:rPr>
          <w:rFonts w:eastAsia="MS Mincho" w:cs="Arial"/>
        </w:rPr>
        <w:t xml:space="preserve">gait, </w:t>
      </w:r>
      <w:r w:rsidRPr="00964D79">
        <w:rPr>
          <w:rFonts w:eastAsia="MS Mincho" w:cs="Arial"/>
        </w:rPr>
        <w:t xml:space="preserve">is still </w:t>
      </w:r>
      <w:r>
        <w:rPr>
          <w:rFonts w:eastAsia="MS Mincho" w:cs="Arial"/>
        </w:rPr>
        <w:t xml:space="preserve">relatively </w:t>
      </w:r>
      <w:r w:rsidRPr="00964D79">
        <w:rPr>
          <w:rFonts w:eastAsia="MS Mincho" w:cs="Arial"/>
        </w:rPr>
        <w:t>novel</w:t>
      </w:r>
      <w:r>
        <w:rPr>
          <w:rFonts w:eastAsia="MS Mincho" w:cs="Arial"/>
        </w:rPr>
        <w:t xml:space="preserve">, </w:t>
      </w:r>
      <w:r w:rsidRPr="00964D79">
        <w:rPr>
          <w:rFonts w:eastAsia="MS Mincho" w:cs="Arial"/>
        </w:rPr>
        <w:t xml:space="preserve">and further research comparing PD </w:t>
      </w:r>
      <w:r>
        <w:rPr>
          <w:rFonts w:eastAsia="MS Mincho" w:cs="Arial"/>
        </w:rPr>
        <w:t xml:space="preserve">subjects </w:t>
      </w:r>
      <w:r w:rsidRPr="00964D79">
        <w:rPr>
          <w:rFonts w:eastAsia="MS Mincho" w:cs="Arial"/>
        </w:rPr>
        <w:t>with neurologically healthy age-matched and young control subjects is</w:t>
      </w:r>
      <w:r>
        <w:rPr>
          <w:rFonts w:eastAsia="MS Mincho" w:cs="Arial"/>
        </w:rPr>
        <w:t xml:space="preserve"> necessary</w:t>
      </w:r>
      <w:r w:rsidRPr="00964D79">
        <w:rPr>
          <w:rFonts w:eastAsia="MS Mincho" w:cs="Arial"/>
        </w:rPr>
        <w:t>.</w:t>
      </w:r>
      <w:r w:rsidR="00790880">
        <w:rPr>
          <w:rFonts w:eastAsia="MS Mincho" w:cs="Arial"/>
        </w:rPr>
        <w:t xml:space="preserve"> </w:t>
      </w:r>
      <w:r w:rsidR="00C46859">
        <w:rPr>
          <w:rFonts w:eastAsia="MS Mincho" w:cs="Arial"/>
        </w:rPr>
        <w:t>Future studies should include these and other</w:t>
      </w:r>
      <w:r w:rsidR="00790880">
        <w:rPr>
          <w:rFonts w:eastAsia="MS Mincho" w:cs="Arial"/>
        </w:rPr>
        <w:t xml:space="preserve"> </w:t>
      </w:r>
      <w:r w:rsidR="00C46859">
        <w:rPr>
          <w:rFonts w:eastAsia="MS Mincho" w:cs="Arial"/>
        </w:rPr>
        <w:t xml:space="preserve">nonlinear analyses when exploring automatic tasks to gain </w:t>
      </w:r>
      <w:r w:rsidR="00790119">
        <w:rPr>
          <w:rFonts w:eastAsia="MS Mincho" w:cs="Arial"/>
        </w:rPr>
        <w:t>insights into impaired movement.</w:t>
      </w:r>
    </w:p>
    <w:p w14:paraId="3AAF4E24" w14:textId="1C657001" w:rsidR="00D55DC5" w:rsidRDefault="00D55DC5" w:rsidP="008009D0">
      <w:pPr>
        <w:pStyle w:val="Heading2"/>
        <w:jc w:val="both"/>
      </w:pPr>
      <w:bookmarkStart w:id="69" w:name="_Toc527361774"/>
      <w:r w:rsidRPr="00864B56">
        <w:lastRenderedPageBreak/>
        <w:t>Conclusions</w:t>
      </w:r>
      <w:bookmarkEnd w:id="69"/>
    </w:p>
    <w:p w14:paraId="7255930B" w14:textId="779244DD" w:rsidR="00D55DC5" w:rsidRPr="00AC69A0" w:rsidRDefault="00D55DC5" w:rsidP="008009D0">
      <w:pPr>
        <w:jc w:val="both"/>
        <w:rPr>
          <w:rFonts w:cs="Arial"/>
        </w:rPr>
      </w:pPr>
      <w:r>
        <w:rPr>
          <w:rFonts w:cs="Arial"/>
        </w:rPr>
        <w:tab/>
      </w:r>
      <w:r w:rsidR="00AD3E88" w:rsidRPr="004F4C9C">
        <w:rPr>
          <w:rFonts w:eastAsia="MS Mincho" w:cs="Arial"/>
        </w:rPr>
        <w:t xml:space="preserve">Dopaminergic medication caused significantly </w:t>
      </w:r>
      <w:r w:rsidR="00AD3E88">
        <w:rPr>
          <w:rFonts w:eastAsia="MS Mincho" w:cs="Arial"/>
        </w:rPr>
        <w:t>lower</w:t>
      </w:r>
      <w:r w:rsidR="00AD3E88" w:rsidRPr="004F4C9C">
        <w:rPr>
          <w:rFonts w:eastAsia="MS Mincho" w:cs="Arial"/>
        </w:rPr>
        <w:t xml:space="preserve"> regular</w:t>
      </w:r>
      <w:r w:rsidR="00AD3E88">
        <w:rPr>
          <w:rFonts w:eastAsia="MS Mincho" w:cs="Arial"/>
        </w:rPr>
        <w:t>ity of the</w:t>
      </w:r>
      <w:r w:rsidR="00AD3E88" w:rsidRPr="004F4C9C">
        <w:rPr>
          <w:rFonts w:eastAsia="MS Mincho" w:cs="Arial"/>
        </w:rPr>
        <w:t xml:space="preserve"> </w:t>
      </w:r>
      <w:r w:rsidR="00AD3E88">
        <w:rPr>
          <w:rFonts w:eastAsia="MS Mincho" w:cs="Arial"/>
        </w:rPr>
        <w:t>knee joint angle signals during gait.</w:t>
      </w:r>
      <w:r w:rsidR="00AD3E88" w:rsidRPr="004F4C9C">
        <w:rPr>
          <w:rFonts w:eastAsia="MS Mincho" w:cs="Arial"/>
        </w:rPr>
        <w:t xml:space="preserve"> </w:t>
      </w:r>
      <w:r w:rsidR="00AD3E88">
        <w:rPr>
          <w:rFonts w:eastAsia="MS Mincho" w:cs="Arial"/>
        </w:rPr>
        <w:t>W</w:t>
      </w:r>
      <w:r w:rsidR="00AD3E88" w:rsidRPr="004F4C9C">
        <w:rPr>
          <w:rFonts w:eastAsia="MS Mincho" w:cs="Arial"/>
        </w:rPr>
        <w:t xml:space="preserve">hen considered with improvements in motor function, PD patients </w:t>
      </w:r>
      <w:r w:rsidR="00AD3E88">
        <w:rPr>
          <w:rFonts w:eastAsia="MS Mincho" w:cs="Arial"/>
        </w:rPr>
        <w:t>may have undesirable increased regularity</w:t>
      </w:r>
      <w:r w:rsidR="00AD3E88" w:rsidRPr="004F4C9C">
        <w:rPr>
          <w:rFonts w:eastAsia="MS Mincho" w:cs="Arial"/>
        </w:rPr>
        <w:t xml:space="preserve"> in their </w:t>
      </w:r>
      <w:r w:rsidR="00AD3E88">
        <w:rPr>
          <w:rFonts w:eastAsia="MS Mincho" w:cs="Arial"/>
        </w:rPr>
        <w:t>gait when OFF medication</w:t>
      </w:r>
      <w:r w:rsidR="00AD3E88" w:rsidRPr="004F4C9C">
        <w:rPr>
          <w:rFonts w:eastAsia="MS Mincho" w:cs="Arial"/>
        </w:rPr>
        <w:t>. Balance task complexity (i.e.</w:t>
      </w:r>
      <w:r w:rsidR="00AD3E88">
        <w:rPr>
          <w:rFonts w:eastAsia="MS Mincho" w:cs="Arial"/>
        </w:rPr>
        <w:t>,</w:t>
      </w:r>
      <w:r w:rsidR="00AD3E88" w:rsidRPr="004F4C9C">
        <w:rPr>
          <w:rFonts w:eastAsia="MS Mincho" w:cs="Arial"/>
        </w:rPr>
        <w:t xml:space="preserve"> eyes open vs. eyes closed) was detected by the nonlinear analyses and indicated improved balance signal regularity.</w:t>
      </w:r>
      <w:r w:rsidR="00AD3E88">
        <w:rPr>
          <w:rFonts w:eastAsia="MS Mincho" w:cs="Arial"/>
        </w:rPr>
        <w:t xml:space="preserve"> Approximate Entropy and percent determinism findings were very similar, despite medication state, task complexity, and standing condition</w:t>
      </w:r>
      <w:r w:rsidR="004250A3">
        <w:rPr>
          <w:rFonts w:eastAsia="MS Mincho" w:cs="Arial"/>
        </w:rPr>
        <w:t>.</w:t>
      </w:r>
      <w:r w:rsidR="00AD3E88">
        <w:rPr>
          <w:rFonts w:eastAsia="MS Mincho" w:cs="Arial"/>
        </w:rPr>
        <w:t xml:space="preserve"> </w:t>
      </w:r>
      <w:r w:rsidR="004250A3">
        <w:rPr>
          <w:rFonts w:eastAsia="MS Mincho" w:cs="Arial"/>
        </w:rPr>
        <w:t>T</w:t>
      </w:r>
      <w:r w:rsidR="00AD3E88">
        <w:rPr>
          <w:rFonts w:eastAsia="MS Mincho" w:cs="Arial"/>
        </w:rPr>
        <w:t>hese similarities may necessitate changes in our interpretation of gait and balance stability</w:t>
      </w:r>
      <w:r w:rsidR="00AD3E88" w:rsidRPr="004F4C9C">
        <w:rPr>
          <w:rFonts w:eastAsia="MS Mincho" w:cs="Arial"/>
        </w:rPr>
        <w:t>.</w:t>
      </w:r>
    </w:p>
    <w:p w14:paraId="57F6F046" w14:textId="77777777" w:rsidR="00D55DC5" w:rsidRDefault="00D55DC5" w:rsidP="008009D0">
      <w:pPr>
        <w:jc w:val="both"/>
        <w:rPr>
          <w:rFonts w:cs="Arial"/>
          <w:b/>
        </w:rPr>
      </w:pPr>
    </w:p>
    <w:p w14:paraId="035A3A3B" w14:textId="77777777" w:rsidR="0093744D" w:rsidRDefault="0093744D" w:rsidP="008009D0">
      <w:pPr>
        <w:pStyle w:val="NormalWeb"/>
        <w:spacing w:before="0" w:beforeAutospacing="0" w:after="0" w:afterAutospacing="0" w:line="480" w:lineRule="auto"/>
        <w:jc w:val="both"/>
        <w:rPr>
          <w:rFonts w:cs="Arial"/>
          <w:shd w:val="clear" w:color="auto" w:fill="FFFFFF"/>
        </w:rPr>
      </w:pPr>
      <w:r w:rsidRPr="00864B56">
        <w:rPr>
          <w:rFonts w:cs="Arial"/>
          <w:shd w:val="clear" w:color="auto" w:fill="FFFFFF"/>
        </w:rPr>
        <w:t>Acknowledgements:</w:t>
      </w:r>
      <w:r w:rsidRPr="00864B56">
        <w:rPr>
          <w:rFonts w:cs="Arial"/>
        </w:rPr>
        <w:t xml:space="preserve"> </w:t>
      </w:r>
      <w:r w:rsidRPr="00864B56">
        <w:rPr>
          <w:rFonts w:cs="Arial"/>
          <w:shd w:val="clear" w:color="auto" w:fill="FFFFFF"/>
        </w:rPr>
        <w:t xml:space="preserve">The authors would like to thank Ram Kinker Mishra, Raul Amador, and Hyder Jassim for their assistance during data collection. Also, </w:t>
      </w:r>
      <w:r>
        <w:rPr>
          <w:rFonts w:cs="Arial"/>
          <w:shd w:val="clear" w:color="auto" w:fill="FFFFFF"/>
        </w:rPr>
        <w:t xml:space="preserve">Christopher J. Arellano, </w:t>
      </w:r>
      <w:r w:rsidRPr="00864B56">
        <w:rPr>
          <w:rFonts w:cs="Arial"/>
          <w:shd w:val="clear" w:color="auto" w:fill="FFFFFF"/>
        </w:rPr>
        <w:t>Beom-Chan Lee</w:t>
      </w:r>
      <w:r>
        <w:rPr>
          <w:rFonts w:cs="Arial"/>
          <w:shd w:val="clear" w:color="auto" w:fill="FFFFFF"/>
        </w:rPr>
        <w:t>,</w:t>
      </w:r>
      <w:r w:rsidRPr="00864B56">
        <w:rPr>
          <w:rFonts w:cs="Arial"/>
          <w:shd w:val="clear" w:color="auto" w:fill="FFFFFF"/>
        </w:rPr>
        <w:t xml:space="preserve"> and Mon Bryant for proofreading the manuscript. Lastly, the Kingwood, </w:t>
      </w:r>
      <w:r>
        <w:rPr>
          <w:rFonts w:cs="Arial"/>
          <w:shd w:val="clear" w:color="auto" w:fill="FFFFFF"/>
        </w:rPr>
        <w:t xml:space="preserve">North Houston, and The Woodlands </w:t>
      </w:r>
      <w:r w:rsidRPr="00864B56">
        <w:rPr>
          <w:rFonts w:cs="Arial"/>
          <w:shd w:val="clear" w:color="auto" w:fill="FFFFFF"/>
        </w:rPr>
        <w:t>locations of Rock Steady Boxing chapters for their assistance with subject recruitment.</w:t>
      </w:r>
    </w:p>
    <w:p w14:paraId="3778A5C0" w14:textId="77777777" w:rsidR="0093744D" w:rsidRDefault="0093744D" w:rsidP="008009D0">
      <w:pPr>
        <w:pStyle w:val="NormalWeb"/>
        <w:spacing w:before="0" w:beforeAutospacing="0" w:after="0" w:afterAutospacing="0" w:line="480" w:lineRule="auto"/>
        <w:jc w:val="both"/>
        <w:rPr>
          <w:rFonts w:cs="Arial"/>
          <w:shd w:val="clear" w:color="auto" w:fill="FFFFFF"/>
        </w:rPr>
      </w:pPr>
    </w:p>
    <w:p w14:paraId="4A8ED138" w14:textId="64B96116" w:rsidR="00D55DC5" w:rsidRPr="00864B56" w:rsidRDefault="0093744D" w:rsidP="008009D0">
      <w:pPr>
        <w:pStyle w:val="NormalWeb"/>
        <w:spacing w:before="0" w:beforeAutospacing="0" w:after="0" w:afterAutospacing="0" w:line="480" w:lineRule="auto"/>
        <w:jc w:val="both"/>
        <w:rPr>
          <w:rFonts w:cs="Arial"/>
          <w:shd w:val="clear" w:color="auto" w:fill="FFFFFF"/>
        </w:rPr>
      </w:pPr>
      <w:r>
        <w:rPr>
          <w:rFonts w:cs="Arial"/>
          <w:shd w:val="clear" w:color="auto" w:fill="FFFFFF"/>
        </w:rPr>
        <w:t xml:space="preserve">Funding: </w:t>
      </w:r>
      <w:r w:rsidRPr="00864B56">
        <w:rPr>
          <w:rFonts w:cs="Arial"/>
          <w:shd w:val="clear" w:color="auto" w:fill="FFFFFF"/>
        </w:rPr>
        <w:t>This research did not receive any specific grant from funding agencies in the public, commercial, or not-for-profit sectors.</w:t>
      </w:r>
      <w:r w:rsidR="00285479">
        <w:rPr>
          <w:rFonts w:cs="Arial"/>
          <w:shd w:val="clear" w:color="auto" w:fill="FFFFFF"/>
        </w:rPr>
        <w:t>`</w:t>
      </w:r>
    </w:p>
    <w:p w14:paraId="2423041A" w14:textId="4D464106" w:rsidR="00D55DC5" w:rsidRPr="00864B56" w:rsidRDefault="00D55DC5" w:rsidP="008009D0">
      <w:pPr>
        <w:widowControl w:val="0"/>
        <w:autoSpaceDE w:val="0"/>
        <w:autoSpaceDN w:val="0"/>
        <w:adjustRightInd w:val="0"/>
        <w:jc w:val="both"/>
        <w:rPr>
          <w:rFonts w:cs="Arial"/>
        </w:rPr>
        <w:sectPr w:rsidR="00D55DC5" w:rsidRPr="00864B56" w:rsidSect="00C55D12">
          <w:pgSz w:w="12240" w:h="15840"/>
          <w:pgMar w:top="1800" w:right="1440" w:bottom="1440" w:left="1440" w:header="720" w:footer="720" w:gutter="0"/>
          <w:cols w:space="720"/>
        </w:sectPr>
      </w:pPr>
    </w:p>
    <w:p w14:paraId="68BC1C3B" w14:textId="2132189C" w:rsidR="00F940B7" w:rsidRDefault="00F940B7" w:rsidP="008009D0">
      <w:pPr>
        <w:pStyle w:val="Caption"/>
        <w:keepNext/>
        <w:jc w:val="both"/>
      </w:pPr>
    </w:p>
    <w:tbl>
      <w:tblPr>
        <w:tblStyle w:val="TableGrid"/>
        <w:tblpPr w:leftFromText="180" w:rightFromText="180" w:vertAnchor="text" w:horzAnchor="margin" w:tblpY="-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495"/>
      </w:tblGrid>
      <w:tr w:rsidR="00D55DC5" w:rsidRPr="00431CEE" w14:paraId="3379FE55" w14:textId="77777777" w:rsidTr="00E615F6">
        <w:trPr>
          <w:trHeight w:val="260"/>
        </w:trPr>
        <w:tc>
          <w:tcPr>
            <w:tcW w:w="5580" w:type="dxa"/>
            <w:gridSpan w:val="2"/>
            <w:tcBorders>
              <w:bottom w:val="single" w:sz="4" w:space="0" w:color="auto"/>
            </w:tcBorders>
            <w:vAlign w:val="center"/>
          </w:tcPr>
          <w:p w14:paraId="0428FCE1" w14:textId="454337A9" w:rsidR="00D55DC5" w:rsidRPr="00431CEE" w:rsidRDefault="00F940B7" w:rsidP="008009D0">
            <w:pPr>
              <w:jc w:val="both"/>
              <w:rPr>
                <w:rFonts w:cs="Arial"/>
              </w:rPr>
            </w:pPr>
            <w:bookmarkStart w:id="70" w:name="_Toc527361781"/>
            <w:r>
              <w:t xml:space="preserve">Table </w:t>
            </w:r>
            <w:r w:rsidR="009B1116">
              <w:rPr>
                <w:noProof/>
              </w:rPr>
              <w:fldChar w:fldCharType="begin"/>
            </w:r>
            <w:r w:rsidR="009B1116">
              <w:rPr>
                <w:noProof/>
              </w:rPr>
              <w:instrText xml:space="preserve"> SEQ Table \* ARABIC </w:instrText>
            </w:r>
            <w:r w:rsidR="009B1116">
              <w:rPr>
                <w:noProof/>
              </w:rPr>
              <w:fldChar w:fldCharType="separate"/>
            </w:r>
            <w:r w:rsidR="006C3AB1">
              <w:rPr>
                <w:noProof/>
              </w:rPr>
              <w:t>5</w:t>
            </w:r>
            <w:r w:rsidR="009B1116">
              <w:rPr>
                <w:noProof/>
              </w:rPr>
              <w:fldChar w:fldCharType="end"/>
            </w:r>
            <w:r w:rsidRPr="009E2EAE">
              <w:t>. Subject demographic information. Data are mean ± SD, where appropriate.</w:t>
            </w:r>
            <w:bookmarkEnd w:id="70"/>
          </w:p>
        </w:tc>
      </w:tr>
      <w:tr w:rsidR="00D55DC5" w:rsidRPr="00431CEE" w14:paraId="3D458DAC" w14:textId="77777777" w:rsidTr="00E615F6">
        <w:tc>
          <w:tcPr>
            <w:tcW w:w="5580" w:type="dxa"/>
            <w:gridSpan w:val="2"/>
            <w:tcBorders>
              <w:top w:val="single" w:sz="4" w:space="0" w:color="auto"/>
              <w:bottom w:val="single" w:sz="4" w:space="0" w:color="auto"/>
            </w:tcBorders>
            <w:vAlign w:val="center"/>
          </w:tcPr>
          <w:p w14:paraId="6A1EDE5D" w14:textId="77777777" w:rsidR="00D55DC5" w:rsidRPr="00D4113D" w:rsidRDefault="00D55DC5" w:rsidP="008009D0">
            <w:pPr>
              <w:jc w:val="both"/>
              <w:rPr>
                <w:rFonts w:cs="Arial"/>
                <w:b/>
              </w:rPr>
            </w:pPr>
            <w:r w:rsidRPr="00D4113D">
              <w:rPr>
                <w:rFonts w:cs="Arial"/>
                <w:b/>
              </w:rPr>
              <w:t>Demographics</w:t>
            </w:r>
          </w:p>
        </w:tc>
      </w:tr>
      <w:tr w:rsidR="00D55DC5" w:rsidRPr="00431CEE" w14:paraId="73270B08" w14:textId="77777777" w:rsidTr="00E615F6">
        <w:tc>
          <w:tcPr>
            <w:tcW w:w="0" w:type="auto"/>
            <w:tcBorders>
              <w:top w:val="single" w:sz="4" w:space="0" w:color="auto"/>
            </w:tcBorders>
            <w:vAlign w:val="center"/>
          </w:tcPr>
          <w:p w14:paraId="3058CAF0" w14:textId="77777777" w:rsidR="00D55DC5" w:rsidRPr="00431CEE" w:rsidRDefault="00D55DC5" w:rsidP="008009D0">
            <w:pPr>
              <w:jc w:val="both"/>
              <w:rPr>
                <w:rFonts w:cs="Arial"/>
              </w:rPr>
            </w:pPr>
            <w:r>
              <w:rPr>
                <w:rFonts w:cs="Arial"/>
              </w:rPr>
              <w:t>Sex</w:t>
            </w:r>
          </w:p>
        </w:tc>
        <w:tc>
          <w:tcPr>
            <w:tcW w:w="2495" w:type="dxa"/>
            <w:tcBorders>
              <w:top w:val="single" w:sz="4" w:space="0" w:color="auto"/>
            </w:tcBorders>
            <w:vAlign w:val="center"/>
          </w:tcPr>
          <w:p w14:paraId="596E2FA7" w14:textId="77777777" w:rsidR="00D55DC5" w:rsidRPr="00431CEE" w:rsidRDefault="00D55DC5" w:rsidP="00F05396">
            <w:pPr>
              <w:jc w:val="center"/>
              <w:rPr>
                <w:rFonts w:cs="Arial"/>
              </w:rPr>
            </w:pPr>
            <w:r>
              <w:rPr>
                <w:rFonts w:cs="Arial"/>
              </w:rPr>
              <w:t>12 male, 4 female</w:t>
            </w:r>
          </w:p>
        </w:tc>
      </w:tr>
      <w:tr w:rsidR="00D55DC5" w:rsidRPr="00431CEE" w14:paraId="5BEDECCE" w14:textId="77777777" w:rsidTr="00E615F6">
        <w:tc>
          <w:tcPr>
            <w:tcW w:w="0" w:type="auto"/>
            <w:vAlign w:val="center"/>
          </w:tcPr>
          <w:p w14:paraId="3BDF2B4A" w14:textId="77777777" w:rsidR="00D55DC5" w:rsidRPr="00431CEE" w:rsidRDefault="00D55DC5" w:rsidP="008009D0">
            <w:pPr>
              <w:jc w:val="both"/>
              <w:rPr>
                <w:rFonts w:cs="Arial"/>
              </w:rPr>
            </w:pPr>
            <w:r>
              <w:rPr>
                <w:rFonts w:cs="Arial"/>
              </w:rPr>
              <w:t>Age</w:t>
            </w:r>
          </w:p>
        </w:tc>
        <w:tc>
          <w:tcPr>
            <w:tcW w:w="2495" w:type="dxa"/>
            <w:vAlign w:val="center"/>
          </w:tcPr>
          <w:p w14:paraId="7B8C999C" w14:textId="77777777" w:rsidR="00D55DC5" w:rsidRPr="00431CEE" w:rsidRDefault="00D55DC5" w:rsidP="00F05396">
            <w:pPr>
              <w:jc w:val="center"/>
              <w:rPr>
                <w:rFonts w:cs="Arial"/>
              </w:rPr>
            </w:pPr>
            <w:r>
              <w:rPr>
                <w:rFonts w:cs="Arial"/>
              </w:rPr>
              <w:t>67.13 ± 7.54 yrs.</w:t>
            </w:r>
          </w:p>
        </w:tc>
      </w:tr>
      <w:tr w:rsidR="00D55DC5" w:rsidRPr="00431CEE" w14:paraId="7F04F438" w14:textId="77777777" w:rsidTr="00E615F6">
        <w:tc>
          <w:tcPr>
            <w:tcW w:w="0" w:type="auto"/>
            <w:vAlign w:val="center"/>
          </w:tcPr>
          <w:p w14:paraId="51A293D8" w14:textId="77777777" w:rsidR="00D55DC5" w:rsidRPr="00431CEE" w:rsidRDefault="00D55DC5" w:rsidP="008009D0">
            <w:pPr>
              <w:jc w:val="both"/>
              <w:rPr>
                <w:rFonts w:cs="Arial"/>
              </w:rPr>
            </w:pPr>
            <w:r>
              <w:rPr>
                <w:rFonts w:cs="Arial"/>
              </w:rPr>
              <w:t>Height</w:t>
            </w:r>
          </w:p>
        </w:tc>
        <w:tc>
          <w:tcPr>
            <w:tcW w:w="2495" w:type="dxa"/>
            <w:vAlign w:val="center"/>
          </w:tcPr>
          <w:p w14:paraId="650EACB8" w14:textId="77777777" w:rsidR="00D55DC5" w:rsidRPr="00431CEE" w:rsidRDefault="00D55DC5" w:rsidP="00F05396">
            <w:pPr>
              <w:jc w:val="center"/>
              <w:rPr>
                <w:rFonts w:cs="Arial"/>
              </w:rPr>
            </w:pPr>
            <w:r>
              <w:rPr>
                <w:rFonts w:cs="Arial"/>
              </w:rPr>
              <w:t>171.16 ± 9.53 cm</w:t>
            </w:r>
          </w:p>
        </w:tc>
      </w:tr>
      <w:tr w:rsidR="00D55DC5" w:rsidRPr="00431CEE" w14:paraId="1F33BE52" w14:textId="77777777" w:rsidTr="00E615F6">
        <w:tc>
          <w:tcPr>
            <w:tcW w:w="0" w:type="auto"/>
            <w:vAlign w:val="center"/>
          </w:tcPr>
          <w:p w14:paraId="7C19FF54" w14:textId="77777777" w:rsidR="00D55DC5" w:rsidRPr="00431CEE" w:rsidRDefault="00D55DC5" w:rsidP="008009D0">
            <w:pPr>
              <w:jc w:val="both"/>
              <w:rPr>
                <w:rFonts w:cs="Arial"/>
              </w:rPr>
            </w:pPr>
            <w:r>
              <w:rPr>
                <w:rFonts w:cs="Arial"/>
              </w:rPr>
              <w:t>Mass</w:t>
            </w:r>
          </w:p>
        </w:tc>
        <w:tc>
          <w:tcPr>
            <w:tcW w:w="2495" w:type="dxa"/>
            <w:vAlign w:val="center"/>
          </w:tcPr>
          <w:p w14:paraId="0C652471" w14:textId="77777777" w:rsidR="00D55DC5" w:rsidRPr="00431CEE" w:rsidRDefault="00D55DC5" w:rsidP="00F05396">
            <w:pPr>
              <w:jc w:val="center"/>
              <w:rPr>
                <w:rFonts w:cs="Arial"/>
              </w:rPr>
            </w:pPr>
            <w:r>
              <w:rPr>
                <w:rFonts w:cs="Arial"/>
              </w:rPr>
              <w:t>80.93 ± 14.28 kg</w:t>
            </w:r>
          </w:p>
        </w:tc>
      </w:tr>
      <w:tr w:rsidR="00D55DC5" w:rsidRPr="00431CEE" w14:paraId="750ED952" w14:textId="77777777" w:rsidTr="00E615F6">
        <w:tc>
          <w:tcPr>
            <w:tcW w:w="0" w:type="auto"/>
            <w:vAlign w:val="center"/>
          </w:tcPr>
          <w:p w14:paraId="1F191D44" w14:textId="77777777" w:rsidR="00D55DC5" w:rsidRDefault="00D55DC5" w:rsidP="008009D0">
            <w:pPr>
              <w:jc w:val="both"/>
              <w:rPr>
                <w:rFonts w:cs="Arial"/>
              </w:rPr>
            </w:pPr>
            <w:r>
              <w:rPr>
                <w:rFonts w:cs="Arial"/>
              </w:rPr>
              <w:t>UPDRS III (OFF)</w:t>
            </w:r>
          </w:p>
        </w:tc>
        <w:tc>
          <w:tcPr>
            <w:tcW w:w="2495" w:type="dxa"/>
            <w:vAlign w:val="center"/>
          </w:tcPr>
          <w:p w14:paraId="21848C80" w14:textId="77777777" w:rsidR="00D55DC5" w:rsidRPr="00431CEE" w:rsidRDefault="00D55DC5" w:rsidP="00F05396">
            <w:pPr>
              <w:jc w:val="center"/>
              <w:rPr>
                <w:rFonts w:cs="Arial"/>
              </w:rPr>
            </w:pPr>
            <w:r>
              <w:rPr>
                <w:rFonts w:cs="Arial"/>
              </w:rPr>
              <w:t>44.44 ± 13.34</w:t>
            </w:r>
          </w:p>
        </w:tc>
      </w:tr>
      <w:tr w:rsidR="00D55DC5" w:rsidRPr="00431CEE" w14:paraId="24C17B5E" w14:textId="77777777" w:rsidTr="00E615F6">
        <w:tc>
          <w:tcPr>
            <w:tcW w:w="0" w:type="auto"/>
            <w:vAlign w:val="center"/>
          </w:tcPr>
          <w:p w14:paraId="55B4224A" w14:textId="77777777" w:rsidR="00D55DC5" w:rsidRDefault="00D55DC5" w:rsidP="008009D0">
            <w:pPr>
              <w:jc w:val="both"/>
              <w:rPr>
                <w:rFonts w:cs="Arial"/>
              </w:rPr>
            </w:pPr>
            <w:r>
              <w:rPr>
                <w:rFonts w:cs="Arial"/>
              </w:rPr>
              <w:t>UPDRS III (ON)</w:t>
            </w:r>
          </w:p>
        </w:tc>
        <w:tc>
          <w:tcPr>
            <w:tcW w:w="2495" w:type="dxa"/>
            <w:vAlign w:val="center"/>
          </w:tcPr>
          <w:p w14:paraId="7A944254" w14:textId="77777777" w:rsidR="00D55DC5" w:rsidRPr="00431CEE" w:rsidRDefault="00D55DC5" w:rsidP="00F05396">
            <w:pPr>
              <w:jc w:val="center"/>
              <w:rPr>
                <w:rFonts w:cs="Arial"/>
              </w:rPr>
            </w:pPr>
            <w:r>
              <w:rPr>
                <w:rFonts w:cs="Arial"/>
              </w:rPr>
              <w:t>24.44 ± 8.17</w:t>
            </w:r>
          </w:p>
        </w:tc>
      </w:tr>
      <w:tr w:rsidR="00D55DC5" w:rsidRPr="00431CEE" w14:paraId="5F44592F" w14:textId="77777777" w:rsidTr="00E615F6">
        <w:tc>
          <w:tcPr>
            <w:tcW w:w="0" w:type="auto"/>
            <w:vAlign w:val="center"/>
          </w:tcPr>
          <w:p w14:paraId="2DA67986" w14:textId="77777777" w:rsidR="00D55DC5" w:rsidRDefault="00D55DC5" w:rsidP="008009D0">
            <w:pPr>
              <w:jc w:val="both"/>
              <w:rPr>
                <w:rFonts w:cs="Arial"/>
              </w:rPr>
            </w:pPr>
            <w:r>
              <w:rPr>
                <w:rFonts w:cs="Arial"/>
              </w:rPr>
              <w:t>More-affected side</w:t>
            </w:r>
          </w:p>
        </w:tc>
        <w:tc>
          <w:tcPr>
            <w:tcW w:w="2495" w:type="dxa"/>
            <w:vAlign w:val="center"/>
          </w:tcPr>
          <w:p w14:paraId="6690E23E" w14:textId="77777777" w:rsidR="00D55DC5" w:rsidRDefault="00D55DC5" w:rsidP="00F05396">
            <w:pPr>
              <w:jc w:val="center"/>
              <w:rPr>
                <w:rFonts w:cs="Arial"/>
              </w:rPr>
            </w:pPr>
            <w:r>
              <w:rPr>
                <w:rFonts w:cs="Arial"/>
              </w:rPr>
              <w:t>Right = 9, Left = 7</w:t>
            </w:r>
          </w:p>
        </w:tc>
      </w:tr>
      <w:tr w:rsidR="00D55DC5" w:rsidRPr="00431CEE" w14:paraId="629A4401" w14:textId="77777777" w:rsidTr="00E615F6">
        <w:tc>
          <w:tcPr>
            <w:tcW w:w="0" w:type="auto"/>
            <w:vAlign w:val="center"/>
          </w:tcPr>
          <w:p w14:paraId="5C1E5928" w14:textId="77777777" w:rsidR="00D55DC5" w:rsidRDefault="00D55DC5" w:rsidP="008009D0">
            <w:pPr>
              <w:jc w:val="both"/>
              <w:rPr>
                <w:rFonts w:cs="Arial"/>
              </w:rPr>
            </w:pPr>
            <w:r>
              <w:rPr>
                <w:rFonts w:cs="Arial"/>
              </w:rPr>
              <w:t>Time since diagnosis</w:t>
            </w:r>
          </w:p>
        </w:tc>
        <w:tc>
          <w:tcPr>
            <w:tcW w:w="2495" w:type="dxa"/>
            <w:vAlign w:val="center"/>
          </w:tcPr>
          <w:p w14:paraId="134F41C1" w14:textId="77777777" w:rsidR="00D55DC5" w:rsidRDefault="00D55DC5" w:rsidP="00F05396">
            <w:pPr>
              <w:jc w:val="center"/>
              <w:rPr>
                <w:rFonts w:cs="Arial"/>
              </w:rPr>
            </w:pPr>
            <w:r>
              <w:rPr>
                <w:rFonts w:cs="Arial"/>
              </w:rPr>
              <w:t>6.72 ± 5.79 yrs.</w:t>
            </w:r>
          </w:p>
        </w:tc>
      </w:tr>
      <w:tr w:rsidR="00D55DC5" w:rsidRPr="00431CEE" w14:paraId="0D7E66A0" w14:textId="77777777" w:rsidTr="00E615F6">
        <w:tc>
          <w:tcPr>
            <w:tcW w:w="0" w:type="auto"/>
            <w:tcBorders>
              <w:bottom w:val="single" w:sz="4" w:space="0" w:color="auto"/>
            </w:tcBorders>
            <w:vAlign w:val="center"/>
          </w:tcPr>
          <w:p w14:paraId="532FD1B9" w14:textId="77777777" w:rsidR="00D55DC5" w:rsidRDefault="00D55DC5" w:rsidP="008009D0">
            <w:pPr>
              <w:jc w:val="both"/>
              <w:rPr>
                <w:rFonts w:cs="Arial"/>
              </w:rPr>
            </w:pPr>
            <w:r>
              <w:rPr>
                <w:rFonts w:cs="Arial"/>
              </w:rPr>
              <w:t>Levodopa Equivalent Dose</w:t>
            </w:r>
          </w:p>
        </w:tc>
        <w:tc>
          <w:tcPr>
            <w:tcW w:w="2495" w:type="dxa"/>
            <w:tcBorders>
              <w:bottom w:val="single" w:sz="4" w:space="0" w:color="auto"/>
            </w:tcBorders>
            <w:vAlign w:val="center"/>
          </w:tcPr>
          <w:p w14:paraId="6C8D8D9B" w14:textId="77777777" w:rsidR="00D55DC5" w:rsidRDefault="00D55DC5" w:rsidP="00F05396">
            <w:pPr>
              <w:jc w:val="center"/>
              <w:rPr>
                <w:rFonts w:cs="Arial"/>
              </w:rPr>
            </w:pPr>
            <w:r>
              <w:rPr>
                <w:rFonts w:cs="Arial"/>
              </w:rPr>
              <w:t>669.53 ± 230.57</w:t>
            </w:r>
          </w:p>
        </w:tc>
      </w:tr>
      <w:tr w:rsidR="00D55DC5" w:rsidRPr="00431CEE" w14:paraId="6FD5B067" w14:textId="77777777" w:rsidTr="00E615F6">
        <w:tc>
          <w:tcPr>
            <w:tcW w:w="5580" w:type="dxa"/>
            <w:gridSpan w:val="2"/>
            <w:tcBorders>
              <w:top w:val="single" w:sz="4" w:space="0" w:color="auto"/>
            </w:tcBorders>
            <w:vAlign w:val="center"/>
          </w:tcPr>
          <w:p w14:paraId="4533D095" w14:textId="77777777" w:rsidR="00D55DC5" w:rsidRDefault="00D55DC5" w:rsidP="008009D0">
            <w:pPr>
              <w:jc w:val="both"/>
              <w:rPr>
                <w:rFonts w:cs="Arial"/>
              </w:rPr>
            </w:pPr>
            <w:r>
              <w:rPr>
                <w:rFonts w:cs="Arial"/>
              </w:rPr>
              <w:t>Note: UPDRS III = part III of the MSD-UPDRS, OFF = off-medication state, ON = on-medication state.</w:t>
            </w:r>
          </w:p>
        </w:tc>
      </w:tr>
    </w:tbl>
    <w:p w14:paraId="73DD5C2C" w14:textId="77777777" w:rsidR="00D55DC5" w:rsidRDefault="00D55DC5" w:rsidP="008009D0">
      <w:pPr>
        <w:jc w:val="both"/>
        <w:rPr>
          <w:rFonts w:cs="Arial"/>
        </w:rPr>
      </w:pPr>
    </w:p>
    <w:p w14:paraId="0E25EE76" w14:textId="77777777" w:rsidR="00D55DC5" w:rsidRPr="00823A47" w:rsidRDefault="00D55DC5" w:rsidP="008009D0">
      <w:pPr>
        <w:jc w:val="both"/>
        <w:rPr>
          <w:rFonts w:cs="Arial"/>
        </w:rPr>
      </w:pPr>
    </w:p>
    <w:p w14:paraId="6039DCB0" w14:textId="77777777" w:rsidR="00D55DC5" w:rsidRPr="00823A47" w:rsidRDefault="00D55DC5" w:rsidP="008009D0">
      <w:pPr>
        <w:jc w:val="both"/>
        <w:rPr>
          <w:rFonts w:cs="Arial"/>
        </w:rPr>
      </w:pPr>
    </w:p>
    <w:p w14:paraId="26D43224" w14:textId="77777777" w:rsidR="00D55DC5" w:rsidRPr="00823A47" w:rsidRDefault="00D55DC5" w:rsidP="008009D0">
      <w:pPr>
        <w:jc w:val="both"/>
        <w:rPr>
          <w:rFonts w:cs="Arial"/>
        </w:rPr>
      </w:pPr>
    </w:p>
    <w:p w14:paraId="35945FA1" w14:textId="77777777" w:rsidR="00D55DC5" w:rsidRPr="00823A47" w:rsidRDefault="00D55DC5" w:rsidP="008009D0">
      <w:pPr>
        <w:jc w:val="both"/>
        <w:rPr>
          <w:rFonts w:cs="Arial"/>
        </w:rPr>
      </w:pPr>
    </w:p>
    <w:p w14:paraId="18256115" w14:textId="77777777" w:rsidR="00D55DC5" w:rsidRPr="00823A47" w:rsidRDefault="00D55DC5" w:rsidP="008009D0">
      <w:pPr>
        <w:jc w:val="both"/>
        <w:rPr>
          <w:rFonts w:cs="Arial"/>
        </w:rPr>
      </w:pPr>
    </w:p>
    <w:p w14:paraId="235BACE1" w14:textId="174AC55E" w:rsidR="00D55DC5" w:rsidRPr="00823A47" w:rsidRDefault="00D55DC5" w:rsidP="008009D0">
      <w:pPr>
        <w:jc w:val="both"/>
        <w:rPr>
          <w:rFonts w:cs="Arial"/>
        </w:rPr>
      </w:pPr>
    </w:p>
    <w:p w14:paraId="5A5311F9" w14:textId="6A7DCA23" w:rsidR="00BA281A" w:rsidRPr="00BA281A" w:rsidRDefault="00D55DC5" w:rsidP="008009D0">
      <w:pPr>
        <w:jc w:val="both"/>
        <w:rPr>
          <w:rFonts w:cs="Arial"/>
        </w:rPr>
      </w:pPr>
      <w:r>
        <w:rPr>
          <w:rFonts w:cs="Arial"/>
        </w:rPr>
        <w:br w:type="page"/>
      </w:r>
    </w:p>
    <w:tbl>
      <w:tblPr>
        <w:tblStyle w:val="TableGrid"/>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0"/>
        <w:gridCol w:w="144"/>
        <w:gridCol w:w="802"/>
        <w:gridCol w:w="1438"/>
        <w:gridCol w:w="1438"/>
        <w:gridCol w:w="1438"/>
        <w:gridCol w:w="1490"/>
      </w:tblGrid>
      <w:tr w:rsidR="00D55DC5" w:rsidRPr="00674605" w14:paraId="67D7603A" w14:textId="77777777" w:rsidTr="00E615F6">
        <w:tc>
          <w:tcPr>
            <w:tcW w:w="7830" w:type="dxa"/>
            <w:gridSpan w:val="7"/>
            <w:tcBorders>
              <w:bottom w:val="single" w:sz="4" w:space="0" w:color="auto"/>
            </w:tcBorders>
          </w:tcPr>
          <w:p w14:paraId="3DA46C31" w14:textId="5F06EE81" w:rsidR="00D55DC5" w:rsidRPr="00674605" w:rsidRDefault="00231DFB" w:rsidP="008009D0">
            <w:pPr>
              <w:jc w:val="both"/>
              <w:rPr>
                <w:rFonts w:cs="Arial"/>
                <w:sz w:val="22"/>
                <w:szCs w:val="22"/>
              </w:rPr>
            </w:pPr>
            <w:bookmarkStart w:id="71" w:name="_Toc527361782"/>
            <w:r>
              <w:lastRenderedPageBreak/>
              <w:t xml:space="preserve">Table </w:t>
            </w:r>
            <w:r w:rsidR="009B1116">
              <w:rPr>
                <w:noProof/>
              </w:rPr>
              <w:fldChar w:fldCharType="begin"/>
            </w:r>
            <w:r w:rsidR="009B1116">
              <w:rPr>
                <w:noProof/>
              </w:rPr>
              <w:instrText xml:space="preserve"> SEQ Table \* ARABIC </w:instrText>
            </w:r>
            <w:r w:rsidR="009B1116">
              <w:rPr>
                <w:noProof/>
              </w:rPr>
              <w:fldChar w:fldCharType="separate"/>
            </w:r>
            <w:r w:rsidR="006C3AB1">
              <w:rPr>
                <w:noProof/>
              </w:rPr>
              <w:t>6</w:t>
            </w:r>
            <w:r w:rsidR="009B1116">
              <w:rPr>
                <w:noProof/>
              </w:rPr>
              <w:fldChar w:fldCharType="end"/>
            </w:r>
            <w:r w:rsidR="00BA281A" w:rsidRPr="003963AB">
              <w:t>. The %REC and parameters calculated and input into the RQA analysis for the joint angle series. Data are presented as mean ± SD.</w:t>
            </w:r>
            <w:bookmarkEnd w:id="71"/>
          </w:p>
        </w:tc>
      </w:tr>
      <w:tr w:rsidR="00D55DC5" w:rsidRPr="00674605" w14:paraId="6ADA6B81" w14:textId="77777777" w:rsidTr="00E615F6">
        <w:trPr>
          <w:trHeight w:val="332"/>
        </w:trPr>
        <w:tc>
          <w:tcPr>
            <w:tcW w:w="2026" w:type="dxa"/>
            <w:gridSpan w:val="3"/>
            <w:vMerge w:val="restart"/>
            <w:tcBorders>
              <w:top w:val="single" w:sz="4" w:space="0" w:color="auto"/>
            </w:tcBorders>
            <w:vAlign w:val="center"/>
          </w:tcPr>
          <w:p w14:paraId="4C937566" w14:textId="77777777" w:rsidR="00D55DC5" w:rsidRPr="00674605" w:rsidRDefault="00D55DC5" w:rsidP="008009D0">
            <w:pPr>
              <w:jc w:val="both"/>
              <w:rPr>
                <w:rFonts w:cs="Arial"/>
                <w:b/>
                <w:sz w:val="22"/>
                <w:szCs w:val="22"/>
              </w:rPr>
            </w:pPr>
            <w:r>
              <w:rPr>
                <w:rFonts w:cs="Arial"/>
                <w:b/>
                <w:sz w:val="22"/>
                <w:szCs w:val="22"/>
              </w:rPr>
              <w:t>RQA Parameter</w:t>
            </w:r>
            <w:r w:rsidRPr="00674605">
              <w:rPr>
                <w:rFonts w:cs="Arial"/>
                <w:b/>
                <w:sz w:val="22"/>
                <w:szCs w:val="22"/>
              </w:rPr>
              <w:t xml:space="preserve"> </w:t>
            </w:r>
          </w:p>
        </w:tc>
        <w:tc>
          <w:tcPr>
            <w:tcW w:w="5804" w:type="dxa"/>
            <w:gridSpan w:val="4"/>
            <w:tcBorders>
              <w:top w:val="single" w:sz="4" w:space="0" w:color="auto"/>
            </w:tcBorders>
            <w:vAlign w:val="center"/>
          </w:tcPr>
          <w:p w14:paraId="500BAC36" w14:textId="77777777" w:rsidR="00D55DC5" w:rsidRPr="00674605" w:rsidRDefault="00D55DC5" w:rsidP="008009D0">
            <w:pPr>
              <w:jc w:val="both"/>
              <w:rPr>
                <w:rFonts w:cs="Arial"/>
                <w:b/>
                <w:sz w:val="22"/>
                <w:szCs w:val="22"/>
              </w:rPr>
            </w:pPr>
            <w:r>
              <w:rPr>
                <w:rFonts w:cs="Arial"/>
                <w:b/>
                <w:sz w:val="22"/>
                <w:szCs w:val="22"/>
              </w:rPr>
              <w:t>Condition</w:t>
            </w:r>
          </w:p>
        </w:tc>
      </w:tr>
      <w:tr w:rsidR="00D55DC5" w:rsidRPr="00674605" w14:paraId="2DC7249A" w14:textId="77777777" w:rsidTr="00E615F6">
        <w:trPr>
          <w:trHeight w:val="170"/>
        </w:trPr>
        <w:tc>
          <w:tcPr>
            <w:tcW w:w="2026" w:type="dxa"/>
            <w:gridSpan w:val="3"/>
            <w:vMerge/>
            <w:vAlign w:val="center"/>
          </w:tcPr>
          <w:p w14:paraId="585B3689" w14:textId="77777777" w:rsidR="00D55DC5" w:rsidRDefault="00D55DC5" w:rsidP="008009D0">
            <w:pPr>
              <w:jc w:val="both"/>
              <w:rPr>
                <w:rFonts w:cs="Arial"/>
                <w:b/>
                <w:sz w:val="22"/>
                <w:szCs w:val="22"/>
              </w:rPr>
            </w:pPr>
          </w:p>
        </w:tc>
        <w:tc>
          <w:tcPr>
            <w:tcW w:w="1438" w:type="dxa"/>
            <w:vAlign w:val="center"/>
          </w:tcPr>
          <w:p w14:paraId="3E481D95" w14:textId="77777777" w:rsidR="00D55DC5" w:rsidRDefault="00D55DC5" w:rsidP="008009D0">
            <w:pPr>
              <w:jc w:val="both"/>
              <w:rPr>
                <w:rFonts w:cs="Arial"/>
                <w:b/>
                <w:sz w:val="22"/>
                <w:szCs w:val="22"/>
              </w:rPr>
            </w:pPr>
            <w:r>
              <w:rPr>
                <w:rFonts w:cs="Arial"/>
                <w:b/>
                <w:sz w:val="22"/>
                <w:szCs w:val="22"/>
              </w:rPr>
              <w:t>OFF-ST</w:t>
            </w:r>
          </w:p>
        </w:tc>
        <w:tc>
          <w:tcPr>
            <w:tcW w:w="1438" w:type="dxa"/>
            <w:vAlign w:val="center"/>
          </w:tcPr>
          <w:p w14:paraId="6FA3A19C" w14:textId="77777777" w:rsidR="00D55DC5" w:rsidRDefault="00D55DC5" w:rsidP="008009D0">
            <w:pPr>
              <w:jc w:val="both"/>
              <w:rPr>
                <w:rFonts w:cs="Arial"/>
                <w:b/>
                <w:sz w:val="22"/>
                <w:szCs w:val="22"/>
              </w:rPr>
            </w:pPr>
            <w:r>
              <w:rPr>
                <w:rFonts w:cs="Arial"/>
                <w:b/>
                <w:sz w:val="22"/>
                <w:szCs w:val="22"/>
              </w:rPr>
              <w:t>OFF-DT</w:t>
            </w:r>
          </w:p>
        </w:tc>
        <w:tc>
          <w:tcPr>
            <w:tcW w:w="1438" w:type="dxa"/>
            <w:vAlign w:val="center"/>
          </w:tcPr>
          <w:p w14:paraId="737BDE9F" w14:textId="77777777" w:rsidR="00D55DC5" w:rsidRDefault="00D55DC5" w:rsidP="008009D0">
            <w:pPr>
              <w:jc w:val="both"/>
              <w:rPr>
                <w:rFonts w:cs="Arial"/>
                <w:b/>
                <w:sz w:val="22"/>
                <w:szCs w:val="22"/>
              </w:rPr>
            </w:pPr>
            <w:r>
              <w:rPr>
                <w:rFonts w:cs="Arial"/>
                <w:b/>
                <w:sz w:val="22"/>
                <w:szCs w:val="22"/>
              </w:rPr>
              <w:t>ON-ST</w:t>
            </w:r>
          </w:p>
        </w:tc>
        <w:tc>
          <w:tcPr>
            <w:tcW w:w="1490" w:type="dxa"/>
            <w:vAlign w:val="center"/>
          </w:tcPr>
          <w:p w14:paraId="72186AD3" w14:textId="77777777" w:rsidR="00D55DC5" w:rsidRDefault="00D55DC5" w:rsidP="008009D0">
            <w:pPr>
              <w:jc w:val="both"/>
              <w:rPr>
                <w:rFonts w:cs="Arial"/>
                <w:b/>
                <w:sz w:val="22"/>
                <w:szCs w:val="22"/>
              </w:rPr>
            </w:pPr>
            <w:r>
              <w:rPr>
                <w:rFonts w:cs="Arial"/>
                <w:b/>
                <w:sz w:val="22"/>
                <w:szCs w:val="22"/>
              </w:rPr>
              <w:t>ON-DT</w:t>
            </w:r>
          </w:p>
        </w:tc>
      </w:tr>
      <w:tr w:rsidR="00D55DC5" w:rsidRPr="00674605" w14:paraId="5731F856" w14:textId="77777777" w:rsidTr="00E615F6">
        <w:tc>
          <w:tcPr>
            <w:tcW w:w="2026" w:type="dxa"/>
            <w:gridSpan w:val="3"/>
            <w:tcBorders>
              <w:top w:val="single" w:sz="4" w:space="0" w:color="auto"/>
            </w:tcBorders>
          </w:tcPr>
          <w:p w14:paraId="4BD3FCD7" w14:textId="77777777" w:rsidR="00D55DC5" w:rsidRPr="00674605" w:rsidRDefault="00D55DC5" w:rsidP="008009D0">
            <w:pPr>
              <w:tabs>
                <w:tab w:val="center" w:pos="972"/>
              </w:tabs>
              <w:jc w:val="both"/>
              <w:rPr>
                <w:rFonts w:cs="Arial"/>
                <w:sz w:val="22"/>
                <w:szCs w:val="22"/>
              </w:rPr>
            </w:pPr>
            <w:r>
              <w:rPr>
                <w:rFonts w:cs="Arial"/>
                <w:sz w:val="22"/>
                <w:szCs w:val="22"/>
              </w:rPr>
              <w:t>More-Affected</w:t>
            </w:r>
            <w:r>
              <w:rPr>
                <w:rFonts w:cs="Arial"/>
                <w:sz w:val="22"/>
                <w:szCs w:val="22"/>
              </w:rPr>
              <w:tab/>
            </w:r>
          </w:p>
        </w:tc>
        <w:tc>
          <w:tcPr>
            <w:tcW w:w="1438" w:type="dxa"/>
            <w:tcBorders>
              <w:top w:val="single" w:sz="4" w:space="0" w:color="auto"/>
            </w:tcBorders>
          </w:tcPr>
          <w:p w14:paraId="1E97963B" w14:textId="77777777" w:rsidR="00D55DC5" w:rsidRPr="00674605" w:rsidRDefault="00D55DC5" w:rsidP="008009D0">
            <w:pPr>
              <w:jc w:val="both"/>
              <w:rPr>
                <w:rFonts w:cs="Arial"/>
                <w:sz w:val="22"/>
                <w:szCs w:val="22"/>
              </w:rPr>
            </w:pPr>
          </w:p>
        </w:tc>
        <w:tc>
          <w:tcPr>
            <w:tcW w:w="1438" w:type="dxa"/>
            <w:tcBorders>
              <w:top w:val="single" w:sz="4" w:space="0" w:color="auto"/>
            </w:tcBorders>
          </w:tcPr>
          <w:p w14:paraId="386B0BE8" w14:textId="77777777" w:rsidR="00D55DC5" w:rsidRPr="00674605" w:rsidRDefault="00D55DC5" w:rsidP="008009D0">
            <w:pPr>
              <w:jc w:val="both"/>
              <w:rPr>
                <w:rFonts w:cs="Arial"/>
                <w:sz w:val="22"/>
                <w:szCs w:val="22"/>
              </w:rPr>
            </w:pPr>
          </w:p>
        </w:tc>
        <w:tc>
          <w:tcPr>
            <w:tcW w:w="1438" w:type="dxa"/>
            <w:tcBorders>
              <w:top w:val="single" w:sz="4" w:space="0" w:color="auto"/>
            </w:tcBorders>
          </w:tcPr>
          <w:p w14:paraId="7DB49F24" w14:textId="77777777" w:rsidR="00D55DC5" w:rsidRPr="00674605" w:rsidRDefault="00D55DC5" w:rsidP="008009D0">
            <w:pPr>
              <w:jc w:val="both"/>
              <w:rPr>
                <w:rFonts w:cs="Arial"/>
                <w:sz w:val="22"/>
                <w:szCs w:val="22"/>
              </w:rPr>
            </w:pPr>
          </w:p>
        </w:tc>
        <w:tc>
          <w:tcPr>
            <w:tcW w:w="1490" w:type="dxa"/>
            <w:tcBorders>
              <w:top w:val="single" w:sz="4" w:space="0" w:color="auto"/>
            </w:tcBorders>
          </w:tcPr>
          <w:p w14:paraId="154A1C72" w14:textId="77777777" w:rsidR="00D55DC5" w:rsidRPr="00674605" w:rsidRDefault="00D55DC5" w:rsidP="008009D0">
            <w:pPr>
              <w:jc w:val="both"/>
              <w:rPr>
                <w:rFonts w:cs="Arial"/>
                <w:sz w:val="22"/>
                <w:szCs w:val="22"/>
              </w:rPr>
            </w:pPr>
          </w:p>
        </w:tc>
      </w:tr>
      <w:tr w:rsidR="00D55DC5" w:rsidRPr="00674605" w14:paraId="5E6CB292" w14:textId="77777777" w:rsidTr="00E615F6">
        <w:tc>
          <w:tcPr>
            <w:tcW w:w="1080" w:type="dxa"/>
          </w:tcPr>
          <w:p w14:paraId="3310DA8D" w14:textId="77777777" w:rsidR="00D55DC5" w:rsidRPr="00674605" w:rsidRDefault="00D55DC5" w:rsidP="008009D0">
            <w:pPr>
              <w:jc w:val="both"/>
              <w:rPr>
                <w:rFonts w:cs="Arial"/>
                <w:sz w:val="22"/>
                <w:szCs w:val="22"/>
              </w:rPr>
            </w:pPr>
            <w:r>
              <w:rPr>
                <w:rFonts w:cs="Arial"/>
                <w:sz w:val="22"/>
                <w:szCs w:val="22"/>
              </w:rPr>
              <w:t>Hip</w:t>
            </w:r>
          </w:p>
        </w:tc>
        <w:tc>
          <w:tcPr>
            <w:tcW w:w="946" w:type="dxa"/>
            <w:gridSpan w:val="2"/>
          </w:tcPr>
          <w:p w14:paraId="289D2EDD" w14:textId="77777777" w:rsidR="00D55DC5" w:rsidRPr="00674605" w:rsidRDefault="00D55DC5" w:rsidP="008009D0">
            <w:pPr>
              <w:jc w:val="both"/>
              <w:rPr>
                <w:rFonts w:cs="Arial"/>
                <w:sz w:val="22"/>
                <w:szCs w:val="22"/>
              </w:rPr>
            </w:pPr>
          </w:p>
        </w:tc>
        <w:tc>
          <w:tcPr>
            <w:tcW w:w="1438" w:type="dxa"/>
          </w:tcPr>
          <w:p w14:paraId="311B8D62" w14:textId="77777777" w:rsidR="00D55DC5" w:rsidRPr="00674605" w:rsidRDefault="00D55DC5" w:rsidP="008009D0">
            <w:pPr>
              <w:jc w:val="both"/>
              <w:rPr>
                <w:rFonts w:cs="Arial"/>
                <w:sz w:val="22"/>
                <w:szCs w:val="22"/>
              </w:rPr>
            </w:pPr>
          </w:p>
        </w:tc>
        <w:tc>
          <w:tcPr>
            <w:tcW w:w="1438" w:type="dxa"/>
          </w:tcPr>
          <w:p w14:paraId="090BABD1" w14:textId="77777777" w:rsidR="00D55DC5" w:rsidRPr="00674605" w:rsidRDefault="00D55DC5" w:rsidP="008009D0">
            <w:pPr>
              <w:jc w:val="both"/>
              <w:rPr>
                <w:rFonts w:cs="Arial"/>
                <w:sz w:val="22"/>
                <w:szCs w:val="22"/>
              </w:rPr>
            </w:pPr>
          </w:p>
        </w:tc>
        <w:tc>
          <w:tcPr>
            <w:tcW w:w="1438" w:type="dxa"/>
          </w:tcPr>
          <w:p w14:paraId="1FCB21C8" w14:textId="77777777" w:rsidR="00D55DC5" w:rsidRPr="00674605" w:rsidRDefault="00D55DC5" w:rsidP="008009D0">
            <w:pPr>
              <w:jc w:val="both"/>
              <w:rPr>
                <w:rFonts w:cs="Arial"/>
                <w:sz w:val="22"/>
                <w:szCs w:val="22"/>
              </w:rPr>
            </w:pPr>
          </w:p>
        </w:tc>
        <w:tc>
          <w:tcPr>
            <w:tcW w:w="1490" w:type="dxa"/>
          </w:tcPr>
          <w:p w14:paraId="4EDBB99E" w14:textId="77777777" w:rsidR="00D55DC5" w:rsidRPr="00674605" w:rsidRDefault="00D55DC5" w:rsidP="008009D0">
            <w:pPr>
              <w:jc w:val="both"/>
              <w:rPr>
                <w:rFonts w:cs="Arial"/>
                <w:sz w:val="22"/>
                <w:szCs w:val="22"/>
              </w:rPr>
            </w:pPr>
          </w:p>
        </w:tc>
      </w:tr>
      <w:tr w:rsidR="00D55DC5" w:rsidRPr="00674605" w14:paraId="1FA4E619" w14:textId="77777777" w:rsidTr="00E615F6">
        <w:tc>
          <w:tcPr>
            <w:tcW w:w="2026" w:type="dxa"/>
            <w:gridSpan w:val="3"/>
          </w:tcPr>
          <w:p w14:paraId="0B0B7285" w14:textId="77777777" w:rsidR="00D55DC5" w:rsidRPr="00674605" w:rsidRDefault="00D55DC5" w:rsidP="008009D0">
            <w:pPr>
              <w:jc w:val="both"/>
              <w:rPr>
                <w:rFonts w:cs="Arial"/>
                <w:sz w:val="22"/>
                <w:szCs w:val="22"/>
              </w:rPr>
            </w:pPr>
            <w:r>
              <w:rPr>
                <w:rFonts w:cs="Arial"/>
                <w:sz w:val="22"/>
                <w:szCs w:val="22"/>
              </w:rPr>
              <w:t>%REC</w:t>
            </w:r>
          </w:p>
        </w:tc>
        <w:tc>
          <w:tcPr>
            <w:tcW w:w="1438" w:type="dxa"/>
          </w:tcPr>
          <w:p w14:paraId="513505DF" w14:textId="77777777" w:rsidR="00D55DC5" w:rsidRPr="00674605" w:rsidRDefault="00D55DC5" w:rsidP="00D24B6C">
            <w:pPr>
              <w:jc w:val="center"/>
              <w:rPr>
                <w:rFonts w:cs="Arial"/>
                <w:sz w:val="22"/>
                <w:szCs w:val="22"/>
              </w:rPr>
            </w:pPr>
            <w:r>
              <w:rPr>
                <w:rFonts w:cs="Arial"/>
                <w:sz w:val="22"/>
                <w:szCs w:val="22"/>
              </w:rPr>
              <w:t>2.40 ± 0.38</w:t>
            </w:r>
          </w:p>
        </w:tc>
        <w:tc>
          <w:tcPr>
            <w:tcW w:w="1438" w:type="dxa"/>
          </w:tcPr>
          <w:p w14:paraId="7A2F26A2" w14:textId="77777777" w:rsidR="00D55DC5" w:rsidRPr="00674605" w:rsidRDefault="00D55DC5" w:rsidP="00D24B6C">
            <w:pPr>
              <w:jc w:val="center"/>
              <w:rPr>
                <w:rFonts w:cs="Arial"/>
                <w:sz w:val="22"/>
                <w:szCs w:val="22"/>
              </w:rPr>
            </w:pPr>
            <w:r>
              <w:rPr>
                <w:rFonts w:cs="Arial"/>
                <w:sz w:val="22"/>
                <w:szCs w:val="22"/>
              </w:rPr>
              <w:t>2.38 ± 0.31</w:t>
            </w:r>
          </w:p>
        </w:tc>
        <w:tc>
          <w:tcPr>
            <w:tcW w:w="1438" w:type="dxa"/>
          </w:tcPr>
          <w:p w14:paraId="7DEA00E5" w14:textId="77777777" w:rsidR="00D55DC5" w:rsidRPr="00674605" w:rsidRDefault="00D55DC5" w:rsidP="00D24B6C">
            <w:pPr>
              <w:jc w:val="center"/>
              <w:rPr>
                <w:rFonts w:cs="Arial"/>
                <w:sz w:val="22"/>
                <w:szCs w:val="22"/>
              </w:rPr>
            </w:pPr>
            <w:r>
              <w:rPr>
                <w:rFonts w:cs="Arial"/>
                <w:sz w:val="22"/>
                <w:szCs w:val="22"/>
              </w:rPr>
              <w:t>2.47 ± 0.49</w:t>
            </w:r>
          </w:p>
        </w:tc>
        <w:tc>
          <w:tcPr>
            <w:tcW w:w="1490" w:type="dxa"/>
          </w:tcPr>
          <w:p w14:paraId="15314EB3" w14:textId="77777777" w:rsidR="00D55DC5" w:rsidRPr="00674605" w:rsidRDefault="00D55DC5" w:rsidP="00D24B6C">
            <w:pPr>
              <w:jc w:val="center"/>
              <w:rPr>
                <w:rFonts w:cs="Arial"/>
                <w:sz w:val="22"/>
                <w:szCs w:val="22"/>
              </w:rPr>
            </w:pPr>
            <w:r>
              <w:rPr>
                <w:rFonts w:cs="Arial"/>
                <w:sz w:val="22"/>
                <w:szCs w:val="22"/>
              </w:rPr>
              <w:t>2.57 ± 0.52</w:t>
            </w:r>
          </w:p>
        </w:tc>
      </w:tr>
      <w:tr w:rsidR="00D55DC5" w:rsidRPr="00674605" w14:paraId="1B7A749E" w14:textId="77777777" w:rsidTr="00E615F6">
        <w:tc>
          <w:tcPr>
            <w:tcW w:w="2026" w:type="dxa"/>
            <w:gridSpan w:val="3"/>
          </w:tcPr>
          <w:p w14:paraId="141C01FC" w14:textId="77777777" w:rsidR="00D55DC5" w:rsidRDefault="00D55DC5" w:rsidP="008009D0">
            <w:pPr>
              <w:jc w:val="both"/>
              <w:rPr>
                <w:rFonts w:cs="Arial"/>
                <w:sz w:val="22"/>
                <w:szCs w:val="22"/>
              </w:rPr>
            </w:pPr>
            <w:r>
              <w:rPr>
                <w:rFonts w:cs="Arial"/>
                <w:sz w:val="22"/>
                <w:szCs w:val="22"/>
              </w:rPr>
              <w:t>Dimension</w:t>
            </w:r>
          </w:p>
        </w:tc>
        <w:tc>
          <w:tcPr>
            <w:tcW w:w="1438" w:type="dxa"/>
          </w:tcPr>
          <w:p w14:paraId="1184DD2B" w14:textId="77777777" w:rsidR="00D55DC5" w:rsidRPr="00674605" w:rsidRDefault="00D55DC5" w:rsidP="00D24B6C">
            <w:pPr>
              <w:jc w:val="center"/>
              <w:rPr>
                <w:rFonts w:cs="Arial"/>
                <w:sz w:val="22"/>
                <w:szCs w:val="22"/>
              </w:rPr>
            </w:pPr>
            <w:r>
              <w:rPr>
                <w:rFonts w:cs="Arial"/>
                <w:sz w:val="22"/>
                <w:szCs w:val="22"/>
              </w:rPr>
              <w:t>3.94 ± 0.57</w:t>
            </w:r>
          </w:p>
        </w:tc>
        <w:tc>
          <w:tcPr>
            <w:tcW w:w="1438" w:type="dxa"/>
          </w:tcPr>
          <w:p w14:paraId="31256C13" w14:textId="77777777" w:rsidR="00D55DC5" w:rsidRPr="00674605" w:rsidRDefault="00D55DC5" w:rsidP="00D24B6C">
            <w:pPr>
              <w:jc w:val="center"/>
              <w:rPr>
                <w:rFonts w:cs="Arial"/>
                <w:sz w:val="22"/>
                <w:szCs w:val="22"/>
              </w:rPr>
            </w:pPr>
            <w:r>
              <w:rPr>
                <w:rFonts w:cs="Arial"/>
                <w:sz w:val="22"/>
                <w:szCs w:val="22"/>
              </w:rPr>
              <w:t>3.94 ± 0.57</w:t>
            </w:r>
          </w:p>
        </w:tc>
        <w:tc>
          <w:tcPr>
            <w:tcW w:w="1438" w:type="dxa"/>
          </w:tcPr>
          <w:p w14:paraId="03AFEA40" w14:textId="77777777" w:rsidR="00D55DC5" w:rsidRPr="00674605" w:rsidRDefault="00D55DC5" w:rsidP="00D24B6C">
            <w:pPr>
              <w:jc w:val="center"/>
              <w:rPr>
                <w:rFonts w:cs="Arial"/>
                <w:sz w:val="22"/>
                <w:szCs w:val="22"/>
              </w:rPr>
            </w:pPr>
            <w:r>
              <w:rPr>
                <w:rFonts w:cs="Arial"/>
                <w:sz w:val="22"/>
                <w:szCs w:val="22"/>
              </w:rPr>
              <w:t>3.75 ± 0.45</w:t>
            </w:r>
          </w:p>
        </w:tc>
        <w:tc>
          <w:tcPr>
            <w:tcW w:w="1490" w:type="dxa"/>
          </w:tcPr>
          <w:p w14:paraId="0EBA4875" w14:textId="77777777" w:rsidR="00D55DC5" w:rsidRPr="00674605" w:rsidRDefault="00D55DC5" w:rsidP="00D24B6C">
            <w:pPr>
              <w:jc w:val="center"/>
              <w:rPr>
                <w:rFonts w:cs="Arial"/>
                <w:sz w:val="22"/>
                <w:szCs w:val="22"/>
              </w:rPr>
            </w:pPr>
            <w:r>
              <w:rPr>
                <w:rFonts w:cs="Arial"/>
                <w:sz w:val="22"/>
                <w:szCs w:val="22"/>
              </w:rPr>
              <w:t>3.75 ± 0.58</w:t>
            </w:r>
          </w:p>
        </w:tc>
      </w:tr>
      <w:tr w:rsidR="00D55DC5" w:rsidRPr="00674605" w14:paraId="35ABB18D" w14:textId="77777777" w:rsidTr="00E615F6">
        <w:tc>
          <w:tcPr>
            <w:tcW w:w="2026" w:type="dxa"/>
            <w:gridSpan w:val="3"/>
          </w:tcPr>
          <w:p w14:paraId="27ECCAED" w14:textId="77777777" w:rsidR="00D55DC5" w:rsidRDefault="00D55DC5" w:rsidP="008009D0">
            <w:pPr>
              <w:jc w:val="both"/>
              <w:rPr>
                <w:rFonts w:cs="Arial"/>
                <w:sz w:val="22"/>
                <w:szCs w:val="22"/>
              </w:rPr>
            </w:pPr>
            <w:r>
              <w:rPr>
                <w:rFonts w:cs="Arial"/>
                <w:sz w:val="22"/>
                <w:szCs w:val="22"/>
              </w:rPr>
              <w:t>Threshold</w:t>
            </w:r>
          </w:p>
        </w:tc>
        <w:tc>
          <w:tcPr>
            <w:tcW w:w="1438" w:type="dxa"/>
          </w:tcPr>
          <w:p w14:paraId="4231B48C" w14:textId="77777777" w:rsidR="00D55DC5" w:rsidRPr="00674605" w:rsidRDefault="00D55DC5" w:rsidP="00D24B6C">
            <w:pPr>
              <w:jc w:val="center"/>
              <w:rPr>
                <w:rFonts w:cs="Arial"/>
                <w:sz w:val="22"/>
                <w:szCs w:val="22"/>
              </w:rPr>
            </w:pPr>
            <w:r>
              <w:rPr>
                <w:rFonts w:cs="Arial"/>
                <w:sz w:val="22"/>
                <w:szCs w:val="22"/>
              </w:rPr>
              <w:t>0.13 ± 0.02</w:t>
            </w:r>
          </w:p>
        </w:tc>
        <w:tc>
          <w:tcPr>
            <w:tcW w:w="1438" w:type="dxa"/>
          </w:tcPr>
          <w:p w14:paraId="07E83F85" w14:textId="77777777" w:rsidR="00D55DC5" w:rsidRPr="00674605" w:rsidRDefault="00D55DC5" w:rsidP="00D24B6C">
            <w:pPr>
              <w:jc w:val="center"/>
              <w:rPr>
                <w:rFonts w:cs="Arial"/>
                <w:sz w:val="22"/>
                <w:szCs w:val="22"/>
              </w:rPr>
            </w:pPr>
            <w:r>
              <w:rPr>
                <w:rFonts w:cs="Arial"/>
                <w:sz w:val="22"/>
                <w:szCs w:val="22"/>
              </w:rPr>
              <w:t>0.13 ± 0.01</w:t>
            </w:r>
          </w:p>
        </w:tc>
        <w:tc>
          <w:tcPr>
            <w:tcW w:w="1438" w:type="dxa"/>
          </w:tcPr>
          <w:p w14:paraId="73D990ED" w14:textId="77777777" w:rsidR="00D55DC5" w:rsidRPr="00674605" w:rsidRDefault="00D55DC5" w:rsidP="00D24B6C">
            <w:pPr>
              <w:jc w:val="center"/>
              <w:rPr>
                <w:rFonts w:cs="Arial"/>
                <w:sz w:val="22"/>
                <w:szCs w:val="22"/>
              </w:rPr>
            </w:pPr>
            <w:r>
              <w:rPr>
                <w:rFonts w:cs="Arial"/>
                <w:sz w:val="22"/>
                <w:szCs w:val="22"/>
              </w:rPr>
              <w:t>0.14 ± 0.02</w:t>
            </w:r>
          </w:p>
        </w:tc>
        <w:tc>
          <w:tcPr>
            <w:tcW w:w="1490" w:type="dxa"/>
          </w:tcPr>
          <w:p w14:paraId="7C99DC77" w14:textId="77777777" w:rsidR="00D55DC5" w:rsidRPr="00674605" w:rsidRDefault="00D55DC5" w:rsidP="00D24B6C">
            <w:pPr>
              <w:jc w:val="center"/>
              <w:rPr>
                <w:rFonts w:cs="Arial"/>
                <w:sz w:val="22"/>
                <w:szCs w:val="22"/>
              </w:rPr>
            </w:pPr>
            <w:r>
              <w:rPr>
                <w:rFonts w:cs="Arial"/>
                <w:sz w:val="22"/>
                <w:szCs w:val="22"/>
              </w:rPr>
              <w:t>0.14 ± 0.01</w:t>
            </w:r>
          </w:p>
        </w:tc>
      </w:tr>
      <w:tr w:rsidR="00D55DC5" w:rsidRPr="00674605" w14:paraId="159E292C" w14:textId="77777777" w:rsidTr="00E615F6">
        <w:tc>
          <w:tcPr>
            <w:tcW w:w="1224" w:type="dxa"/>
            <w:gridSpan w:val="2"/>
          </w:tcPr>
          <w:p w14:paraId="16C72C7E" w14:textId="77777777" w:rsidR="00D55DC5" w:rsidRDefault="00D55DC5" w:rsidP="008009D0">
            <w:pPr>
              <w:jc w:val="both"/>
              <w:rPr>
                <w:rFonts w:cs="Arial"/>
                <w:sz w:val="22"/>
                <w:szCs w:val="22"/>
              </w:rPr>
            </w:pPr>
            <w:r>
              <w:rPr>
                <w:rFonts w:cs="Arial"/>
                <w:sz w:val="22"/>
                <w:szCs w:val="22"/>
              </w:rPr>
              <w:t>Knee</w:t>
            </w:r>
          </w:p>
        </w:tc>
        <w:tc>
          <w:tcPr>
            <w:tcW w:w="802" w:type="dxa"/>
          </w:tcPr>
          <w:p w14:paraId="72028F13" w14:textId="77777777" w:rsidR="00D55DC5" w:rsidRDefault="00D55DC5" w:rsidP="008009D0">
            <w:pPr>
              <w:jc w:val="both"/>
              <w:rPr>
                <w:rFonts w:cs="Arial"/>
                <w:sz w:val="22"/>
                <w:szCs w:val="22"/>
              </w:rPr>
            </w:pPr>
          </w:p>
        </w:tc>
        <w:tc>
          <w:tcPr>
            <w:tcW w:w="1438" w:type="dxa"/>
          </w:tcPr>
          <w:p w14:paraId="6737B9AC" w14:textId="77777777" w:rsidR="00D55DC5" w:rsidRPr="00674605" w:rsidRDefault="00D55DC5" w:rsidP="00D24B6C">
            <w:pPr>
              <w:jc w:val="center"/>
              <w:rPr>
                <w:rFonts w:cs="Arial"/>
                <w:sz w:val="22"/>
                <w:szCs w:val="22"/>
              </w:rPr>
            </w:pPr>
          </w:p>
        </w:tc>
        <w:tc>
          <w:tcPr>
            <w:tcW w:w="1438" w:type="dxa"/>
          </w:tcPr>
          <w:p w14:paraId="5FDAD95E" w14:textId="77777777" w:rsidR="00D55DC5" w:rsidRPr="00674605" w:rsidRDefault="00D55DC5" w:rsidP="00D24B6C">
            <w:pPr>
              <w:jc w:val="center"/>
              <w:rPr>
                <w:rFonts w:cs="Arial"/>
                <w:sz w:val="22"/>
                <w:szCs w:val="22"/>
              </w:rPr>
            </w:pPr>
          </w:p>
        </w:tc>
        <w:tc>
          <w:tcPr>
            <w:tcW w:w="1438" w:type="dxa"/>
          </w:tcPr>
          <w:p w14:paraId="69D1DBD7" w14:textId="77777777" w:rsidR="00D55DC5" w:rsidRPr="00674605" w:rsidRDefault="00D55DC5" w:rsidP="00D24B6C">
            <w:pPr>
              <w:jc w:val="center"/>
              <w:rPr>
                <w:rFonts w:cs="Arial"/>
                <w:sz w:val="22"/>
                <w:szCs w:val="22"/>
              </w:rPr>
            </w:pPr>
          </w:p>
        </w:tc>
        <w:tc>
          <w:tcPr>
            <w:tcW w:w="1490" w:type="dxa"/>
          </w:tcPr>
          <w:p w14:paraId="32EBA824" w14:textId="77777777" w:rsidR="00D55DC5" w:rsidRPr="00674605" w:rsidRDefault="00D55DC5" w:rsidP="00D24B6C">
            <w:pPr>
              <w:jc w:val="center"/>
              <w:rPr>
                <w:rFonts w:cs="Arial"/>
                <w:sz w:val="22"/>
                <w:szCs w:val="22"/>
              </w:rPr>
            </w:pPr>
          </w:p>
        </w:tc>
      </w:tr>
      <w:tr w:rsidR="00D55DC5" w:rsidRPr="00674605" w14:paraId="1ECFE7E1" w14:textId="77777777" w:rsidTr="00E615F6">
        <w:tc>
          <w:tcPr>
            <w:tcW w:w="2026" w:type="dxa"/>
            <w:gridSpan w:val="3"/>
          </w:tcPr>
          <w:p w14:paraId="6F9E4A62" w14:textId="77777777" w:rsidR="00D55DC5" w:rsidRDefault="00D55DC5" w:rsidP="008009D0">
            <w:pPr>
              <w:jc w:val="both"/>
              <w:rPr>
                <w:rFonts w:cs="Arial"/>
                <w:sz w:val="22"/>
                <w:szCs w:val="22"/>
              </w:rPr>
            </w:pPr>
            <w:r>
              <w:rPr>
                <w:rFonts w:cs="Arial"/>
                <w:sz w:val="22"/>
                <w:szCs w:val="22"/>
              </w:rPr>
              <w:t>%REC</w:t>
            </w:r>
          </w:p>
        </w:tc>
        <w:tc>
          <w:tcPr>
            <w:tcW w:w="1438" w:type="dxa"/>
          </w:tcPr>
          <w:p w14:paraId="269883CB" w14:textId="77777777" w:rsidR="00D55DC5" w:rsidRPr="00674605" w:rsidRDefault="00D55DC5" w:rsidP="00D24B6C">
            <w:pPr>
              <w:jc w:val="center"/>
              <w:rPr>
                <w:rFonts w:cs="Arial"/>
                <w:sz w:val="22"/>
                <w:szCs w:val="22"/>
              </w:rPr>
            </w:pPr>
            <w:r>
              <w:rPr>
                <w:rFonts w:cs="Arial"/>
                <w:sz w:val="22"/>
                <w:szCs w:val="22"/>
              </w:rPr>
              <w:t>2.64 ± 0.50</w:t>
            </w:r>
          </w:p>
        </w:tc>
        <w:tc>
          <w:tcPr>
            <w:tcW w:w="1438" w:type="dxa"/>
          </w:tcPr>
          <w:p w14:paraId="4404D5B1" w14:textId="77777777" w:rsidR="00D55DC5" w:rsidRPr="00674605" w:rsidRDefault="00D55DC5" w:rsidP="00D24B6C">
            <w:pPr>
              <w:jc w:val="center"/>
              <w:rPr>
                <w:rFonts w:cs="Arial"/>
                <w:sz w:val="22"/>
                <w:szCs w:val="22"/>
              </w:rPr>
            </w:pPr>
            <w:r>
              <w:rPr>
                <w:rFonts w:cs="Arial"/>
                <w:sz w:val="22"/>
                <w:szCs w:val="22"/>
              </w:rPr>
              <w:t>2.53 ± 0.53</w:t>
            </w:r>
          </w:p>
        </w:tc>
        <w:tc>
          <w:tcPr>
            <w:tcW w:w="1438" w:type="dxa"/>
          </w:tcPr>
          <w:p w14:paraId="0886C411" w14:textId="77777777" w:rsidR="00D55DC5" w:rsidRPr="00674605" w:rsidRDefault="00D55DC5" w:rsidP="00D24B6C">
            <w:pPr>
              <w:jc w:val="center"/>
              <w:rPr>
                <w:rFonts w:cs="Arial"/>
                <w:sz w:val="22"/>
                <w:szCs w:val="22"/>
              </w:rPr>
            </w:pPr>
            <w:r>
              <w:rPr>
                <w:rFonts w:cs="Arial"/>
                <w:sz w:val="22"/>
                <w:szCs w:val="22"/>
              </w:rPr>
              <w:t>2.35 ± 0.69</w:t>
            </w:r>
          </w:p>
        </w:tc>
        <w:tc>
          <w:tcPr>
            <w:tcW w:w="1490" w:type="dxa"/>
          </w:tcPr>
          <w:p w14:paraId="351C6EB5" w14:textId="77777777" w:rsidR="00D55DC5" w:rsidRPr="00674605" w:rsidRDefault="00D55DC5" w:rsidP="00D24B6C">
            <w:pPr>
              <w:jc w:val="center"/>
              <w:rPr>
                <w:rFonts w:cs="Arial"/>
                <w:sz w:val="22"/>
                <w:szCs w:val="22"/>
              </w:rPr>
            </w:pPr>
            <w:r>
              <w:rPr>
                <w:rFonts w:cs="Arial"/>
                <w:sz w:val="22"/>
                <w:szCs w:val="22"/>
              </w:rPr>
              <w:t>2.52 ± 0.43</w:t>
            </w:r>
          </w:p>
        </w:tc>
      </w:tr>
      <w:tr w:rsidR="00D55DC5" w:rsidRPr="00674605" w14:paraId="356B9E2E" w14:textId="77777777" w:rsidTr="00E615F6">
        <w:tc>
          <w:tcPr>
            <w:tcW w:w="2026" w:type="dxa"/>
            <w:gridSpan w:val="3"/>
          </w:tcPr>
          <w:p w14:paraId="28FF5936" w14:textId="77777777" w:rsidR="00D55DC5" w:rsidRDefault="00D55DC5" w:rsidP="008009D0">
            <w:pPr>
              <w:jc w:val="both"/>
              <w:rPr>
                <w:rFonts w:cs="Arial"/>
                <w:sz w:val="22"/>
                <w:szCs w:val="22"/>
              </w:rPr>
            </w:pPr>
            <w:r>
              <w:rPr>
                <w:rFonts w:cs="Arial"/>
                <w:sz w:val="22"/>
                <w:szCs w:val="22"/>
              </w:rPr>
              <w:t>Dimension</w:t>
            </w:r>
          </w:p>
        </w:tc>
        <w:tc>
          <w:tcPr>
            <w:tcW w:w="1438" w:type="dxa"/>
          </w:tcPr>
          <w:p w14:paraId="670E487A" w14:textId="77777777" w:rsidR="00D55DC5" w:rsidRPr="00674605" w:rsidRDefault="00D55DC5" w:rsidP="00D24B6C">
            <w:pPr>
              <w:jc w:val="center"/>
              <w:rPr>
                <w:rFonts w:cs="Arial"/>
                <w:sz w:val="22"/>
                <w:szCs w:val="22"/>
              </w:rPr>
            </w:pPr>
            <w:r>
              <w:rPr>
                <w:rFonts w:cs="Arial"/>
                <w:sz w:val="22"/>
                <w:szCs w:val="22"/>
              </w:rPr>
              <w:t>3.50 ± 0.73</w:t>
            </w:r>
          </w:p>
        </w:tc>
        <w:tc>
          <w:tcPr>
            <w:tcW w:w="1438" w:type="dxa"/>
          </w:tcPr>
          <w:p w14:paraId="29FF64B0" w14:textId="77777777" w:rsidR="00D55DC5" w:rsidRPr="00674605" w:rsidRDefault="00D55DC5" w:rsidP="00D24B6C">
            <w:pPr>
              <w:jc w:val="center"/>
              <w:rPr>
                <w:rFonts w:cs="Arial"/>
                <w:sz w:val="22"/>
                <w:szCs w:val="22"/>
              </w:rPr>
            </w:pPr>
            <w:r>
              <w:rPr>
                <w:rFonts w:cs="Arial"/>
                <w:sz w:val="22"/>
                <w:szCs w:val="22"/>
              </w:rPr>
              <w:t>3.63 ± 0.62</w:t>
            </w:r>
          </w:p>
        </w:tc>
        <w:tc>
          <w:tcPr>
            <w:tcW w:w="1438" w:type="dxa"/>
          </w:tcPr>
          <w:p w14:paraId="45C66AC9" w14:textId="77777777" w:rsidR="00D55DC5" w:rsidRPr="00674605" w:rsidRDefault="00D55DC5" w:rsidP="00D24B6C">
            <w:pPr>
              <w:jc w:val="center"/>
              <w:rPr>
                <w:rFonts w:cs="Arial"/>
                <w:sz w:val="22"/>
                <w:szCs w:val="22"/>
              </w:rPr>
            </w:pPr>
            <w:r>
              <w:rPr>
                <w:rFonts w:cs="Arial"/>
                <w:sz w:val="22"/>
                <w:szCs w:val="22"/>
              </w:rPr>
              <w:t>3.69 ± 0.48</w:t>
            </w:r>
          </w:p>
        </w:tc>
        <w:tc>
          <w:tcPr>
            <w:tcW w:w="1490" w:type="dxa"/>
          </w:tcPr>
          <w:p w14:paraId="67FB795C" w14:textId="77777777" w:rsidR="00D55DC5" w:rsidRPr="00674605" w:rsidRDefault="00D55DC5" w:rsidP="00D24B6C">
            <w:pPr>
              <w:jc w:val="center"/>
              <w:rPr>
                <w:rFonts w:cs="Arial"/>
                <w:sz w:val="22"/>
                <w:szCs w:val="22"/>
              </w:rPr>
            </w:pPr>
            <w:r>
              <w:rPr>
                <w:rFonts w:cs="Arial"/>
                <w:sz w:val="22"/>
                <w:szCs w:val="22"/>
              </w:rPr>
              <w:t>3.69 ± 0.48</w:t>
            </w:r>
          </w:p>
        </w:tc>
      </w:tr>
      <w:tr w:rsidR="00D55DC5" w:rsidRPr="00674605" w14:paraId="66461F58" w14:textId="77777777" w:rsidTr="00E615F6">
        <w:tc>
          <w:tcPr>
            <w:tcW w:w="2026" w:type="dxa"/>
            <w:gridSpan w:val="3"/>
          </w:tcPr>
          <w:p w14:paraId="7616B4D3" w14:textId="77777777" w:rsidR="00D55DC5" w:rsidRDefault="00D55DC5" w:rsidP="008009D0">
            <w:pPr>
              <w:jc w:val="both"/>
              <w:rPr>
                <w:rFonts w:cs="Arial"/>
                <w:sz w:val="22"/>
                <w:szCs w:val="22"/>
              </w:rPr>
            </w:pPr>
            <w:r>
              <w:rPr>
                <w:rFonts w:cs="Arial"/>
                <w:sz w:val="22"/>
                <w:szCs w:val="22"/>
              </w:rPr>
              <w:t>Threshold</w:t>
            </w:r>
          </w:p>
        </w:tc>
        <w:tc>
          <w:tcPr>
            <w:tcW w:w="1438" w:type="dxa"/>
          </w:tcPr>
          <w:p w14:paraId="6023F896" w14:textId="77777777" w:rsidR="00D55DC5" w:rsidRPr="00674605" w:rsidRDefault="00D55DC5" w:rsidP="00D24B6C">
            <w:pPr>
              <w:jc w:val="center"/>
              <w:rPr>
                <w:rFonts w:cs="Arial"/>
                <w:sz w:val="22"/>
                <w:szCs w:val="22"/>
              </w:rPr>
            </w:pPr>
            <w:r>
              <w:rPr>
                <w:rFonts w:cs="Arial"/>
                <w:sz w:val="22"/>
                <w:szCs w:val="22"/>
              </w:rPr>
              <w:t>0.13 ± 0.02</w:t>
            </w:r>
          </w:p>
        </w:tc>
        <w:tc>
          <w:tcPr>
            <w:tcW w:w="1438" w:type="dxa"/>
          </w:tcPr>
          <w:p w14:paraId="5F048F19" w14:textId="77777777" w:rsidR="00D55DC5" w:rsidRPr="00674605" w:rsidRDefault="00D55DC5" w:rsidP="00D24B6C">
            <w:pPr>
              <w:jc w:val="center"/>
              <w:rPr>
                <w:rFonts w:cs="Arial"/>
                <w:sz w:val="22"/>
                <w:szCs w:val="22"/>
              </w:rPr>
            </w:pPr>
            <w:r>
              <w:rPr>
                <w:rFonts w:cs="Arial"/>
                <w:sz w:val="22"/>
                <w:szCs w:val="22"/>
              </w:rPr>
              <w:t>0.13 ± 0.03</w:t>
            </w:r>
          </w:p>
        </w:tc>
        <w:tc>
          <w:tcPr>
            <w:tcW w:w="1438" w:type="dxa"/>
          </w:tcPr>
          <w:p w14:paraId="4CF28E8B" w14:textId="77777777" w:rsidR="00D55DC5" w:rsidRPr="00674605" w:rsidRDefault="00D55DC5" w:rsidP="00D24B6C">
            <w:pPr>
              <w:jc w:val="center"/>
              <w:rPr>
                <w:rFonts w:cs="Arial"/>
                <w:sz w:val="22"/>
                <w:szCs w:val="22"/>
              </w:rPr>
            </w:pPr>
            <w:r>
              <w:rPr>
                <w:rFonts w:cs="Arial"/>
                <w:sz w:val="22"/>
                <w:szCs w:val="22"/>
              </w:rPr>
              <w:t>0.13 ± 0.03</w:t>
            </w:r>
          </w:p>
        </w:tc>
        <w:tc>
          <w:tcPr>
            <w:tcW w:w="1490" w:type="dxa"/>
          </w:tcPr>
          <w:p w14:paraId="105349E2" w14:textId="77777777" w:rsidR="00D55DC5" w:rsidRPr="00674605" w:rsidRDefault="00D55DC5" w:rsidP="00D24B6C">
            <w:pPr>
              <w:jc w:val="center"/>
              <w:rPr>
                <w:rFonts w:cs="Arial"/>
                <w:sz w:val="22"/>
                <w:szCs w:val="22"/>
              </w:rPr>
            </w:pPr>
            <w:r>
              <w:rPr>
                <w:rFonts w:cs="Arial"/>
                <w:sz w:val="22"/>
                <w:szCs w:val="22"/>
              </w:rPr>
              <w:t>0.14 ± 0.03</w:t>
            </w:r>
          </w:p>
        </w:tc>
      </w:tr>
      <w:tr w:rsidR="00D55DC5" w:rsidRPr="00674605" w14:paraId="2AD1BB8D" w14:textId="77777777" w:rsidTr="00E615F6">
        <w:tc>
          <w:tcPr>
            <w:tcW w:w="1224" w:type="dxa"/>
            <w:gridSpan w:val="2"/>
          </w:tcPr>
          <w:p w14:paraId="2B2D4E4F" w14:textId="77777777" w:rsidR="00D55DC5" w:rsidRDefault="00D55DC5" w:rsidP="008009D0">
            <w:pPr>
              <w:jc w:val="both"/>
              <w:rPr>
                <w:rFonts w:cs="Arial"/>
                <w:sz w:val="22"/>
                <w:szCs w:val="22"/>
              </w:rPr>
            </w:pPr>
            <w:r>
              <w:rPr>
                <w:rFonts w:cs="Arial"/>
                <w:sz w:val="22"/>
                <w:szCs w:val="22"/>
              </w:rPr>
              <w:t>Shoulder</w:t>
            </w:r>
          </w:p>
        </w:tc>
        <w:tc>
          <w:tcPr>
            <w:tcW w:w="802" w:type="dxa"/>
          </w:tcPr>
          <w:p w14:paraId="0421F04A" w14:textId="77777777" w:rsidR="00D55DC5" w:rsidRDefault="00D55DC5" w:rsidP="008009D0">
            <w:pPr>
              <w:jc w:val="both"/>
              <w:rPr>
                <w:rFonts w:cs="Arial"/>
                <w:sz w:val="22"/>
                <w:szCs w:val="22"/>
              </w:rPr>
            </w:pPr>
          </w:p>
        </w:tc>
        <w:tc>
          <w:tcPr>
            <w:tcW w:w="1438" w:type="dxa"/>
          </w:tcPr>
          <w:p w14:paraId="250BF437" w14:textId="77777777" w:rsidR="00D55DC5" w:rsidRPr="00674605" w:rsidRDefault="00D55DC5" w:rsidP="00D24B6C">
            <w:pPr>
              <w:jc w:val="center"/>
              <w:rPr>
                <w:rFonts w:cs="Arial"/>
                <w:sz w:val="22"/>
                <w:szCs w:val="22"/>
              </w:rPr>
            </w:pPr>
          </w:p>
        </w:tc>
        <w:tc>
          <w:tcPr>
            <w:tcW w:w="1438" w:type="dxa"/>
          </w:tcPr>
          <w:p w14:paraId="56A4B7B3" w14:textId="77777777" w:rsidR="00D55DC5" w:rsidRPr="00674605" w:rsidRDefault="00D55DC5" w:rsidP="00D24B6C">
            <w:pPr>
              <w:jc w:val="center"/>
              <w:rPr>
                <w:rFonts w:cs="Arial"/>
                <w:sz w:val="22"/>
                <w:szCs w:val="22"/>
              </w:rPr>
            </w:pPr>
          </w:p>
        </w:tc>
        <w:tc>
          <w:tcPr>
            <w:tcW w:w="1438" w:type="dxa"/>
          </w:tcPr>
          <w:p w14:paraId="08282014" w14:textId="77777777" w:rsidR="00D55DC5" w:rsidRPr="00674605" w:rsidRDefault="00D55DC5" w:rsidP="00D24B6C">
            <w:pPr>
              <w:jc w:val="center"/>
              <w:rPr>
                <w:rFonts w:cs="Arial"/>
                <w:sz w:val="22"/>
                <w:szCs w:val="22"/>
              </w:rPr>
            </w:pPr>
          </w:p>
        </w:tc>
        <w:tc>
          <w:tcPr>
            <w:tcW w:w="1490" w:type="dxa"/>
          </w:tcPr>
          <w:p w14:paraId="06634EC6" w14:textId="77777777" w:rsidR="00D55DC5" w:rsidRPr="00674605" w:rsidRDefault="00D55DC5" w:rsidP="00D24B6C">
            <w:pPr>
              <w:jc w:val="center"/>
              <w:rPr>
                <w:rFonts w:cs="Arial"/>
                <w:sz w:val="22"/>
                <w:szCs w:val="22"/>
              </w:rPr>
            </w:pPr>
          </w:p>
        </w:tc>
      </w:tr>
      <w:tr w:rsidR="00D55DC5" w:rsidRPr="00674605" w14:paraId="25EF7FB9" w14:textId="77777777" w:rsidTr="00E615F6">
        <w:tc>
          <w:tcPr>
            <w:tcW w:w="2026" w:type="dxa"/>
            <w:gridSpan w:val="3"/>
          </w:tcPr>
          <w:p w14:paraId="4B14DDD9" w14:textId="77777777" w:rsidR="00D55DC5" w:rsidRDefault="00D55DC5" w:rsidP="008009D0">
            <w:pPr>
              <w:jc w:val="both"/>
              <w:rPr>
                <w:rFonts w:cs="Arial"/>
                <w:sz w:val="22"/>
                <w:szCs w:val="22"/>
              </w:rPr>
            </w:pPr>
            <w:r>
              <w:rPr>
                <w:rFonts w:cs="Arial"/>
                <w:sz w:val="22"/>
                <w:szCs w:val="22"/>
              </w:rPr>
              <w:t>%REC</w:t>
            </w:r>
          </w:p>
        </w:tc>
        <w:tc>
          <w:tcPr>
            <w:tcW w:w="1438" w:type="dxa"/>
          </w:tcPr>
          <w:p w14:paraId="7A8FAE90" w14:textId="77777777" w:rsidR="00D55DC5" w:rsidRPr="00674605" w:rsidRDefault="00D55DC5" w:rsidP="00D24B6C">
            <w:pPr>
              <w:jc w:val="center"/>
              <w:rPr>
                <w:rFonts w:cs="Arial"/>
                <w:sz w:val="22"/>
                <w:szCs w:val="22"/>
              </w:rPr>
            </w:pPr>
            <w:r>
              <w:rPr>
                <w:rFonts w:cs="Arial"/>
                <w:sz w:val="22"/>
                <w:szCs w:val="22"/>
              </w:rPr>
              <w:t>2.31 ± 0.63</w:t>
            </w:r>
          </w:p>
        </w:tc>
        <w:tc>
          <w:tcPr>
            <w:tcW w:w="1438" w:type="dxa"/>
          </w:tcPr>
          <w:p w14:paraId="7528B741" w14:textId="77777777" w:rsidR="00D55DC5" w:rsidRPr="00674605" w:rsidRDefault="00D55DC5" w:rsidP="00D24B6C">
            <w:pPr>
              <w:jc w:val="center"/>
              <w:rPr>
                <w:rFonts w:cs="Arial"/>
                <w:sz w:val="22"/>
                <w:szCs w:val="22"/>
              </w:rPr>
            </w:pPr>
            <w:r>
              <w:rPr>
                <w:rFonts w:cs="Arial"/>
                <w:sz w:val="22"/>
                <w:szCs w:val="22"/>
              </w:rPr>
              <w:t>2.60 ± 0.68</w:t>
            </w:r>
          </w:p>
        </w:tc>
        <w:tc>
          <w:tcPr>
            <w:tcW w:w="1438" w:type="dxa"/>
          </w:tcPr>
          <w:p w14:paraId="360B3D03" w14:textId="77777777" w:rsidR="00D55DC5" w:rsidRPr="00674605" w:rsidRDefault="00D55DC5" w:rsidP="00D24B6C">
            <w:pPr>
              <w:jc w:val="center"/>
              <w:rPr>
                <w:rFonts w:cs="Arial"/>
                <w:sz w:val="22"/>
                <w:szCs w:val="22"/>
              </w:rPr>
            </w:pPr>
            <w:r>
              <w:rPr>
                <w:rFonts w:cs="Arial"/>
                <w:sz w:val="22"/>
                <w:szCs w:val="22"/>
              </w:rPr>
              <w:t>2.39 ± 0.42</w:t>
            </w:r>
          </w:p>
        </w:tc>
        <w:tc>
          <w:tcPr>
            <w:tcW w:w="1490" w:type="dxa"/>
          </w:tcPr>
          <w:p w14:paraId="6830746E" w14:textId="77777777" w:rsidR="00D55DC5" w:rsidRPr="00674605" w:rsidRDefault="00D55DC5" w:rsidP="00D24B6C">
            <w:pPr>
              <w:jc w:val="center"/>
              <w:rPr>
                <w:rFonts w:cs="Arial"/>
                <w:sz w:val="22"/>
                <w:szCs w:val="22"/>
              </w:rPr>
            </w:pPr>
            <w:r>
              <w:rPr>
                <w:rFonts w:cs="Arial"/>
                <w:sz w:val="22"/>
                <w:szCs w:val="22"/>
              </w:rPr>
              <w:t>2.45 ± 0.47</w:t>
            </w:r>
          </w:p>
        </w:tc>
      </w:tr>
      <w:tr w:rsidR="00D55DC5" w:rsidRPr="00674605" w14:paraId="1214C978" w14:textId="77777777" w:rsidTr="00E615F6">
        <w:tc>
          <w:tcPr>
            <w:tcW w:w="2026" w:type="dxa"/>
            <w:gridSpan w:val="3"/>
          </w:tcPr>
          <w:p w14:paraId="700394ED" w14:textId="77777777" w:rsidR="00D55DC5" w:rsidRDefault="00D55DC5" w:rsidP="008009D0">
            <w:pPr>
              <w:jc w:val="both"/>
              <w:rPr>
                <w:rFonts w:cs="Arial"/>
                <w:sz w:val="22"/>
                <w:szCs w:val="22"/>
              </w:rPr>
            </w:pPr>
            <w:r>
              <w:rPr>
                <w:rFonts w:cs="Arial"/>
                <w:sz w:val="22"/>
                <w:szCs w:val="22"/>
              </w:rPr>
              <w:t>Dimension</w:t>
            </w:r>
          </w:p>
        </w:tc>
        <w:tc>
          <w:tcPr>
            <w:tcW w:w="1438" w:type="dxa"/>
          </w:tcPr>
          <w:p w14:paraId="54753531" w14:textId="77777777" w:rsidR="00D55DC5" w:rsidRPr="00674605" w:rsidRDefault="00D55DC5" w:rsidP="00D24B6C">
            <w:pPr>
              <w:jc w:val="center"/>
              <w:rPr>
                <w:rFonts w:cs="Arial"/>
                <w:sz w:val="22"/>
                <w:szCs w:val="22"/>
              </w:rPr>
            </w:pPr>
            <w:r>
              <w:rPr>
                <w:rFonts w:cs="Arial"/>
                <w:sz w:val="22"/>
                <w:szCs w:val="22"/>
              </w:rPr>
              <w:t>3.44 ± 0.63</w:t>
            </w:r>
          </w:p>
        </w:tc>
        <w:tc>
          <w:tcPr>
            <w:tcW w:w="1438" w:type="dxa"/>
          </w:tcPr>
          <w:p w14:paraId="2F8684A0" w14:textId="77777777" w:rsidR="00D55DC5" w:rsidRPr="00674605" w:rsidRDefault="00D55DC5" w:rsidP="00D24B6C">
            <w:pPr>
              <w:jc w:val="center"/>
              <w:rPr>
                <w:rFonts w:cs="Arial"/>
                <w:sz w:val="22"/>
                <w:szCs w:val="22"/>
              </w:rPr>
            </w:pPr>
            <w:r>
              <w:rPr>
                <w:rFonts w:cs="Arial"/>
                <w:sz w:val="22"/>
                <w:szCs w:val="22"/>
              </w:rPr>
              <w:t>3.38 ± 0.50</w:t>
            </w:r>
          </w:p>
        </w:tc>
        <w:tc>
          <w:tcPr>
            <w:tcW w:w="1438" w:type="dxa"/>
          </w:tcPr>
          <w:p w14:paraId="569AB036" w14:textId="77777777" w:rsidR="00D55DC5" w:rsidRPr="00674605" w:rsidRDefault="00D55DC5" w:rsidP="00D24B6C">
            <w:pPr>
              <w:jc w:val="center"/>
              <w:rPr>
                <w:rFonts w:cs="Arial"/>
                <w:sz w:val="22"/>
                <w:szCs w:val="22"/>
              </w:rPr>
            </w:pPr>
            <w:r>
              <w:rPr>
                <w:rFonts w:cs="Arial"/>
                <w:sz w:val="22"/>
                <w:szCs w:val="22"/>
              </w:rPr>
              <w:t>3.25 ± 0.45</w:t>
            </w:r>
          </w:p>
        </w:tc>
        <w:tc>
          <w:tcPr>
            <w:tcW w:w="1490" w:type="dxa"/>
          </w:tcPr>
          <w:p w14:paraId="0766E967" w14:textId="77777777" w:rsidR="00D55DC5" w:rsidRPr="00674605" w:rsidRDefault="00D55DC5" w:rsidP="00D24B6C">
            <w:pPr>
              <w:jc w:val="center"/>
              <w:rPr>
                <w:rFonts w:cs="Arial"/>
                <w:sz w:val="22"/>
                <w:szCs w:val="22"/>
              </w:rPr>
            </w:pPr>
            <w:r>
              <w:rPr>
                <w:rFonts w:cs="Arial"/>
                <w:sz w:val="22"/>
                <w:szCs w:val="22"/>
              </w:rPr>
              <w:t>3.31 ± 0.60</w:t>
            </w:r>
          </w:p>
        </w:tc>
      </w:tr>
      <w:tr w:rsidR="00D55DC5" w:rsidRPr="00674605" w14:paraId="3C6CE5AC" w14:textId="77777777" w:rsidTr="00E615F6">
        <w:tc>
          <w:tcPr>
            <w:tcW w:w="2026" w:type="dxa"/>
            <w:gridSpan w:val="3"/>
          </w:tcPr>
          <w:p w14:paraId="071D6D94" w14:textId="77777777" w:rsidR="00D55DC5" w:rsidRDefault="00D55DC5" w:rsidP="008009D0">
            <w:pPr>
              <w:jc w:val="both"/>
              <w:rPr>
                <w:rFonts w:cs="Arial"/>
                <w:sz w:val="22"/>
                <w:szCs w:val="22"/>
              </w:rPr>
            </w:pPr>
            <w:r>
              <w:rPr>
                <w:rFonts w:cs="Arial"/>
                <w:sz w:val="22"/>
                <w:szCs w:val="22"/>
              </w:rPr>
              <w:t>Threshold</w:t>
            </w:r>
          </w:p>
        </w:tc>
        <w:tc>
          <w:tcPr>
            <w:tcW w:w="1438" w:type="dxa"/>
          </w:tcPr>
          <w:p w14:paraId="0F018D34" w14:textId="77777777" w:rsidR="00D55DC5" w:rsidRPr="00674605" w:rsidRDefault="00D55DC5" w:rsidP="00D24B6C">
            <w:pPr>
              <w:jc w:val="center"/>
              <w:rPr>
                <w:rFonts w:cs="Arial"/>
                <w:sz w:val="22"/>
                <w:szCs w:val="22"/>
              </w:rPr>
            </w:pPr>
            <w:r>
              <w:rPr>
                <w:rFonts w:cs="Arial"/>
                <w:sz w:val="22"/>
                <w:szCs w:val="22"/>
              </w:rPr>
              <w:t>0.15 ± 0.02</w:t>
            </w:r>
          </w:p>
        </w:tc>
        <w:tc>
          <w:tcPr>
            <w:tcW w:w="1438" w:type="dxa"/>
          </w:tcPr>
          <w:p w14:paraId="4992AD7A" w14:textId="77777777" w:rsidR="00D55DC5" w:rsidRPr="00674605" w:rsidRDefault="00D55DC5" w:rsidP="00D24B6C">
            <w:pPr>
              <w:jc w:val="center"/>
              <w:rPr>
                <w:rFonts w:cs="Arial"/>
                <w:sz w:val="22"/>
                <w:szCs w:val="22"/>
              </w:rPr>
            </w:pPr>
            <w:r>
              <w:rPr>
                <w:rFonts w:cs="Arial"/>
                <w:sz w:val="22"/>
                <w:szCs w:val="22"/>
              </w:rPr>
              <w:t>0.16 ± 0.05</w:t>
            </w:r>
          </w:p>
        </w:tc>
        <w:tc>
          <w:tcPr>
            <w:tcW w:w="1438" w:type="dxa"/>
          </w:tcPr>
          <w:p w14:paraId="1B15F3E5" w14:textId="77777777" w:rsidR="00D55DC5" w:rsidRPr="00674605" w:rsidRDefault="00D55DC5" w:rsidP="00D24B6C">
            <w:pPr>
              <w:jc w:val="center"/>
              <w:rPr>
                <w:rFonts w:cs="Arial"/>
                <w:sz w:val="22"/>
                <w:szCs w:val="22"/>
              </w:rPr>
            </w:pPr>
            <w:r>
              <w:rPr>
                <w:rFonts w:cs="Arial"/>
                <w:sz w:val="22"/>
                <w:szCs w:val="22"/>
              </w:rPr>
              <w:t>0.15 ± 0.03</w:t>
            </w:r>
          </w:p>
        </w:tc>
        <w:tc>
          <w:tcPr>
            <w:tcW w:w="1490" w:type="dxa"/>
          </w:tcPr>
          <w:p w14:paraId="343A521D" w14:textId="77777777" w:rsidR="00D55DC5" w:rsidRPr="00674605" w:rsidRDefault="00D55DC5" w:rsidP="00D24B6C">
            <w:pPr>
              <w:jc w:val="center"/>
              <w:rPr>
                <w:rFonts w:cs="Arial"/>
                <w:sz w:val="22"/>
                <w:szCs w:val="22"/>
              </w:rPr>
            </w:pPr>
            <w:r>
              <w:rPr>
                <w:rFonts w:cs="Arial"/>
                <w:sz w:val="22"/>
                <w:szCs w:val="22"/>
              </w:rPr>
              <w:t>0.16 ± 0.03</w:t>
            </w:r>
          </w:p>
        </w:tc>
      </w:tr>
      <w:tr w:rsidR="00D55DC5" w:rsidRPr="00674605" w14:paraId="0FD63ED3" w14:textId="77777777" w:rsidTr="00E615F6">
        <w:tc>
          <w:tcPr>
            <w:tcW w:w="2026" w:type="dxa"/>
            <w:gridSpan w:val="3"/>
          </w:tcPr>
          <w:p w14:paraId="38B3C7BC" w14:textId="77777777" w:rsidR="00D55DC5" w:rsidRPr="00674605" w:rsidRDefault="00D55DC5" w:rsidP="008009D0">
            <w:pPr>
              <w:tabs>
                <w:tab w:val="center" w:pos="972"/>
              </w:tabs>
              <w:jc w:val="both"/>
              <w:rPr>
                <w:rFonts w:cs="Arial"/>
                <w:sz w:val="22"/>
                <w:szCs w:val="22"/>
              </w:rPr>
            </w:pPr>
            <w:r>
              <w:rPr>
                <w:rFonts w:cs="Arial"/>
                <w:sz w:val="22"/>
                <w:szCs w:val="22"/>
              </w:rPr>
              <w:t>Less-Affected</w:t>
            </w:r>
            <w:r>
              <w:rPr>
                <w:rFonts w:cs="Arial"/>
                <w:sz w:val="22"/>
                <w:szCs w:val="22"/>
              </w:rPr>
              <w:tab/>
            </w:r>
          </w:p>
        </w:tc>
        <w:tc>
          <w:tcPr>
            <w:tcW w:w="1438" w:type="dxa"/>
          </w:tcPr>
          <w:p w14:paraId="64023F60" w14:textId="77777777" w:rsidR="00D55DC5" w:rsidRPr="00674605" w:rsidRDefault="00D55DC5" w:rsidP="00D24B6C">
            <w:pPr>
              <w:jc w:val="center"/>
              <w:rPr>
                <w:rFonts w:cs="Arial"/>
                <w:sz w:val="22"/>
                <w:szCs w:val="22"/>
              </w:rPr>
            </w:pPr>
          </w:p>
        </w:tc>
        <w:tc>
          <w:tcPr>
            <w:tcW w:w="1438" w:type="dxa"/>
          </w:tcPr>
          <w:p w14:paraId="45463C09" w14:textId="77777777" w:rsidR="00D55DC5" w:rsidRPr="00674605" w:rsidRDefault="00D55DC5" w:rsidP="00D24B6C">
            <w:pPr>
              <w:jc w:val="center"/>
              <w:rPr>
                <w:rFonts w:cs="Arial"/>
                <w:sz w:val="22"/>
                <w:szCs w:val="22"/>
              </w:rPr>
            </w:pPr>
          </w:p>
        </w:tc>
        <w:tc>
          <w:tcPr>
            <w:tcW w:w="1438" w:type="dxa"/>
          </w:tcPr>
          <w:p w14:paraId="327A1045" w14:textId="77777777" w:rsidR="00D55DC5" w:rsidRPr="00674605" w:rsidRDefault="00D55DC5" w:rsidP="00D24B6C">
            <w:pPr>
              <w:jc w:val="center"/>
              <w:rPr>
                <w:rFonts w:cs="Arial"/>
                <w:sz w:val="22"/>
                <w:szCs w:val="22"/>
              </w:rPr>
            </w:pPr>
          </w:p>
        </w:tc>
        <w:tc>
          <w:tcPr>
            <w:tcW w:w="1490" w:type="dxa"/>
          </w:tcPr>
          <w:p w14:paraId="0FCEE93B" w14:textId="77777777" w:rsidR="00D55DC5" w:rsidRPr="00674605" w:rsidRDefault="00D55DC5" w:rsidP="00D24B6C">
            <w:pPr>
              <w:jc w:val="center"/>
              <w:rPr>
                <w:rFonts w:cs="Arial"/>
                <w:sz w:val="22"/>
                <w:szCs w:val="22"/>
              </w:rPr>
            </w:pPr>
          </w:p>
        </w:tc>
      </w:tr>
      <w:tr w:rsidR="00D55DC5" w:rsidRPr="00674605" w14:paraId="4F8D284F" w14:textId="77777777" w:rsidTr="00E615F6">
        <w:tc>
          <w:tcPr>
            <w:tcW w:w="1080" w:type="dxa"/>
          </w:tcPr>
          <w:p w14:paraId="2934D595" w14:textId="77777777" w:rsidR="00D55DC5" w:rsidRPr="00674605" w:rsidRDefault="00D55DC5" w:rsidP="008009D0">
            <w:pPr>
              <w:jc w:val="both"/>
              <w:rPr>
                <w:rFonts w:cs="Arial"/>
                <w:sz w:val="22"/>
                <w:szCs w:val="22"/>
              </w:rPr>
            </w:pPr>
            <w:r>
              <w:rPr>
                <w:rFonts w:cs="Arial"/>
                <w:sz w:val="22"/>
                <w:szCs w:val="22"/>
              </w:rPr>
              <w:t>Hip</w:t>
            </w:r>
          </w:p>
        </w:tc>
        <w:tc>
          <w:tcPr>
            <w:tcW w:w="946" w:type="dxa"/>
            <w:gridSpan w:val="2"/>
          </w:tcPr>
          <w:p w14:paraId="6AF2800E" w14:textId="77777777" w:rsidR="00D55DC5" w:rsidRPr="00674605" w:rsidRDefault="00D55DC5" w:rsidP="008009D0">
            <w:pPr>
              <w:jc w:val="both"/>
              <w:rPr>
                <w:rFonts w:cs="Arial"/>
                <w:sz w:val="22"/>
                <w:szCs w:val="22"/>
              </w:rPr>
            </w:pPr>
          </w:p>
        </w:tc>
        <w:tc>
          <w:tcPr>
            <w:tcW w:w="1438" w:type="dxa"/>
          </w:tcPr>
          <w:p w14:paraId="74278B80" w14:textId="77777777" w:rsidR="00D55DC5" w:rsidRPr="00674605" w:rsidRDefault="00D55DC5" w:rsidP="00D24B6C">
            <w:pPr>
              <w:jc w:val="center"/>
              <w:rPr>
                <w:rFonts w:cs="Arial"/>
                <w:sz w:val="22"/>
                <w:szCs w:val="22"/>
              </w:rPr>
            </w:pPr>
          </w:p>
        </w:tc>
        <w:tc>
          <w:tcPr>
            <w:tcW w:w="1438" w:type="dxa"/>
          </w:tcPr>
          <w:p w14:paraId="2C1F956D" w14:textId="77777777" w:rsidR="00D55DC5" w:rsidRPr="00674605" w:rsidRDefault="00D55DC5" w:rsidP="00D24B6C">
            <w:pPr>
              <w:jc w:val="center"/>
              <w:rPr>
                <w:rFonts w:cs="Arial"/>
                <w:sz w:val="22"/>
                <w:szCs w:val="22"/>
              </w:rPr>
            </w:pPr>
          </w:p>
        </w:tc>
        <w:tc>
          <w:tcPr>
            <w:tcW w:w="1438" w:type="dxa"/>
          </w:tcPr>
          <w:p w14:paraId="52B44E0A" w14:textId="77777777" w:rsidR="00D55DC5" w:rsidRPr="00674605" w:rsidRDefault="00D55DC5" w:rsidP="00D24B6C">
            <w:pPr>
              <w:jc w:val="center"/>
              <w:rPr>
                <w:rFonts w:cs="Arial"/>
                <w:sz w:val="22"/>
                <w:szCs w:val="22"/>
              </w:rPr>
            </w:pPr>
          </w:p>
        </w:tc>
        <w:tc>
          <w:tcPr>
            <w:tcW w:w="1490" w:type="dxa"/>
          </w:tcPr>
          <w:p w14:paraId="6A22AE7F" w14:textId="77777777" w:rsidR="00D55DC5" w:rsidRPr="00674605" w:rsidRDefault="00D55DC5" w:rsidP="00D24B6C">
            <w:pPr>
              <w:jc w:val="center"/>
              <w:rPr>
                <w:rFonts w:cs="Arial"/>
                <w:sz w:val="22"/>
                <w:szCs w:val="22"/>
              </w:rPr>
            </w:pPr>
          </w:p>
        </w:tc>
      </w:tr>
      <w:tr w:rsidR="00D55DC5" w:rsidRPr="00674605" w14:paraId="13EF7189" w14:textId="77777777" w:rsidTr="00E615F6">
        <w:tc>
          <w:tcPr>
            <w:tcW w:w="2026" w:type="dxa"/>
            <w:gridSpan w:val="3"/>
          </w:tcPr>
          <w:p w14:paraId="7550474C" w14:textId="77777777" w:rsidR="00D55DC5" w:rsidRPr="00674605" w:rsidRDefault="00D55DC5" w:rsidP="008009D0">
            <w:pPr>
              <w:jc w:val="both"/>
              <w:rPr>
                <w:rFonts w:cs="Arial"/>
                <w:sz w:val="22"/>
                <w:szCs w:val="22"/>
              </w:rPr>
            </w:pPr>
            <w:r>
              <w:rPr>
                <w:rFonts w:cs="Arial"/>
                <w:sz w:val="22"/>
                <w:szCs w:val="22"/>
              </w:rPr>
              <w:t>%REC</w:t>
            </w:r>
          </w:p>
        </w:tc>
        <w:tc>
          <w:tcPr>
            <w:tcW w:w="1438" w:type="dxa"/>
          </w:tcPr>
          <w:p w14:paraId="23CC1E54" w14:textId="77777777" w:rsidR="00D55DC5" w:rsidRPr="00674605" w:rsidRDefault="00D55DC5" w:rsidP="00D24B6C">
            <w:pPr>
              <w:jc w:val="center"/>
              <w:rPr>
                <w:rFonts w:cs="Arial"/>
                <w:sz w:val="22"/>
                <w:szCs w:val="22"/>
              </w:rPr>
            </w:pPr>
            <w:r>
              <w:rPr>
                <w:rFonts w:cs="Arial"/>
                <w:sz w:val="22"/>
                <w:szCs w:val="22"/>
              </w:rPr>
              <w:t>2.51 ± 0.37</w:t>
            </w:r>
          </w:p>
        </w:tc>
        <w:tc>
          <w:tcPr>
            <w:tcW w:w="1438" w:type="dxa"/>
          </w:tcPr>
          <w:p w14:paraId="68B44FC2" w14:textId="77777777" w:rsidR="00D55DC5" w:rsidRPr="00674605" w:rsidRDefault="00D55DC5" w:rsidP="00D24B6C">
            <w:pPr>
              <w:jc w:val="center"/>
              <w:rPr>
                <w:rFonts w:cs="Arial"/>
                <w:sz w:val="22"/>
                <w:szCs w:val="22"/>
              </w:rPr>
            </w:pPr>
            <w:r>
              <w:rPr>
                <w:rFonts w:cs="Arial"/>
                <w:sz w:val="22"/>
                <w:szCs w:val="22"/>
              </w:rPr>
              <w:t>2.40 ± 0.39</w:t>
            </w:r>
          </w:p>
        </w:tc>
        <w:tc>
          <w:tcPr>
            <w:tcW w:w="1438" w:type="dxa"/>
          </w:tcPr>
          <w:p w14:paraId="6864BE1C" w14:textId="77777777" w:rsidR="00D55DC5" w:rsidRPr="00674605" w:rsidRDefault="00D55DC5" w:rsidP="00D24B6C">
            <w:pPr>
              <w:jc w:val="center"/>
              <w:rPr>
                <w:rFonts w:cs="Arial"/>
                <w:sz w:val="22"/>
                <w:szCs w:val="22"/>
              </w:rPr>
            </w:pPr>
            <w:r>
              <w:rPr>
                <w:rFonts w:cs="Arial"/>
                <w:sz w:val="22"/>
                <w:szCs w:val="22"/>
              </w:rPr>
              <w:t>2.43 ± 0.38</w:t>
            </w:r>
          </w:p>
        </w:tc>
        <w:tc>
          <w:tcPr>
            <w:tcW w:w="1490" w:type="dxa"/>
          </w:tcPr>
          <w:p w14:paraId="7BDE22F1" w14:textId="77777777" w:rsidR="00D55DC5" w:rsidRPr="00674605" w:rsidRDefault="00D55DC5" w:rsidP="00D24B6C">
            <w:pPr>
              <w:jc w:val="center"/>
              <w:rPr>
                <w:rFonts w:cs="Arial"/>
                <w:sz w:val="22"/>
                <w:szCs w:val="22"/>
              </w:rPr>
            </w:pPr>
            <w:r>
              <w:rPr>
                <w:rFonts w:cs="Arial"/>
                <w:sz w:val="22"/>
                <w:szCs w:val="22"/>
              </w:rPr>
              <w:t>2.51 ± 0.29</w:t>
            </w:r>
          </w:p>
        </w:tc>
      </w:tr>
      <w:tr w:rsidR="00D55DC5" w:rsidRPr="00674605" w14:paraId="4B0D3D46" w14:textId="77777777" w:rsidTr="00E615F6">
        <w:tc>
          <w:tcPr>
            <w:tcW w:w="2026" w:type="dxa"/>
            <w:gridSpan w:val="3"/>
          </w:tcPr>
          <w:p w14:paraId="63E36384" w14:textId="77777777" w:rsidR="00D55DC5" w:rsidRDefault="00D55DC5" w:rsidP="008009D0">
            <w:pPr>
              <w:jc w:val="both"/>
              <w:rPr>
                <w:rFonts w:cs="Arial"/>
                <w:sz w:val="22"/>
                <w:szCs w:val="22"/>
              </w:rPr>
            </w:pPr>
            <w:r>
              <w:rPr>
                <w:rFonts w:cs="Arial"/>
                <w:sz w:val="22"/>
                <w:szCs w:val="22"/>
              </w:rPr>
              <w:t>Dimension</w:t>
            </w:r>
          </w:p>
        </w:tc>
        <w:tc>
          <w:tcPr>
            <w:tcW w:w="1438" w:type="dxa"/>
          </w:tcPr>
          <w:p w14:paraId="256DBB7C" w14:textId="77777777" w:rsidR="00D55DC5" w:rsidRPr="00674605" w:rsidRDefault="00D55DC5" w:rsidP="00D24B6C">
            <w:pPr>
              <w:jc w:val="center"/>
              <w:rPr>
                <w:rFonts w:cs="Arial"/>
                <w:sz w:val="22"/>
                <w:szCs w:val="22"/>
              </w:rPr>
            </w:pPr>
            <w:r>
              <w:rPr>
                <w:rFonts w:cs="Arial"/>
                <w:sz w:val="22"/>
                <w:szCs w:val="22"/>
              </w:rPr>
              <w:t>3.88 ± 0.34</w:t>
            </w:r>
          </w:p>
        </w:tc>
        <w:tc>
          <w:tcPr>
            <w:tcW w:w="1438" w:type="dxa"/>
          </w:tcPr>
          <w:p w14:paraId="7DBE5989" w14:textId="77777777" w:rsidR="00D55DC5" w:rsidRPr="00674605" w:rsidRDefault="00D55DC5" w:rsidP="00D24B6C">
            <w:pPr>
              <w:jc w:val="center"/>
              <w:rPr>
                <w:rFonts w:cs="Arial"/>
                <w:sz w:val="22"/>
                <w:szCs w:val="22"/>
              </w:rPr>
            </w:pPr>
            <w:r>
              <w:rPr>
                <w:rFonts w:cs="Arial"/>
                <w:sz w:val="22"/>
                <w:szCs w:val="22"/>
              </w:rPr>
              <w:t>3.88 ± 0.62</w:t>
            </w:r>
          </w:p>
        </w:tc>
        <w:tc>
          <w:tcPr>
            <w:tcW w:w="1438" w:type="dxa"/>
          </w:tcPr>
          <w:p w14:paraId="0A7DE6A4" w14:textId="77777777" w:rsidR="00D55DC5" w:rsidRPr="00674605" w:rsidRDefault="00D55DC5" w:rsidP="00D24B6C">
            <w:pPr>
              <w:jc w:val="center"/>
              <w:rPr>
                <w:rFonts w:cs="Arial"/>
                <w:sz w:val="22"/>
                <w:szCs w:val="22"/>
              </w:rPr>
            </w:pPr>
            <w:r>
              <w:rPr>
                <w:rFonts w:cs="Arial"/>
                <w:sz w:val="22"/>
                <w:szCs w:val="22"/>
              </w:rPr>
              <w:t>3.88 ± 0.34</w:t>
            </w:r>
          </w:p>
        </w:tc>
        <w:tc>
          <w:tcPr>
            <w:tcW w:w="1490" w:type="dxa"/>
          </w:tcPr>
          <w:p w14:paraId="1B05DD73" w14:textId="77777777" w:rsidR="00D55DC5" w:rsidRPr="00674605" w:rsidRDefault="00D55DC5" w:rsidP="00D24B6C">
            <w:pPr>
              <w:jc w:val="center"/>
              <w:rPr>
                <w:rFonts w:cs="Arial"/>
                <w:sz w:val="22"/>
                <w:szCs w:val="22"/>
              </w:rPr>
            </w:pPr>
            <w:r>
              <w:rPr>
                <w:rFonts w:cs="Arial"/>
                <w:sz w:val="22"/>
                <w:szCs w:val="22"/>
              </w:rPr>
              <w:t>3.75 ± 0.45</w:t>
            </w:r>
          </w:p>
        </w:tc>
      </w:tr>
      <w:tr w:rsidR="00D55DC5" w:rsidRPr="00674605" w14:paraId="02E286B7" w14:textId="77777777" w:rsidTr="00E615F6">
        <w:tc>
          <w:tcPr>
            <w:tcW w:w="2026" w:type="dxa"/>
            <w:gridSpan w:val="3"/>
          </w:tcPr>
          <w:p w14:paraId="44FC1B96" w14:textId="77777777" w:rsidR="00D55DC5" w:rsidRDefault="00D55DC5" w:rsidP="008009D0">
            <w:pPr>
              <w:jc w:val="both"/>
              <w:rPr>
                <w:rFonts w:cs="Arial"/>
                <w:sz w:val="22"/>
                <w:szCs w:val="22"/>
              </w:rPr>
            </w:pPr>
            <w:r>
              <w:rPr>
                <w:rFonts w:cs="Arial"/>
                <w:sz w:val="22"/>
                <w:szCs w:val="22"/>
              </w:rPr>
              <w:t>Threshold</w:t>
            </w:r>
          </w:p>
        </w:tc>
        <w:tc>
          <w:tcPr>
            <w:tcW w:w="1438" w:type="dxa"/>
          </w:tcPr>
          <w:p w14:paraId="16BB21D6" w14:textId="77777777" w:rsidR="00D55DC5" w:rsidRPr="00674605" w:rsidRDefault="00D55DC5" w:rsidP="00D24B6C">
            <w:pPr>
              <w:jc w:val="center"/>
              <w:rPr>
                <w:rFonts w:cs="Arial"/>
                <w:sz w:val="22"/>
                <w:szCs w:val="22"/>
              </w:rPr>
            </w:pPr>
            <w:r>
              <w:rPr>
                <w:rFonts w:cs="Arial"/>
                <w:sz w:val="22"/>
                <w:szCs w:val="22"/>
              </w:rPr>
              <w:t>0.14 ± 0.03</w:t>
            </w:r>
          </w:p>
        </w:tc>
        <w:tc>
          <w:tcPr>
            <w:tcW w:w="1438" w:type="dxa"/>
          </w:tcPr>
          <w:p w14:paraId="240DC824" w14:textId="77777777" w:rsidR="00D55DC5" w:rsidRPr="00674605" w:rsidRDefault="00D55DC5" w:rsidP="00D24B6C">
            <w:pPr>
              <w:jc w:val="center"/>
              <w:rPr>
                <w:rFonts w:cs="Arial"/>
                <w:sz w:val="22"/>
                <w:szCs w:val="22"/>
              </w:rPr>
            </w:pPr>
            <w:r>
              <w:rPr>
                <w:rFonts w:cs="Arial"/>
                <w:sz w:val="22"/>
                <w:szCs w:val="22"/>
              </w:rPr>
              <w:t>0.13 ± 0.02</w:t>
            </w:r>
          </w:p>
        </w:tc>
        <w:tc>
          <w:tcPr>
            <w:tcW w:w="1438" w:type="dxa"/>
          </w:tcPr>
          <w:p w14:paraId="3FC3C5CD" w14:textId="77777777" w:rsidR="00D55DC5" w:rsidRPr="00674605" w:rsidRDefault="00D55DC5" w:rsidP="00D24B6C">
            <w:pPr>
              <w:jc w:val="center"/>
              <w:rPr>
                <w:rFonts w:cs="Arial"/>
                <w:sz w:val="22"/>
                <w:szCs w:val="22"/>
              </w:rPr>
            </w:pPr>
            <w:r>
              <w:rPr>
                <w:rFonts w:cs="Arial"/>
                <w:sz w:val="22"/>
                <w:szCs w:val="22"/>
              </w:rPr>
              <w:t>0.13 ± 0.02</w:t>
            </w:r>
          </w:p>
        </w:tc>
        <w:tc>
          <w:tcPr>
            <w:tcW w:w="1490" w:type="dxa"/>
          </w:tcPr>
          <w:p w14:paraId="54881034" w14:textId="77777777" w:rsidR="00D55DC5" w:rsidRPr="00674605" w:rsidRDefault="00D55DC5" w:rsidP="00D24B6C">
            <w:pPr>
              <w:jc w:val="center"/>
              <w:rPr>
                <w:rFonts w:cs="Arial"/>
                <w:sz w:val="22"/>
                <w:szCs w:val="22"/>
              </w:rPr>
            </w:pPr>
            <w:r>
              <w:rPr>
                <w:rFonts w:cs="Arial"/>
                <w:sz w:val="22"/>
                <w:szCs w:val="22"/>
              </w:rPr>
              <w:t>0.13 ± 0.02</w:t>
            </w:r>
          </w:p>
        </w:tc>
      </w:tr>
      <w:tr w:rsidR="00D55DC5" w:rsidRPr="00674605" w14:paraId="1A9DD993" w14:textId="77777777" w:rsidTr="00E615F6">
        <w:tc>
          <w:tcPr>
            <w:tcW w:w="1224" w:type="dxa"/>
            <w:gridSpan w:val="2"/>
          </w:tcPr>
          <w:p w14:paraId="4756DC91" w14:textId="77777777" w:rsidR="00D55DC5" w:rsidRDefault="00D55DC5" w:rsidP="008009D0">
            <w:pPr>
              <w:jc w:val="both"/>
              <w:rPr>
                <w:rFonts w:cs="Arial"/>
                <w:sz w:val="22"/>
                <w:szCs w:val="22"/>
              </w:rPr>
            </w:pPr>
            <w:r>
              <w:rPr>
                <w:rFonts w:cs="Arial"/>
                <w:sz w:val="22"/>
                <w:szCs w:val="22"/>
              </w:rPr>
              <w:t>Knee</w:t>
            </w:r>
          </w:p>
        </w:tc>
        <w:tc>
          <w:tcPr>
            <w:tcW w:w="802" w:type="dxa"/>
          </w:tcPr>
          <w:p w14:paraId="6A588875" w14:textId="77777777" w:rsidR="00D55DC5" w:rsidRDefault="00D55DC5" w:rsidP="008009D0">
            <w:pPr>
              <w:jc w:val="both"/>
              <w:rPr>
                <w:rFonts w:cs="Arial"/>
                <w:sz w:val="22"/>
                <w:szCs w:val="22"/>
              </w:rPr>
            </w:pPr>
          </w:p>
        </w:tc>
        <w:tc>
          <w:tcPr>
            <w:tcW w:w="1438" w:type="dxa"/>
          </w:tcPr>
          <w:p w14:paraId="6177E2EB" w14:textId="77777777" w:rsidR="00D55DC5" w:rsidRPr="00674605" w:rsidRDefault="00D55DC5" w:rsidP="00D24B6C">
            <w:pPr>
              <w:jc w:val="center"/>
              <w:rPr>
                <w:rFonts w:cs="Arial"/>
                <w:sz w:val="22"/>
                <w:szCs w:val="22"/>
              </w:rPr>
            </w:pPr>
          </w:p>
        </w:tc>
        <w:tc>
          <w:tcPr>
            <w:tcW w:w="1438" w:type="dxa"/>
          </w:tcPr>
          <w:p w14:paraId="4F493939" w14:textId="77777777" w:rsidR="00D55DC5" w:rsidRPr="00674605" w:rsidRDefault="00D55DC5" w:rsidP="00D24B6C">
            <w:pPr>
              <w:jc w:val="center"/>
              <w:rPr>
                <w:rFonts w:cs="Arial"/>
                <w:sz w:val="22"/>
                <w:szCs w:val="22"/>
              </w:rPr>
            </w:pPr>
          </w:p>
        </w:tc>
        <w:tc>
          <w:tcPr>
            <w:tcW w:w="1438" w:type="dxa"/>
          </w:tcPr>
          <w:p w14:paraId="4725101B" w14:textId="77777777" w:rsidR="00D55DC5" w:rsidRPr="00674605" w:rsidRDefault="00D55DC5" w:rsidP="00D24B6C">
            <w:pPr>
              <w:jc w:val="center"/>
              <w:rPr>
                <w:rFonts w:cs="Arial"/>
                <w:sz w:val="22"/>
                <w:szCs w:val="22"/>
              </w:rPr>
            </w:pPr>
          </w:p>
        </w:tc>
        <w:tc>
          <w:tcPr>
            <w:tcW w:w="1490" w:type="dxa"/>
          </w:tcPr>
          <w:p w14:paraId="73E7B1D3" w14:textId="77777777" w:rsidR="00D55DC5" w:rsidRPr="00674605" w:rsidRDefault="00D55DC5" w:rsidP="00D24B6C">
            <w:pPr>
              <w:jc w:val="center"/>
              <w:rPr>
                <w:rFonts w:cs="Arial"/>
                <w:sz w:val="22"/>
                <w:szCs w:val="22"/>
              </w:rPr>
            </w:pPr>
          </w:p>
        </w:tc>
      </w:tr>
      <w:tr w:rsidR="00D55DC5" w:rsidRPr="00674605" w14:paraId="088D87BF" w14:textId="77777777" w:rsidTr="00E615F6">
        <w:tc>
          <w:tcPr>
            <w:tcW w:w="2026" w:type="dxa"/>
            <w:gridSpan w:val="3"/>
          </w:tcPr>
          <w:p w14:paraId="34B0A1DD" w14:textId="77777777" w:rsidR="00D55DC5" w:rsidRDefault="00D55DC5" w:rsidP="008009D0">
            <w:pPr>
              <w:jc w:val="both"/>
              <w:rPr>
                <w:rFonts w:cs="Arial"/>
                <w:sz w:val="22"/>
                <w:szCs w:val="22"/>
              </w:rPr>
            </w:pPr>
            <w:r>
              <w:rPr>
                <w:rFonts w:cs="Arial"/>
                <w:sz w:val="22"/>
                <w:szCs w:val="22"/>
              </w:rPr>
              <w:t>%REC</w:t>
            </w:r>
          </w:p>
        </w:tc>
        <w:tc>
          <w:tcPr>
            <w:tcW w:w="1438" w:type="dxa"/>
          </w:tcPr>
          <w:p w14:paraId="773E5D5E" w14:textId="77777777" w:rsidR="00D55DC5" w:rsidRPr="00674605" w:rsidRDefault="00D55DC5" w:rsidP="00D24B6C">
            <w:pPr>
              <w:jc w:val="center"/>
              <w:rPr>
                <w:rFonts w:cs="Arial"/>
                <w:sz w:val="22"/>
                <w:szCs w:val="22"/>
              </w:rPr>
            </w:pPr>
            <w:r>
              <w:rPr>
                <w:rFonts w:cs="Arial"/>
                <w:sz w:val="22"/>
                <w:szCs w:val="22"/>
              </w:rPr>
              <w:t>2.36 ± 0.66</w:t>
            </w:r>
          </w:p>
        </w:tc>
        <w:tc>
          <w:tcPr>
            <w:tcW w:w="1438" w:type="dxa"/>
          </w:tcPr>
          <w:p w14:paraId="2E90E74B" w14:textId="77777777" w:rsidR="00D55DC5" w:rsidRPr="00674605" w:rsidRDefault="00D55DC5" w:rsidP="00D24B6C">
            <w:pPr>
              <w:jc w:val="center"/>
              <w:rPr>
                <w:rFonts w:cs="Arial"/>
                <w:sz w:val="22"/>
                <w:szCs w:val="22"/>
              </w:rPr>
            </w:pPr>
            <w:r>
              <w:rPr>
                <w:rFonts w:cs="Arial"/>
                <w:sz w:val="22"/>
                <w:szCs w:val="22"/>
              </w:rPr>
              <w:t>2.49 ± 0.72</w:t>
            </w:r>
          </w:p>
        </w:tc>
        <w:tc>
          <w:tcPr>
            <w:tcW w:w="1438" w:type="dxa"/>
          </w:tcPr>
          <w:p w14:paraId="080603BD" w14:textId="77777777" w:rsidR="00D55DC5" w:rsidRPr="00674605" w:rsidRDefault="00D55DC5" w:rsidP="00D24B6C">
            <w:pPr>
              <w:jc w:val="center"/>
              <w:rPr>
                <w:rFonts w:cs="Arial"/>
                <w:sz w:val="22"/>
                <w:szCs w:val="22"/>
              </w:rPr>
            </w:pPr>
            <w:r>
              <w:rPr>
                <w:rFonts w:cs="Arial"/>
                <w:sz w:val="22"/>
                <w:szCs w:val="22"/>
              </w:rPr>
              <w:t>2.41 ± 0.47</w:t>
            </w:r>
          </w:p>
        </w:tc>
        <w:tc>
          <w:tcPr>
            <w:tcW w:w="1490" w:type="dxa"/>
          </w:tcPr>
          <w:p w14:paraId="69CA14D1" w14:textId="77777777" w:rsidR="00D55DC5" w:rsidRPr="00674605" w:rsidRDefault="00D55DC5" w:rsidP="00D24B6C">
            <w:pPr>
              <w:jc w:val="center"/>
              <w:rPr>
                <w:rFonts w:cs="Arial"/>
                <w:sz w:val="22"/>
                <w:szCs w:val="22"/>
              </w:rPr>
            </w:pPr>
            <w:r>
              <w:rPr>
                <w:rFonts w:cs="Arial"/>
                <w:sz w:val="22"/>
                <w:szCs w:val="22"/>
              </w:rPr>
              <w:t>2.29 ± 0.69</w:t>
            </w:r>
          </w:p>
        </w:tc>
      </w:tr>
      <w:tr w:rsidR="00D55DC5" w:rsidRPr="00674605" w14:paraId="073943B0" w14:textId="77777777" w:rsidTr="00E615F6">
        <w:tc>
          <w:tcPr>
            <w:tcW w:w="2026" w:type="dxa"/>
            <w:gridSpan w:val="3"/>
          </w:tcPr>
          <w:p w14:paraId="389D5A7E" w14:textId="77777777" w:rsidR="00D55DC5" w:rsidRDefault="00D55DC5" w:rsidP="008009D0">
            <w:pPr>
              <w:jc w:val="both"/>
              <w:rPr>
                <w:rFonts w:cs="Arial"/>
                <w:sz w:val="22"/>
                <w:szCs w:val="22"/>
              </w:rPr>
            </w:pPr>
            <w:r>
              <w:rPr>
                <w:rFonts w:cs="Arial"/>
                <w:sz w:val="22"/>
                <w:szCs w:val="22"/>
              </w:rPr>
              <w:t>Dimension</w:t>
            </w:r>
          </w:p>
        </w:tc>
        <w:tc>
          <w:tcPr>
            <w:tcW w:w="1438" w:type="dxa"/>
          </w:tcPr>
          <w:p w14:paraId="07A55EC8" w14:textId="77777777" w:rsidR="00D55DC5" w:rsidRPr="00674605" w:rsidRDefault="00D55DC5" w:rsidP="00D24B6C">
            <w:pPr>
              <w:jc w:val="center"/>
              <w:rPr>
                <w:rFonts w:cs="Arial"/>
                <w:sz w:val="22"/>
                <w:szCs w:val="22"/>
              </w:rPr>
            </w:pPr>
            <w:r>
              <w:rPr>
                <w:rFonts w:cs="Arial"/>
                <w:sz w:val="22"/>
                <w:szCs w:val="22"/>
              </w:rPr>
              <w:t>3.88 ± 0.72</w:t>
            </w:r>
          </w:p>
        </w:tc>
        <w:tc>
          <w:tcPr>
            <w:tcW w:w="1438" w:type="dxa"/>
          </w:tcPr>
          <w:p w14:paraId="6E31CB50" w14:textId="77777777" w:rsidR="00D55DC5" w:rsidRPr="00674605" w:rsidRDefault="00D55DC5" w:rsidP="00D24B6C">
            <w:pPr>
              <w:jc w:val="center"/>
              <w:rPr>
                <w:rFonts w:cs="Arial"/>
                <w:sz w:val="22"/>
                <w:szCs w:val="22"/>
              </w:rPr>
            </w:pPr>
            <w:r>
              <w:rPr>
                <w:rFonts w:cs="Arial"/>
                <w:sz w:val="22"/>
                <w:szCs w:val="22"/>
              </w:rPr>
              <w:t>3.69 ± 0.79</w:t>
            </w:r>
          </w:p>
        </w:tc>
        <w:tc>
          <w:tcPr>
            <w:tcW w:w="1438" w:type="dxa"/>
          </w:tcPr>
          <w:p w14:paraId="07519FCC" w14:textId="77777777" w:rsidR="00D55DC5" w:rsidRPr="00674605" w:rsidRDefault="00D55DC5" w:rsidP="00D24B6C">
            <w:pPr>
              <w:jc w:val="center"/>
              <w:rPr>
                <w:rFonts w:cs="Arial"/>
                <w:sz w:val="22"/>
                <w:szCs w:val="22"/>
              </w:rPr>
            </w:pPr>
            <w:r>
              <w:rPr>
                <w:rFonts w:cs="Arial"/>
                <w:sz w:val="22"/>
                <w:szCs w:val="22"/>
              </w:rPr>
              <w:t>3.63 ± 0.50</w:t>
            </w:r>
          </w:p>
        </w:tc>
        <w:tc>
          <w:tcPr>
            <w:tcW w:w="1490" w:type="dxa"/>
          </w:tcPr>
          <w:p w14:paraId="616BFF98" w14:textId="77777777" w:rsidR="00D55DC5" w:rsidRPr="00674605" w:rsidRDefault="00D55DC5" w:rsidP="00D24B6C">
            <w:pPr>
              <w:jc w:val="center"/>
              <w:rPr>
                <w:rFonts w:cs="Arial"/>
                <w:sz w:val="22"/>
                <w:szCs w:val="22"/>
              </w:rPr>
            </w:pPr>
            <w:r>
              <w:rPr>
                <w:rFonts w:cs="Arial"/>
                <w:sz w:val="22"/>
                <w:szCs w:val="22"/>
              </w:rPr>
              <w:t>3.69 ± 0.60</w:t>
            </w:r>
          </w:p>
        </w:tc>
      </w:tr>
      <w:tr w:rsidR="00D55DC5" w:rsidRPr="00674605" w14:paraId="08319ADA" w14:textId="77777777" w:rsidTr="00E615F6">
        <w:tc>
          <w:tcPr>
            <w:tcW w:w="2026" w:type="dxa"/>
            <w:gridSpan w:val="3"/>
          </w:tcPr>
          <w:p w14:paraId="7161D6CD" w14:textId="77777777" w:rsidR="00D55DC5" w:rsidRDefault="00D55DC5" w:rsidP="008009D0">
            <w:pPr>
              <w:jc w:val="both"/>
              <w:rPr>
                <w:rFonts w:cs="Arial"/>
                <w:sz w:val="22"/>
                <w:szCs w:val="22"/>
              </w:rPr>
            </w:pPr>
            <w:r>
              <w:rPr>
                <w:rFonts w:cs="Arial"/>
                <w:sz w:val="22"/>
                <w:szCs w:val="22"/>
              </w:rPr>
              <w:t>Threshold</w:t>
            </w:r>
          </w:p>
        </w:tc>
        <w:tc>
          <w:tcPr>
            <w:tcW w:w="1438" w:type="dxa"/>
          </w:tcPr>
          <w:p w14:paraId="517A5D46" w14:textId="77777777" w:rsidR="00D55DC5" w:rsidRPr="00674605" w:rsidRDefault="00D55DC5" w:rsidP="00D24B6C">
            <w:pPr>
              <w:jc w:val="center"/>
              <w:rPr>
                <w:rFonts w:cs="Arial"/>
                <w:sz w:val="22"/>
                <w:szCs w:val="22"/>
              </w:rPr>
            </w:pPr>
            <w:r>
              <w:rPr>
                <w:rFonts w:cs="Arial"/>
                <w:sz w:val="22"/>
                <w:szCs w:val="22"/>
              </w:rPr>
              <w:t>0.13 ± 0.03</w:t>
            </w:r>
          </w:p>
        </w:tc>
        <w:tc>
          <w:tcPr>
            <w:tcW w:w="1438" w:type="dxa"/>
          </w:tcPr>
          <w:p w14:paraId="5E59285C" w14:textId="77777777" w:rsidR="00D55DC5" w:rsidRPr="00674605" w:rsidRDefault="00D55DC5" w:rsidP="00D24B6C">
            <w:pPr>
              <w:jc w:val="center"/>
              <w:rPr>
                <w:rFonts w:cs="Arial"/>
                <w:sz w:val="22"/>
                <w:szCs w:val="22"/>
              </w:rPr>
            </w:pPr>
            <w:r>
              <w:rPr>
                <w:rFonts w:cs="Arial"/>
                <w:sz w:val="22"/>
                <w:szCs w:val="22"/>
              </w:rPr>
              <w:t>0.12 ± 0.03</w:t>
            </w:r>
          </w:p>
        </w:tc>
        <w:tc>
          <w:tcPr>
            <w:tcW w:w="1438" w:type="dxa"/>
          </w:tcPr>
          <w:p w14:paraId="1D6E3AC6" w14:textId="77777777" w:rsidR="00D55DC5" w:rsidRPr="00674605" w:rsidRDefault="00D55DC5" w:rsidP="00D24B6C">
            <w:pPr>
              <w:jc w:val="center"/>
              <w:rPr>
                <w:rFonts w:cs="Arial"/>
                <w:sz w:val="22"/>
                <w:szCs w:val="22"/>
              </w:rPr>
            </w:pPr>
            <w:r>
              <w:rPr>
                <w:rFonts w:cs="Arial"/>
                <w:sz w:val="22"/>
                <w:szCs w:val="22"/>
              </w:rPr>
              <w:t>0.13 ± 0.03</w:t>
            </w:r>
          </w:p>
        </w:tc>
        <w:tc>
          <w:tcPr>
            <w:tcW w:w="1490" w:type="dxa"/>
          </w:tcPr>
          <w:p w14:paraId="28D1803E" w14:textId="77777777" w:rsidR="00D55DC5" w:rsidRPr="00674605" w:rsidRDefault="00D55DC5" w:rsidP="00D24B6C">
            <w:pPr>
              <w:jc w:val="center"/>
              <w:rPr>
                <w:rFonts w:cs="Arial"/>
                <w:sz w:val="22"/>
                <w:szCs w:val="22"/>
              </w:rPr>
            </w:pPr>
            <w:r>
              <w:rPr>
                <w:rFonts w:cs="Arial"/>
                <w:sz w:val="22"/>
                <w:szCs w:val="22"/>
              </w:rPr>
              <w:t>0.14 ± 0.04</w:t>
            </w:r>
          </w:p>
        </w:tc>
      </w:tr>
      <w:tr w:rsidR="00D55DC5" w:rsidRPr="00674605" w14:paraId="1845F531" w14:textId="77777777" w:rsidTr="00E615F6">
        <w:tc>
          <w:tcPr>
            <w:tcW w:w="1224" w:type="dxa"/>
            <w:gridSpan w:val="2"/>
          </w:tcPr>
          <w:p w14:paraId="720E45E1" w14:textId="77777777" w:rsidR="00D55DC5" w:rsidRDefault="00D55DC5" w:rsidP="008009D0">
            <w:pPr>
              <w:jc w:val="both"/>
              <w:rPr>
                <w:rFonts w:cs="Arial"/>
                <w:sz w:val="22"/>
                <w:szCs w:val="22"/>
              </w:rPr>
            </w:pPr>
            <w:r>
              <w:rPr>
                <w:rFonts w:cs="Arial"/>
                <w:sz w:val="22"/>
                <w:szCs w:val="22"/>
              </w:rPr>
              <w:t>Shoulder</w:t>
            </w:r>
          </w:p>
        </w:tc>
        <w:tc>
          <w:tcPr>
            <w:tcW w:w="802" w:type="dxa"/>
          </w:tcPr>
          <w:p w14:paraId="289BBAC8" w14:textId="77777777" w:rsidR="00D55DC5" w:rsidRDefault="00D55DC5" w:rsidP="008009D0">
            <w:pPr>
              <w:jc w:val="both"/>
              <w:rPr>
                <w:rFonts w:cs="Arial"/>
                <w:sz w:val="22"/>
                <w:szCs w:val="22"/>
              </w:rPr>
            </w:pPr>
          </w:p>
        </w:tc>
        <w:tc>
          <w:tcPr>
            <w:tcW w:w="1438" w:type="dxa"/>
          </w:tcPr>
          <w:p w14:paraId="79594FD0" w14:textId="77777777" w:rsidR="00D55DC5" w:rsidRPr="00674605" w:rsidRDefault="00D55DC5" w:rsidP="00D24B6C">
            <w:pPr>
              <w:jc w:val="center"/>
              <w:rPr>
                <w:rFonts w:cs="Arial"/>
                <w:sz w:val="22"/>
                <w:szCs w:val="22"/>
              </w:rPr>
            </w:pPr>
          </w:p>
        </w:tc>
        <w:tc>
          <w:tcPr>
            <w:tcW w:w="1438" w:type="dxa"/>
          </w:tcPr>
          <w:p w14:paraId="7257D180" w14:textId="77777777" w:rsidR="00D55DC5" w:rsidRPr="00674605" w:rsidRDefault="00D55DC5" w:rsidP="00D24B6C">
            <w:pPr>
              <w:jc w:val="center"/>
              <w:rPr>
                <w:rFonts w:cs="Arial"/>
                <w:sz w:val="22"/>
                <w:szCs w:val="22"/>
              </w:rPr>
            </w:pPr>
          </w:p>
        </w:tc>
        <w:tc>
          <w:tcPr>
            <w:tcW w:w="1438" w:type="dxa"/>
          </w:tcPr>
          <w:p w14:paraId="2E0D0DEB" w14:textId="77777777" w:rsidR="00D55DC5" w:rsidRPr="00674605" w:rsidRDefault="00D55DC5" w:rsidP="00D24B6C">
            <w:pPr>
              <w:jc w:val="center"/>
              <w:rPr>
                <w:rFonts w:cs="Arial"/>
                <w:sz w:val="22"/>
                <w:szCs w:val="22"/>
              </w:rPr>
            </w:pPr>
          </w:p>
        </w:tc>
        <w:tc>
          <w:tcPr>
            <w:tcW w:w="1490" w:type="dxa"/>
          </w:tcPr>
          <w:p w14:paraId="45DBB1EF" w14:textId="77777777" w:rsidR="00D55DC5" w:rsidRPr="00674605" w:rsidRDefault="00D55DC5" w:rsidP="00D24B6C">
            <w:pPr>
              <w:jc w:val="center"/>
              <w:rPr>
                <w:rFonts w:cs="Arial"/>
                <w:sz w:val="22"/>
                <w:szCs w:val="22"/>
              </w:rPr>
            </w:pPr>
          </w:p>
        </w:tc>
      </w:tr>
      <w:tr w:rsidR="00D55DC5" w:rsidRPr="00674605" w14:paraId="17CDFCCB" w14:textId="77777777" w:rsidTr="00E615F6">
        <w:tc>
          <w:tcPr>
            <w:tcW w:w="2026" w:type="dxa"/>
            <w:gridSpan w:val="3"/>
          </w:tcPr>
          <w:p w14:paraId="4EDC2AB2" w14:textId="77777777" w:rsidR="00D55DC5" w:rsidRDefault="00D55DC5" w:rsidP="008009D0">
            <w:pPr>
              <w:jc w:val="both"/>
              <w:rPr>
                <w:rFonts w:cs="Arial"/>
                <w:sz w:val="22"/>
                <w:szCs w:val="22"/>
              </w:rPr>
            </w:pPr>
            <w:r>
              <w:rPr>
                <w:rFonts w:cs="Arial"/>
                <w:sz w:val="22"/>
                <w:szCs w:val="22"/>
              </w:rPr>
              <w:t>%REC</w:t>
            </w:r>
          </w:p>
        </w:tc>
        <w:tc>
          <w:tcPr>
            <w:tcW w:w="1438" w:type="dxa"/>
          </w:tcPr>
          <w:p w14:paraId="6F5EDCF5" w14:textId="77777777" w:rsidR="00D55DC5" w:rsidRPr="00674605" w:rsidRDefault="00D55DC5" w:rsidP="00D24B6C">
            <w:pPr>
              <w:jc w:val="center"/>
              <w:rPr>
                <w:rFonts w:cs="Arial"/>
                <w:sz w:val="22"/>
                <w:szCs w:val="22"/>
              </w:rPr>
            </w:pPr>
            <w:r>
              <w:rPr>
                <w:rFonts w:cs="Arial"/>
                <w:sz w:val="22"/>
                <w:szCs w:val="22"/>
              </w:rPr>
              <w:t>2.55 ± 0.72</w:t>
            </w:r>
          </w:p>
        </w:tc>
        <w:tc>
          <w:tcPr>
            <w:tcW w:w="1438" w:type="dxa"/>
          </w:tcPr>
          <w:p w14:paraId="254F8B3B" w14:textId="77777777" w:rsidR="00D55DC5" w:rsidRPr="00674605" w:rsidRDefault="00D55DC5" w:rsidP="00D24B6C">
            <w:pPr>
              <w:jc w:val="center"/>
              <w:rPr>
                <w:rFonts w:cs="Arial"/>
                <w:sz w:val="22"/>
                <w:szCs w:val="22"/>
              </w:rPr>
            </w:pPr>
            <w:r>
              <w:rPr>
                <w:rFonts w:cs="Arial"/>
                <w:sz w:val="22"/>
                <w:szCs w:val="22"/>
              </w:rPr>
              <w:t>2.24 ± 0.43</w:t>
            </w:r>
          </w:p>
        </w:tc>
        <w:tc>
          <w:tcPr>
            <w:tcW w:w="1438" w:type="dxa"/>
          </w:tcPr>
          <w:p w14:paraId="779D2362" w14:textId="77777777" w:rsidR="00D55DC5" w:rsidRPr="00674605" w:rsidRDefault="00D55DC5" w:rsidP="00D24B6C">
            <w:pPr>
              <w:jc w:val="center"/>
              <w:rPr>
                <w:rFonts w:cs="Arial"/>
                <w:sz w:val="22"/>
                <w:szCs w:val="22"/>
              </w:rPr>
            </w:pPr>
            <w:r>
              <w:rPr>
                <w:rFonts w:cs="Arial"/>
                <w:sz w:val="22"/>
                <w:szCs w:val="22"/>
              </w:rPr>
              <w:t>2.41 ± 0.56</w:t>
            </w:r>
          </w:p>
        </w:tc>
        <w:tc>
          <w:tcPr>
            <w:tcW w:w="1490" w:type="dxa"/>
          </w:tcPr>
          <w:p w14:paraId="62635558" w14:textId="77777777" w:rsidR="00D55DC5" w:rsidRPr="00674605" w:rsidRDefault="00D55DC5" w:rsidP="00D24B6C">
            <w:pPr>
              <w:jc w:val="center"/>
              <w:rPr>
                <w:rFonts w:cs="Arial"/>
                <w:sz w:val="22"/>
                <w:szCs w:val="22"/>
              </w:rPr>
            </w:pPr>
            <w:r>
              <w:rPr>
                <w:rFonts w:cs="Arial"/>
                <w:sz w:val="22"/>
                <w:szCs w:val="22"/>
              </w:rPr>
              <w:t>2.60 ± 0.67</w:t>
            </w:r>
          </w:p>
        </w:tc>
      </w:tr>
      <w:tr w:rsidR="00D55DC5" w:rsidRPr="00674605" w14:paraId="22B656FF" w14:textId="77777777" w:rsidTr="00E615F6">
        <w:tc>
          <w:tcPr>
            <w:tcW w:w="2026" w:type="dxa"/>
            <w:gridSpan w:val="3"/>
          </w:tcPr>
          <w:p w14:paraId="5467B9D5" w14:textId="77777777" w:rsidR="00D55DC5" w:rsidRDefault="00D55DC5" w:rsidP="008009D0">
            <w:pPr>
              <w:jc w:val="both"/>
              <w:rPr>
                <w:rFonts w:cs="Arial"/>
                <w:sz w:val="22"/>
                <w:szCs w:val="22"/>
              </w:rPr>
            </w:pPr>
            <w:r>
              <w:rPr>
                <w:rFonts w:cs="Arial"/>
                <w:sz w:val="22"/>
                <w:szCs w:val="22"/>
              </w:rPr>
              <w:t>Dimension</w:t>
            </w:r>
          </w:p>
        </w:tc>
        <w:tc>
          <w:tcPr>
            <w:tcW w:w="1438" w:type="dxa"/>
          </w:tcPr>
          <w:p w14:paraId="2A510229" w14:textId="77777777" w:rsidR="00D55DC5" w:rsidRPr="00674605" w:rsidRDefault="00D55DC5" w:rsidP="00D24B6C">
            <w:pPr>
              <w:jc w:val="center"/>
              <w:rPr>
                <w:rFonts w:cs="Arial"/>
                <w:sz w:val="22"/>
                <w:szCs w:val="22"/>
              </w:rPr>
            </w:pPr>
            <w:r>
              <w:rPr>
                <w:rFonts w:cs="Arial"/>
                <w:sz w:val="22"/>
                <w:szCs w:val="22"/>
              </w:rPr>
              <w:t>3.38 ± 0.81</w:t>
            </w:r>
          </w:p>
        </w:tc>
        <w:tc>
          <w:tcPr>
            <w:tcW w:w="1438" w:type="dxa"/>
          </w:tcPr>
          <w:p w14:paraId="00CCBA50" w14:textId="77777777" w:rsidR="00D55DC5" w:rsidRPr="00674605" w:rsidRDefault="00D55DC5" w:rsidP="00D24B6C">
            <w:pPr>
              <w:jc w:val="center"/>
              <w:rPr>
                <w:rFonts w:cs="Arial"/>
                <w:sz w:val="22"/>
                <w:szCs w:val="22"/>
              </w:rPr>
            </w:pPr>
            <w:r>
              <w:rPr>
                <w:rFonts w:cs="Arial"/>
                <w:sz w:val="22"/>
                <w:szCs w:val="22"/>
              </w:rPr>
              <w:t>3.44 ± 0.51</w:t>
            </w:r>
          </w:p>
        </w:tc>
        <w:tc>
          <w:tcPr>
            <w:tcW w:w="1438" w:type="dxa"/>
          </w:tcPr>
          <w:p w14:paraId="49143341" w14:textId="77777777" w:rsidR="00D55DC5" w:rsidRPr="00674605" w:rsidRDefault="00D55DC5" w:rsidP="00D24B6C">
            <w:pPr>
              <w:jc w:val="center"/>
              <w:rPr>
                <w:rFonts w:cs="Arial"/>
                <w:sz w:val="22"/>
                <w:szCs w:val="22"/>
              </w:rPr>
            </w:pPr>
            <w:r>
              <w:rPr>
                <w:rFonts w:cs="Arial"/>
                <w:sz w:val="22"/>
                <w:szCs w:val="22"/>
              </w:rPr>
              <w:t>3.25 ± 0.58</w:t>
            </w:r>
          </w:p>
        </w:tc>
        <w:tc>
          <w:tcPr>
            <w:tcW w:w="1490" w:type="dxa"/>
          </w:tcPr>
          <w:p w14:paraId="26FF1431" w14:textId="77777777" w:rsidR="00D55DC5" w:rsidRPr="00674605" w:rsidRDefault="00D55DC5" w:rsidP="00D24B6C">
            <w:pPr>
              <w:jc w:val="center"/>
              <w:rPr>
                <w:rFonts w:cs="Arial"/>
                <w:sz w:val="22"/>
                <w:szCs w:val="22"/>
              </w:rPr>
            </w:pPr>
            <w:r>
              <w:rPr>
                <w:rFonts w:cs="Arial"/>
                <w:sz w:val="22"/>
                <w:szCs w:val="22"/>
              </w:rPr>
              <w:t>3.13 ± 0.62</w:t>
            </w:r>
          </w:p>
        </w:tc>
      </w:tr>
      <w:tr w:rsidR="00D55DC5" w:rsidRPr="00674605" w14:paraId="4F09DC28" w14:textId="77777777" w:rsidTr="00E615F6">
        <w:tc>
          <w:tcPr>
            <w:tcW w:w="2026" w:type="dxa"/>
            <w:gridSpan w:val="3"/>
          </w:tcPr>
          <w:p w14:paraId="07B6FE3F" w14:textId="77777777" w:rsidR="00D55DC5" w:rsidRDefault="00D55DC5" w:rsidP="008009D0">
            <w:pPr>
              <w:jc w:val="both"/>
              <w:rPr>
                <w:rFonts w:cs="Arial"/>
                <w:sz w:val="22"/>
                <w:szCs w:val="22"/>
              </w:rPr>
            </w:pPr>
            <w:r>
              <w:rPr>
                <w:rFonts w:cs="Arial"/>
                <w:sz w:val="22"/>
                <w:szCs w:val="22"/>
              </w:rPr>
              <w:t>Threshold</w:t>
            </w:r>
          </w:p>
        </w:tc>
        <w:tc>
          <w:tcPr>
            <w:tcW w:w="1438" w:type="dxa"/>
          </w:tcPr>
          <w:p w14:paraId="12445D7A" w14:textId="77777777" w:rsidR="00D55DC5" w:rsidRPr="00674605" w:rsidRDefault="00D55DC5" w:rsidP="00D24B6C">
            <w:pPr>
              <w:jc w:val="center"/>
              <w:rPr>
                <w:rFonts w:cs="Arial"/>
                <w:sz w:val="22"/>
                <w:szCs w:val="22"/>
              </w:rPr>
            </w:pPr>
            <w:r>
              <w:rPr>
                <w:rFonts w:cs="Arial"/>
                <w:sz w:val="22"/>
                <w:szCs w:val="22"/>
              </w:rPr>
              <w:t>0.15 ± 0.03</w:t>
            </w:r>
          </w:p>
        </w:tc>
        <w:tc>
          <w:tcPr>
            <w:tcW w:w="1438" w:type="dxa"/>
          </w:tcPr>
          <w:p w14:paraId="63C2D9B3" w14:textId="77777777" w:rsidR="00D55DC5" w:rsidRPr="00674605" w:rsidRDefault="00D55DC5" w:rsidP="00D24B6C">
            <w:pPr>
              <w:jc w:val="center"/>
              <w:rPr>
                <w:rFonts w:cs="Arial"/>
                <w:sz w:val="22"/>
                <w:szCs w:val="22"/>
              </w:rPr>
            </w:pPr>
            <w:r>
              <w:rPr>
                <w:rFonts w:cs="Arial"/>
                <w:sz w:val="22"/>
                <w:szCs w:val="22"/>
              </w:rPr>
              <w:t>0.14 ± 0.04</w:t>
            </w:r>
          </w:p>
        </w:tc>
        <w:tc>
          <w:tcPr>
            <w:tcW w:w="1438" w:type="dxa"/>
          </w:tcPr>
          <w:p w14:paraId="452693B3" w14:textId="77777777" w:rsidR="00D55DC5" w:rsidRPr="00674605" w:rsidRDefault="00D55DC5" w:rsidP="00D24B6C">
            <w:pPr>
              <w:jc w:val="center"/>
              <w:rPr>
                <w:rFonts w:cs="Arial"/>
                <w:sz w:val="22"/>
                <w:szCs w:val="22"/>
              </w:rPr>
            </w:pPr>
            <w:r>
              <w:rPr>
                <w:rFonts w:cs="Arial"/>
                <w:sz w:val="22"/>
                <w:szCs w:val="22"/>
              </w:rPr>
              <w:t>0.14 ± 0.03</w:t>
            </w:r>
          </w:p>
        </w:tc>
        <w:tc>
          <w:tcPr>
            <w:tcW w:w="1490" w:type="dxa"/>
          </w:tcPr>
          <w:p w14:paraId="73FD148A" w14:textId="77777777" w:rsidR="00D55DC5" w:rsidRPr="00674605" w:rsidRDefault="00D55DC5" w:rsidP="00D24B6C">
            <w:pPr>
              <w:jc w:val="center"/>
              <w:rPr>
                <w:rFonts w:cs="Arial"/>
                <w:sz w:val="22"/>
                <w:szCs w:val="22"/>
              </w:rPr>
            </w:pPr>
            <w:r>
              <w:rPr>
                <w:rFonts w:cs="Arial"/>
                <w:sz w:val="22"/>
                <w:szCs w:val="22"/>
              </w:rPr>
              <w:t>0.14 ± 0.03</w:t>
            </w:r>
          </w:p>
        </w:tc>
      </w:tr>
      <w:tr w:rsidR="00D55DC5" w:rsidRPr="00674605" w14:paraId="374FC0A2" w14:textId="77777777" w:rsidTr="00E615F6">
        <w:tc>
          <w:tcPr>
            <w:tcW w:w="7830" w:type="dxa"/>
            <w:gridSpan w:val="7"/>
            <w:tcBorders>
              <w:top w:val="single" w:sz="4" w:space="0" w:color="auto"/>
            </w:tcBorders>
          </w:tcPr>
          <w:p w14:paraId="484FC545" w14:textId="6054265C" w:rsidR="00D55DC5" w:rsidRPr="00674605" w:rsidRDefault="00D55DC5" w:rsidP="008009D0">
            <w:pPr>
              <w:jc w:val="both"/>
              <w:rPr>
                <w:rFonts w:cs="Arial"/>
                <w:sz w:val="22"/>
                <w:szCs w:val="22"/>
              </w:rPr>
            </w:pPr>
            <w:r w:rsidRPr="00674605">
              <w:rPr>
                <w:rFonts w:cs="Arial"/>
                <w:sz w:val="22"/>
                <w:szCs w:val="22"/>
              </w:rPr>
              <w:t xml:space="preserve">Note: </w:t>
            </w:r>
            <w:r>
              <w:rPr>
                <w:rFonts w:cs="Arial"/>
                <w:sz w:val="22"/>
                <w:szCs w:val="22"/>
              </w:rPr>
              <w:t>RQA</w:t>
            </w:r>
            <w:r w:rsidRPr="00674605">
              <w:rPr>
                <w:rFonts w:cs="Arial"/>
                <w:sz w:val="22"/>
                <w:szCs w:val="22"/>
              </w:rPr>
              <w:t xml:space="preserve"> = </w:t>
            </w:r>
            <w:r>
              <w:rPr>
                <w:rFonts w:cs="Arial"/>
                <w:sz w:val="22"/>
                <w:szCs w:val="22"/>
              </w:rPr>
              <w:t>Recurrence Quantification Analysis</w:t>
            </w:r>
            <w:r w:rsidRPr="00674605">
              <w:rPr>
                <w:rFonts w:cs="Arial"/>
                <w:sz w:val="22"/>
                <w:szCs w:val="22"/>
              </w:rPr>
              <w:t xml:space="preserve">, </w:t>
            </w:r>
            <w:r>
              <w:rPr>
                <w:rFonts w:cs="Arial"/>
                <w:sz w:val="22"/>
                <w:szCs w:val="22"/>
              </w:rPr>
              <w:t>%REC = percent recurrence, OFF = off-medication state, ON = on-medication state, ST = single-task, DT = dual-task.</w:t>
            </w:r>
            <w:r w:rsidR="00410F7B">
              <w:rPr>
                <w:rFonts w:cs="Arial"/>
                <w:sz w:val="22"/>
                <w:szCs w:val="22"/>
              </w:rPr>
              <w:t xml:space="preserve"> Time delay was fixed </w:t>
            </w:r>
            <w:r w:rsidR="00530066">
              <w:rPr>
                <w:rFonts w:cs="Arial"/>
                <w:sz w:val="22"/>
                <w:szCs w:val="22"/>
              </w:rPr>
              <w:t>at 2 for all analyses.</w:t>
            </w:r>
          </w:p>
        </w:tc>
      </w:tr>
    </w:tbl>
    <w:p w14:paraId="325AC070" w14:textId="603282CC" w:rsidR="00C92DA0" w:rsidRPr="00C92DA0" w:rsidRDefault="00D55DC5" w:rsidP="008009D0">
      <w:pPr>
        <w:jc w:val="both"/>
        <w:rPr>
          <w:rFonts w:cs="Arial"/>
        </w:rPr>
      </w:pPr>
      <w:r>
        <w:rPr>
          <w:rFonts w:cs="Arial"/>
        </w:rPr>
        <w:br w:type="page"/>
      </w:r>
    </w:p>
    <w:tbl>
      <w:tblPr>
        <w:tblStyle w:val="TableGrid"/>
        <w:tblW w:w="7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6"/>
        <w:gridCol w:w="1438"/>
        <w:gridCol w:w="1438"/>
        <w:gridCol w:w="1438"/>
        <w:gridCol w:w="1490"/>
      </w:tblGrid>
      <w:tr w:rsidR="00D55DC5" w:rsidRPr="00A8320F" w14:paraId="5FC7A7D4" w14:textId="77777777" w:rsidTr="00E615F6">
        <w:tc>
          <w:tcPr>
            <w:tcW w:w="7830" w:type="dxa"/>
            <w:gridSpan w:val="5"/>
            <w:tcBorders>
              <w:bottom w:val="single" w:sz="4" w:space="0" w:color="auto"/>
            </w:tcBorders>
          </w:tcPr>
          <w:p w14:paraId="345FF1AF" w14:textId="0DA56AA4" w:rsidR="00D55DC5" w:rsidRPr="00A8320F" w:rsidRDefault="00387172" w:rsidP="008009D0">
            <w:pPr>
              <w:jc w:val="both"/>
              <w:rPr>
                <w:rFonts w:cs="Arial"/>
                <w:sz w:val="22"/>
                <w:szCs w:val="22"/>
              </w:rPr>
            </w:pPr>
            <w:bookmarkStart w:id="72" w:name="_Toc527361783"/>
            <w:r>
              <w:lastRenderedPageBreak/>
              <w:t xml:space="preserve">Table </w:t>
            </w:r>
            <w:r w:rsidR="009B1116">
              <w:rPr>
                <w:noProof/>
              </w:rPr>
              <w:fldChar w:fldCharType="begin"/>
            </w:r>
            <w:r w:rsidR="009B1116">
              <w:rPr>
                <w:noProof/>
              </w:rPr>
              <w:instrText xml:space="preserve"> SEQ Table \* ARABIC </w:instrText>
            </w:r>
            <w:r w:rsidR="009B1116">
              <w:rPr>
                <w:noProof/>
              </w:rPr>
              <w:fldChar w:fldCharType="separate"/>
            </w:r>
            <w:r w:rsidR="006C3AB1">
              <w:rPr>
                <w:noProof/>
              </w:rPr>
              <w:t>7</w:t>
            </w:r>
            <w:r w:rsidR="009B1116">
              <w:rPr>
                <w:noProof/>
              </w:rPr>
              <w:fldChar w:fldCharType="end"/>
            </w:r>
            <w:r w:rsidR="00C92DA0" w:rsidRPr="00AB3A8A">
              <w:t>. The %REC and parameters calculated and input into the RQA analysis for the COP path series. Data are presented as mean ± SD.</w:t>
            </w:r>
            <w:bookmarkEnd w:id="72"/>
          </w:p>
        </w:tc>
      </w:tr>
      <w:tr w:rsidR="00D55DC5" w:rsidRPr="00A8320F" w14:paraId="204731BF" w14:textId="77777777" w:rsidTr="00E615F6">
        <w:tc>
          <w:tcPr>
            <w:tcW w:w="2026" w:type="dxa"/>
            <w:vMerge w:val="restart"/>
            <w:tcBorders>
              <w:top w:val="single" w:sz="4" w:space="0" w:color="auto"/>
              <w:bottom w:val="single" w:sz="4" w:space="0" w:color="auto"/>
            </w:tcBorders>
            <w:vAlign w:val="center"/>
          </w:tcPr>
          <w:p w14:paraId="097E6761" w14:textId="77777777" w:rsidR="00D55DC5" w:rsidRPr="00A8320F" w:rsidRDefault="00D55DC5" w:rsidP="008009D0">
            <w:pPr>
              <w:jc w:val="both"/>
              <w:rPr>
                <w:rFonts w:cs="Arial"/>
                <w:b/>
                <w:sz w:val="22"/>
                <w:szCs w:val="22"/>
              </w:rPr>
            </w:pPr>
            <w:r>
              <w:rPr>
                <w:rFonts w:cs="Arial"/>
                <w:b/>
                <w:sz w:val="22"/>
                <w:szCs w:val="22"/>
              </w:rPr>
              <w:t>RQA Parameter</w:t>
            </w:r>
            <w:r w:rsidRPr="00674605">
              <w:rPr>
                <w:rFonts w:cs="Arial"/>
                <w:b/>
                <w:sz w:val="22"/>
                <w:szCs w:val="22"/>
              </w:rPr>
              <w:t xml:space="preserve"> </w:t>
            </w:r>
          </w:p>
        </w:tc>
        <w:tc>
          <w:tcPr>
            <w:tcW w:w="5804" w:type="dxa"/>
            <w:gridSpan w:val="4"/>
            <w:tcBorders>
              <w:top w:val="single" w:sz="4" w:space="0" w:color="auto"/>
            </w:tcBorders>
            <w:vAlign w:val="center"/>
          </w:tcPr>
          <w:p w14:paraId="5150B546" w14:textId="77777777" w:rsidR="00D55DC5" w:rsidRPr="00A8320F" w:rsidRDefault="00D55DC5" w:rsidP="008009D0">
            <w:pPr>
              <w:jc w:val="both"/>
              <w:rPr>
                <w:rFonts w:cs="Arial"/>
                <w:b/>
                <w:sz w:val="22"/>
                <w:szCs w:val="22"/>
              </w:rPr>
            </w:pPr>
            <w:r>
              <w:rPr>
                <w:rFonts w:cs="Arial"/>
                <w:b/>
                <w:sz w:val="22"/>
                <w:szCs w:val="22"/>
              </w:rPr>
              <w:t>Condition</w:t>
            </w:r>
          </w:p>
        </w:tc>
      </w:tr>
      <w:tr w:rsidR="00D55DC5" w:rsidRPr="00A8320F" w14:paraId="25E4AB80" w14:textId="77777777" w:rsidTr="00E615F6">
        <w:tc>
          <w:tcPr>
            <w:tcW w:w="2026" w:type="dxa"/>
            <w:vMerge/>
            <w:tcBorders>
              <w:bottom w:val="single" w:sz="4" w:space="0" w:color="auto"/>
            </w:tcBorders>
            <w:vAlign w:val="center"/>
          </w:tcPr>
          <w:p w14:paraId="664C34C4" w14:textId="77777777" w:rsidR="00D55DC5" w:rsidRPr="00A8320F" w:rsidRDefault="00D55DC5" w:rsidP="008009D0">
            <w:pPr>
              <w:jc w:val="both"/>
              <w:rPr>
                <w:rFonts w:cs="Arial"/>
                <w:b/>
                <w:sz w:val="22"/>
                <w:szCs w:val="22"/>
              </w:rPr>
            </w:pPr>
          </w:p>
        </w:tc>
        <w:tc>
          <w:tcPr>
            <w:tcW w:w="1438" w:type="dxa"/>
            <w:tcBorders>
              <w:bottom w:val="single" w:sz="4" w:space="0" w:color="auto"/>
            </w:tcBorders>
            <w:vAlign w:val="center"/>
          </w:tcPr>
          <w:p w14:paraId="14912EE1" w14:textId="77777777" w:rsidR="00D55DC5" w:rsidRPr="00A8320F" w:rsidRDefault="00D55DC5" w:rsidP="008009D0">
            <w:pPr>
              <w:jc w:val="both"/>
              <w:rPr>
                <w:rFonts w:cs="Arial"/>
                <w:b/>
                <w:sz w:val="22"/>
                <w:szCs w:val="22"/>
              </w:rPr>
            </w:pPr>
            <w:r>
              <w:rPr>
                <w:rFonts w:cs="Arial"/>
                <w:b/>
                <w:sz w:val="22"/>
                <w:szCs w:val="22"/>
              </w:rPr>
              <w:t>STEO</w:t>
            </w:r>
          </w:p>
        </w:tc>
        <w:tc>
          <w:tcPr>
            <w:tcW w:w="1438" w:type="dxa"/>
            <w:tcBorders>
              <w:bottom w:val="single" w:sz="4" w:space="0" w:color="auto"/>
            </w:tcBorders>
            <w:vAlign w:val="center"/>
          </w:tcPr>
          <w:p w14:paraId="20C021E4" w14:textId="77777777" w:rsidR="00D55DC5" w:rsidRPr="00A8320F" w:rsidRDefault="00D55DC5" w:rsidP="008009D0">
            <w:pPr>
              <w:jc w:val="both"/>
              <w:rPr>
                <w:rFonts w:cs="Arial"/>
                <w:b/>
                <w:sz w:val="22"/>
                <w:szCs w:val="22"/>
              </w:rPr>
            </w:pPr>
            <w:r>
              <w:rPr>
                <w:rFonts w:cs="Arial"/>
                <w:b/>
                <w:sz w:val="22"/>
                <w:szCs w:val="22"/>
              </w:rPr>
              <w:t>STEC</w:t>
            </w:r>
          </w:p>
        </w:tc>
        <w:tc>
          <w:tcPr>
            <w:tcW w:w="1438" w:type="dxa"/>
            <w:tcBorders>
              <w:bottom w:val="single" w:sz="4" w:space="0" w:color="auto"/>
            </w:tcBorders>
            <w:vAlign w:val="center"/>
          </w:tcPr>
          <w:p w14:paraId="05E0EB7E" w14:textId="77777777" w:rsidR="00D55DC5" w:rsidRPr="00A8320F" w:rsidRDefault="00D55DC5" w:rsidP="008009D0">
            <w:pPr>
              <w:jc w:val="both"/>
              <w:rPr>
                <w:rFonts w:cs="Arial"/>
                <w:b/>
                <w:sz w:val="22"/>
                <w:szCs w:val="22"/>
              </w:rPr>
            </w:pPr>
            <w:r>
              <w:rPr>
                <w:rFonts w:cs="Arial"/>
                <w:b/>
                <w:sz w:val="22"/>
                <w:szCs w:val="22"/>
              </w:rPr>
              <w:t>DTEO</w:t>
            </w:r>
          </w:p>
        </w:tc>
        <w:tc>
          <w:tcPr>
            <w:tcW w:w="1490" w:type="dxa"/>
            <w:tcBorders>
              <w:bottom w:val="single" w:sz="4" w:space="0" w:color="auto"/>
            </w:tcBorders>
            <w:vAlign w:val="center"/>
          </w:tcPr>
          <w:p w14:paraId="20B6F513" w14:textId="77777777" w:rsidR="00D55DC5" w:rsidRPr="00A8320F" w:rsidRDefault="00D55DC5" w:rsidP="008009D0">
            <w:pPr>
              <w:jc w:val="both"/>
              <w:rPr>
                <w:rFonts w:cs="Arial"/>
                <w:b/>
                <w:sz w:val="22"/>
                <w:szCs w:val="22"/>
              </w:rPr>
            </w:pPr>
            <w:r>
              <w:rPr>
                <w:rFonts w:cs="Arial"/>
                <w:b/>
                <w:sz w:val="22"/>
                <w:szCs w:val="22"/>
              </w:rPr>
              <w:t>DTEC</w:t>
            </w:r>
          </w:p>
        </w:tc>
      </w:tr>
      <w:tr w:rsidR="00D55DC5" w:rsidRPr="00A8320F" w14:paraId="17FE64D0" w14:textId="77777777" w:rsidTr="00E615F6">
        <w:tc>
          <w:tcPr>
            <w:tcW w:w="2026" w:type="dxa"/>
            <w:tcBorders>
              <w:top w:val="single" w:sz="4" w:space="0" w:color="auto"/>
            </w:tcBorders>
          </w:tcPr>
          <w:p w14:paraId="50941FEC" w14:textId="77777777" w:rsidR="00D55DC5" w:rsidRPr="00A8320F" w:rsidRDefault="00D55DC5" w:rsidP="008009D0">
            <w:pPr>
              <w:jc w:val="both"/>
              <w:rPr>
                <w:rFonts w:cs="Arial"/>
                <w:sz w:val="22"/>
                <w:szCs w:val="22"/>
              </w:rPr>
            </w:pPr>
            <w:r>
              <w:rPr>
                <w:rFonts w:cs="Arial"/>
                <w:sz w:val="22"/>
                <w:szCs w:val="22"/>
              </w:rPr>
              <w:t>OFF</w:t>
            </w:r>
          </w:p>
        </w:tc>
        <w:tc>
          <w:tcPr>
            <w:tcW w:w="1438" w:type="dxa"/>
            <w:tcBorders>
              <w:top w:val="single" w:sz="4" w:space="0" w:color="auto"/>
            </w:tcBorders>
          </w:tcPr>
          <w:p w14:paraId="5D997314" w14:textId="77777777" w:rsidR="00D55DC5" w:rsidRPr="00A8320F" w:rsidRDefault="00D55DC5" w:rsidP="008009D0">
            <w:pPr>
              <w:jc w:val="both"/>
              <w:rPr>
                <w:rFonts w:cs="Arial"/>
                <w:sz w:val="22"/>
                <w:szCs w:val="22"/>
              </w:rPr>
            </w:pPr>
          </w:p>
        </w:tc>
        <w:tc>
          <w:tcPr>
            <w:tcW w:w="1438" w:type="dxa"/>
            <w:tcBorders>
              <w:top w:val="single" w:sz="4" w:space="0" w:color="auto"/>
            </w:tcBorders>
          </w:tcPr>
          <w:p w14:paraId="62E0B801" w14:textId="77777777" w:rsidR="00D55DC5" w:rsidRPr="00A8320F" w:rsidRDefault="00D55DC5" w:rsidP="008009D0">
            <w:pPr>
              <w:jc w:val="both"/>
              <w:rPr>
                <w:rFonts w:cs="Arial"/>
                <w:sz w:val="22"/>
                <w:szCs w:val="22"/>
              </w:rPr>
            </w:pPr>
          </w:p>
        </w:tc>
        <w:tc>
          <w:tcPr>
            <w:tcW w:w="1438" w:type="dxa"/>
            <w:tcBorders>
              <w:top w:val="single" w:sz="4" w:space="0" w:color="auto"/>
            </w:tcBorders>
          </w:tcPr>
          <w:p w14:paraId="61FFF439" w14:textId="77777777" w:rsidR="00D55DC5" w:rsidRPr="00A8320F" w:rsidRDefault="00D55DC5" w:rsidP="008009D0">
            <w:pPr>
              <w:jc w:val="both"/>
              <w:rPr>
                <w:rFonts w:cs="Arial"/>
                <w:sz w:val="22"/>
                <w:szCs w:val="22"/>
              </w:rPr>
            </w:pPr>
          </w:p>
        </w:tc>
        <w:tc>
          <w:tcPr>
            <w:tcW w:w="1490" w:type="dxa"/>
            <w:tcBorders>
              <w:top w:val="single" w:sz="4" w:space="0" w:color="auto"/>
            </w:tcBorders>
          </w:tcPr>
          <w:p w14:paraId="33492432" w14:textId="77777777" w:rsidR="00D55DC5" w:rsidRPr="00A8320F" w:rsidRDefault="00D55DC5" w:rsidP="008009D0">
            <w:pPr>
              <w:jc w:val="both"/>
              <w:rPr>
                <w:rFonts w:cs="Arial"/>
                <w:sz w:val="22"/>
                <w:szCs w:val="22"/>
              </w:rPr>
            </w:pPr>
          </w:p>
        </w:tc>
      </w:tr>
      <w:tr w:rsidR="00D55DC5" w:rsidRPr="00A8320F" w14:paraId="7C295583" w14:textId="77777777" w:rsidTr="00E615F6">
        <w:tc>
          <w:tcPr>
            <w:tcW w:w="2026" w:type="dxa"/>
          </w:tcPr>
          <w:p w14:paraId="156E4074" w14:textId="77777777" w:rsidR="00D55DC5" w:rsidRPr="00A8320F" w:rsidRDefault="00D55DC5" w:rsidP="008009D0">
            <w:pPr>
              <w:jc w:val="both"/>
              <w:rPr>
                <w:rFonts w:cs="Arial"/>
                <w:sz w:val="22"/>
                <w:szCs w:val="22"/>
              </w:rPr>
            </w:pPr>
            <w:r>
              <w:rPr>
                <w:rFonts w:cs="Arial"/>
                <w:sz w:val="22"/>
                <w:szCs w:val="22"/>
              </w:rPr>
              <w:t>%REC</w:t>
            </w:r>
          </w:p>
        </w:tc>
        <w:tc>
          <w:tcPr>
            <w:tcW w:w="1438" w:type="dxa"/>
          </w:tcPr>
          <w:p w14:paraId="41AB6128" w14:textId="77777777" w:rsidR="00D55DC5" w:rsidRPr="00A8320F" w:rsidRDefault="00D55DC5" w:rsidP="001547DB">
            <w:pPr>
              <w:jc w:val="center"/>
              <w:rPr>
                <w:rFonts w:cs="Arial"/>
                <w:sz w:val="22"/>
                <w:szCs w:val="22"/>
              </w:rPr>
            </w:pPr>
            <w:r>
              <w:rPr>
                <w:rFonts w:cs="Arial"/>
                <w:sz w:val="22"/>
                <w:szCs w:val="22"/>
              </w:rPr>
              <w:t>2.91 ± 0.62</w:t>
            </w:r>
          </w:p>
        </w:tc>
        <w:tc>
          <w:tcPr>
            <w:tcW w:w="1438" w:type="dxa"/>
          </w:tcPr>
          <w:p w14:paraId="66BB0C27" w14:textId="77777777" w:rsidR="00D55DC5" w:rsidRPr="00A8320F" w:rsidRDefault="00D55DC5" w:rsidP="001547DB">
            <w:pPr>
              <w:jc w:val="center"/>
              <w:rPr>
                <w:rFonts w:cs="Arial"/>
                <w:sz w:val="22"/>
                <w:szCs w:val="22"/>
              </w:rPr>
            </w:pPr>
            <w:r>
              <w:rPr>
                <w:rFonts w:cs="Arial"/>
                <w:sz w:val="22"/>
                <w:szCs w:val="22"/>
              </w:rPr>
              <w:t>2.40 ± 0.52</w:t>
            </w:r>
          </w:p>
        </w:tc>
        <w:tc>
          <w:tcPr>
            <w:tcW w:w="1438" w:type="dxa"/>
          </w:tcPr>
          <w:p w14:paraId="30CE1F18" w14:textId="77777777" w:rsidR="00D55DC5" w:rsidRPr="00A8320F" w:rsidRDefault="00D55DC5" w:rsidP="001547DB">
            <w:pPr>
              <w:jc w:val="center"/>
              <w:rPr>
                <w:rFonts w:cs="Arial"/>
                <w:sz w:val="22"/>
                <w:szCs w:val="22"/>
              </w:rPr>
            </w:pPr>
            <w:r>
              <w:rPr>
                <w:rFonts w:cs="Arial"/>
                <w:sz w:val="22"/>
                <w:szCs w:val="22"/>
              </w:rPr>
              <w:t>2.50 ± 0.44</w:t>
            </w:r>
          </w:p>
        </w:tc>
        <w:tc>
          <w:tcPr>
            <w:tcW w:w="1490" w:type="dxa"/>
          </w:tcPr>
          <w:p w14:paraId="6E8B96E9" w14:textId="77777777" w:rsidR="00D55DC5" w:rsidRPr="00A8320F" w:rsidRDefault="00D55DC5" w:rsidP="001547DB">
            <w:pPr>
              <w:jc w:val="center"/>
              <w:rPr>
                <w:rFonts w:cs="Arial"/>
                <w:sz w:val="22"/>
                <w:szCs w:val="22"/>
              </w:rPr>
            </w:pPr>
            <w:r>
              <w:rPr>
                <w:rFonts w:cs="Arial"/>
                <w:sz w:val="22"/>
                <w:szCs w:val="22"/>
              </w:rPr>
              <w:t>2.36 ± 0.56</w:t>
            </w:r>
          </w:p>
        </w:tc>
      </w:tr>
      <w:tr w:rsidR="00D55DC5" w:rsidRPr="00A8320F" w14:paraId="19E907DD" w14:textId="77777777" w:rsidTr="00E615F6">
        <w:tc>
          <w:tcPr>
            <w:tcW w:w="2026" w:type="dxa"/>
          </w:tcPr>
          <w:p w14:paraId="58C27FF2" w14:textId="77777777" w:rsidR="00D55DC5" w:rsidRPr="00A8320F" w:rsidRDefault="00D55DC5" w:rsidP="008009D0">
            <w:pPr>
              <w:jc w:val="both"/>
              <w:rPr>
                <w:rFonts w:cs="Arial"/>
                <w:sz w:val="22"/>
                <w:szCs w:val="22"/>
              </w:rPr>
            </w:pPr>
            <w:r>
              <w:rPr>
                <w:rFonts w:cs="Arial"/>
                <w:sz w:val="22"/>
                <w:szCs w:val="22"/>
              </w:rPr>
              <w:t>Dimension</w:t>
            </w:r>
          </w:p>
        </w:tc>
        <w:tc>
          <w:tcPr>
            <w:tcW w:w="1438" w:type="dxa"/>
          </w:tcPr>
          <w:p w14:paraId="38B33C68" w14:textId="77777777" w:rsidR="00D55DC5" w:rsidRPr="00A8320F" w:rsidRDefault="00D55DC5" w:rsidP="001547DB">
            <w:pPr>
              <w:jc w:val="center"/>
              <w:rPr>
                <w:rFonts w:cs="Arial"/>
                <w:sz w:val="22"/>
                <w:szCs w:val="22"/>
              </w:rPr>
            </w:pPr>
            <w:r>
              <w:rPr>
                <w:rFonts w:cs="Arial"/>
                <w:sz w:val="22"/>
                <w:szCs w:val="22"/>
              </w:rPr>
              <w:t>4.06 ± 0.57</w:t>
            </w:r>
          </w:p>
        </w:tc>
        <w:tc>
          <w:tcPr>
            <w:tcW w:w="1438" w:type="dxa"/>
          </w:tcPr>
          <w:p w14:paraId="4F214549" w14:textId="77777777" w:rsidR="00D55DC5" w:rsidRPr="00A8320F" w:rsidRDefault="00D55DC5" w:rsidP="001547DB">
            <w:pPr>
              <w:jc w:val="center"/>
              <w:rPr>
                <w:rFonts w:cs="Arial"/>
                <w:sz w:val="22"/>
                <w:szCs w:val="22"/>
              </w:rPr>
            </w:pPr>
            <w:r>
              <w:rPr>
                <w:rFonts w:cs="Arial"/>
                <w:sz w:val="22"/>
                <w:szCs w:val="22"/>
              </w:rPr>
              <w:t>4.06 ± 0.44</w:t>
            </w:r>
          </w:p>
        </w:tc>
        <w:tc>
          <w:tcPr>
            <w:tcW w:w="1438" w:type="dxa"/>
          </w:tcPr>
          <w:p w14:paraId="4A6BE3C0" w14:textId="77777777" w:rsidR="00D55DC5" w:rsidRPr="00A8320F" w:rsidRDefault="00D55DC5" w:rsidP="001547DB">
            <w:pPr>
              <w:jc w:val="center"/>
              <w:rPr>
                <w:rFonts w:cs="Arial"/>
                <w:sz w:val="22"/>
                <w:szCs w:val="22"/>
              </w:rPr>
            </w:pPr>
            <w:r>
              <w:rPr>
                <w:rFonts w:cs="Arial"/>
                <w:sz w:val="22"/>
                <w:szCs w:val="22"/>
              </w:rPr>
              <w:t>4.19 ± 0.40</w:t>
            </w:r>
          </w:p>
        </w:tc>
        <w:tc>
          <w:tcPr>
            <w:tcW w:w="1490" w:type="dxa"/>
          </w:tcPr>
          <w:p w14:paraId="280D1B9C" w14:textId="77777777" w:rsidR="00D55DC5" w:rsidRPr="00A8320F" w:rsidRDefault="00D55DC5" w:rsidP="001547DB">
            <w:pPr>
              <w:jc w:val="center"/>
              <w:rPr>
                <w:rFonts w:cs="Arial"/>
                <w:sz w:val="22"/>
                <w:szCs w:val="22"/>
              </w:rPr>
            </w:pPr>
            <w:r>
              <w:rPr>
                <w:rFonts w:cs="Arial"/>
                <w:sz w:val="22"/>
                <w:szCs w:val="22"/>
              </w:rPr>
              <w:t>4.06 ± 0.44</w:t>
            </w:r>
          </w:p>
        </w:tc>
      </w:tr>
      <w:tr w:rsidR="00D55DC5" w:rsidRPr="00A8320F" w14:paraId="77A316D2" w14:textId="77777777" w:rsidTr="00E615F6">
        <w:tc>
          <w:tcPr>
            <w:tcW w:w="2026" w:type="dxa"/>
          </w:tcPr>
          <w:p w14:paraId="2D2485EC" w14:textId="77777777" w:rsidR="00D55DC5" w:rsidRDefault="00D55DC5" w:rsidP="008009D0">
            <w:pPr>
              <w:jc w:val="both"/>
              <w:rPr>
                <w:rFonts w:cs="Arial"/>
                <w:sz w:val="22"/>
                <w:szCs w:val="22"/>
              </w:rPr>
            </w:pPr>
            <w:r>
              <w:rPr>
                <w:rFonts w:cs="Arial"/>
                <w:sz w:val="22"/>
                <w:szCs w:val="22"/>
              </w:rPr>
              <w:t>Threshold</w:t>
            </w:r>
          </w:p>
        </w:tc>
        <w:tc>
          <w:tcPr>
            <w:tcW w:w="1438" w:type="dxa"/>
          </w:tcPr>
          <w:p w14:paraId="6D326821" w14:textId="77777777" w:rsidR="00D55DC5" w:rsidRDefault="00D55DC5" w:rsidP="001547DB">
            <w:pPr>
              <w:jc w:val="center"/>
              <w:rPr>
                <w:rFonts w:cs="Arial"/>
                <w:sz w:val="22"/>
                <w:szCs w:val="22"/>
              </w:rPr>
            </w:pPr>
            <w:r>
              <w:rPr>
                <w:rFonts w:cs="Arial"/>
                <w:sz w:val="22"/>
                <w:szCs w:val="22"/>
              </w:rPr>
              <w:t>0.11 ± 0.03</w:t>
            </w:r>
          </w:p>
        </w:tc>
        <w:tc>
          <w:tcPr>
            <w:tcW w:w="1438" w:type="dxa"/>
          </w:tcPr>
          <w:p w14:paraId="41D19913" w14:textId="77777777" w:rsidR="00D55DC5" w:rsidRDefault="00D55DC5" w:rsidP="001547DB">
            <w:pPr>
              <w:jc w:val="center"/>
              <w:rPr>
                <w:rFonts w:cs="Arial"/>
                <w:sz w:val="22"/>
                <w:szCs w:val="22"/>
              </w:rPr>
            </w:pPr>
            <w:r>
              <w:rPr>
                <w:rFonts w:cs="Arial"/>
                <w:sz w:val="22"/>
                <w:szCs w:val="22"/>
              </w:rPr>
              <w:t>0.12 ± 0.04</w:t>
            </w:r>
          </w:p>
        </w:tc>
        <w:tc>
          <w:tcPr>
            <w:tcW w:w="1438" w:type="dxa"/>
          </w:tcPr>
          <w:p w14:paraId="20EA34B6" w14:textId="77777777" w:rsidR="00D55DC5" w:rsidRDefault="00D55DC5" w:rsidP="001547DB">
            <w:pPr>
              <w:jc w:val="center"/>
              <w:rPr>
                <w:rFonts w:cs="Arial"/>
                <w:sz w:val="22"/>
                <w:szCs w:val="22"/>
              </w:rPr>
            </w:pPr>
            <w:r>
              <w:rPr>
                <w:rFonts w:cs="Arial"/>
                <w:sz w:val="22"/>
                <w:szCs w:val="22"/>
              </w:rPr>
              <w:t>0.12 ± 0.03</w:t>
            </w:r>
          </w:p>
        </w:tc>
        <w:tc>
          <w:tcPr>
            <w:tcW w:w="1490" w:type="dxa"/>
          </w:tcPr>
          <w:p w14:paraId="53F4F68B" w14:textId="77777777" w:rsidR="00D55DC5" w:rsidRDefault="00D55DC5" w:rsidP="001547DB">
            <w:pPr>
              <w:jc w:val="center"/>
              <w:rPr>
                <w:rFonts w:cs="Arial"/>
                <w:sz w:val="22"/>
                <w:szCs w:val="22"/>
              </w:rPr>
            </w:pPr>
            <w:r>
              <w:rPr>
                <w:rFonts w:cs="Arial"/>
                <w:sz w:val="22"/>
                <w:szCs w:val="22"/>
              </w:rPr>
              <w:t>0.12 ± 0.04</w:t>
            </w:r>
          </w:p>
        </w:tc>
      </w:tr>
      <w:tr w:rsidR="00D55DC5" w:rsidRPr="00A8320F" w14:paraId="220DE102" w14:textId="77777777" w:rsidTr="00E615F6">
        <w:tc>
          <w:tcPr>
            <w:tcW w:w="2026" w:type="dxa"/>
          </w:tcPr>
          <w:p w14:paraId="46AF7ECF" w14:textId="77777777" w:rsidR="00D55DC5" w:rsidRDefault="00D55DC5" w:rsidP="008009D0">
            <w:pPr>
              <w:jc w:val="both"/>
              <w:rPr>
                <w:rFonts w:cs="Arial"/>
                <w:sz w:val="22"/>
                <w:szCs w:val="22"/>
              </w:rPr>
            </w:pPr>
            <w:r>
              <w:rPr>
                <w:rFonts w:cs="Arial"/>
                <w:sz w:val="22"/>
                <w:szCs w:val="22"/>
              </w:rPr>
              <w:t>ON</w:t>
            </w:r>
          </w:p>
        </w:tc>
        <w:tc>
          <w:tcPr>
            <w:tcW w:w="1438" w:type="dxa"/>
          </w:tcPr>
          <w:p w14:paraId="55A0A33D" w14:textId="77777777" w:rsidR="00D55DC5" w:rsidRDefault="00D55DC5" w:rsidP="001547DB">
            <w:pPr>
              <w:jc w:val="center"/>
              <w:rPr>
                <w:rFonts w:cs="Arial"/>
                <w:sz w:val="22"/>
                <w:szCs w:val="22"/>
              </w:rPr>
            </w:pPr>
          </w:p>
        </w:tc>
        <w:tc>
          <w:tcPr>
            <w:tcW w:w="1438" w:type="dxa"/>
          </w:tcPr>
          <w:p w14:paraId="0EA34569" w14:textId="77777777" w:rsidR="00D55DC5" w:rsidRDefault="00D55DC5" w:rsidP="001547DB">
            <w:pPr>
              <w:jc w:val="center"/>
              <w:rPr>
                <w:rFonts w:cs="Arial"/>
                <w:sz w:val="22"/>
                <w:szCs w:val="22"/>
              </w:rPr>
            </w:pPr>
          </w:p>
        </w:tc>
        <w:tc>
          <w:tcPr>
            <w:tcW w:w="1438" w:type="dxa"/>
          </w:tcPr>
          <w:p w14:paraId="28AA965A" w14:textId="77777777" w:rsidR="00D55DC5" w:rsidRDefault="00D55DC5" w:rsidP="001547DB">
            <w:pPr>
              <w:jc w:val="center"/>
              <w:rPr>
                <w:rFonts w:cs="Arial"/>
                <w:sz w:val="22"/>
                <w:szCs w:val="22"/>
              </w:rPr>
            </w:pPr>
          </w:p>
        </w:tc>
        <w:tc>
          <w:tcPr>
            <w:tcW w:w="1490" w:type="dxa"/>
          </w:tcPr>
          <w:p w14:paraId="3356BFEE" w14:textId="77777777" w:rsidR="00D55DC5" w:rsidRDefault="00D55DC5" w:rsidP="001547DB">
            <w:pPr>
              <w:jc w:val="center"/>
              <w:rPr>
                <w:rFonts w:cs="Arial"/>
                <w:sz w:val="22"/>
                <w:szCs w:val="22"/>
              </w:rPr>
            </w:pPr>
          </w:p>
        </w:tc>
      </w:tr>
      <w:tr w:rsidR="00D55DC5" w:rsidRPr="00A8320F" w14:paraId="6F4F21CA" w14:textId="77777777" w:rsidTr="00E615F6">
        <w:tc>
          <w:tcPr>
            <w:tcW w:w="2026" w:type="dxa"/>
          </w:tcPr>
          <w:p w14:paraId="097DD183" w14:textId="77777777" w:rsidR="00D55DC5" w:rsidRDefault="00D55DC5" w:rsidP="008009D0">
            <w:pPr>
              <w:jc w:val="both"/>
              <w:rPr>
                <w:rFonts w:cs="Arial"/>
                <w:sz w:val="22"/>
                <w:szCs w:val="22"/>
              </w:rPr>
            </w:pPr>
            <w:r>
              <w:rPr>
                <w:rFonts w:cs="Arial"/>
                <w:sz w:val="22"/>
                <w:szCs w:val="22"/>
              </w:rPr>
              <w:t>%REC</w:t>
            </w:r>
          </w:p>
        </w:tc>
        <w:tc>
          <w:tcPr>
            <w:tcW w:w="1438" w:type="dxa"/>
          </w:tcPr>
          <w:p w14:paraId="3ADB4284" w14:textId="77777777" w:rsidR="00D55DC5" w:rsidRDefault="00D55DC5" w:rsidP="001547DB">
            <w:pPr>
              <w:jc w:val="center"/>
              <w:rPr>
                <w:rFonts w:cs="Arial"/>
                <w:sz w:val="22"/>
                <w:szCs w:val="22"/>
              </w:rPr>
            </w:pPr>
            <w:r>
              <w:rPr>
                <w:rFonts w:cs="Arial"/>
                <w:sz w:val="22"/>
                <w:szCs w:val="22"/>
              </w:rPr>
              <w:t>2.72 ± 0.77</w:t>
            </w:r>
          </w:p>
        </w:tc>
        <w:tc>
          <w:tcPr>
            <w:tcW w:w="1438" w:type="dxa"/>
          </w:tcPr>
          <w:p w14:paraId="08939713" w14:textId="77777777" w:rsidR="00D55DC5" w:rsidRDefault="00D55DC5" w:rsidP="001547DB">
            <w:pPr>
              <w:jc w:val="center"/>
              <w:rPr>
                <w:rFonts w:cs="Arial"/>
                <w:sz w:val="22"/>
                <w:szCs w:val="22"/>
              </w:rPr>
            </w:pPr>
            <w:r>
              <w:rPr>
                <w:rFonts w:cs="Arial"/>
                <w:sz w:val="22"/>
                <w:szCs w:val="22"/>
              </w:rPr>
              <w:t>2.50 ± 0.69</w:t>
            </w:r>
          </w:p>
        </w:tc>
        <w:tc>
          <w:tcPr>
            <w:tcW w:w="1438" w:type="dxa"/>
          </w:tcPr>
          <w:p w14:paraId="21177491" w14:textId="77777777" w:rsidR="00D55DC5" w:rsidRDefault="00D55DC5" w:rsidP="001547DB">
            <w:pPr>
              <w:jc w:val="center"/>
              <w:rPr>
                <w:rFonts w:cs="Arial"/>
                <w:sz w:val="22"/>
                <w:szCs w:val="22"/>
              </w:rPr>
            </w:pPr>
            <w:r>
              <w:rPr>
                <w:rFonts w:cs="Arial"/>
                <w:sz w:val="22"/>
                <w:szCs w:val="22"/>
              </w:rPr>
              <w:t>2.55 ± 0.69</w:t>
            </w:r>
          </w:p>
        </w:tc>
        <w:tc>
          <w:tcPr>
            <w:tcW w:w="1490" w:type="dxa"/>
          </w:tcPr>
          <w:p w14:paraId="1BDFAF27" w14:textId="77777777" w:rsidR="00D55DC5" w:rsidRDefault="00D55DC5" w:rsidP="001547DB">
            <w:pPr>
              <w:jc w:val="center"/>
              <w:rPr>
                <w:rFonts w:cs="Arial"/>
                <w:sz w:val="22"/>
                <w:szCs w:val="22"/>
              </w:rPr>
            </w:pPr>
            <w:r>
              <w:rPr>
                <w:rFonts w:cs="Arial"/>
                <w:sz w:val="22"/>
                <w:szCs w:val="22"/>
              </w:rPr>
              <w:t>2.32 ± 0.49</w:t>
            </w:r>
          </w:p>
        </w:tc>
      </w:tr>
      <w:tr w:rsidR="00D55DC5" w:rsidRPr="00A8320F" w14:paraId="6C939CD8" w14:textId="77777777" w:rsidTr="00E615F6">
        <w:tc>
          <w:tcPr>
            <w:tcW w:w="2026" w:type="dxa"/>
          </w:tcPr>
          <w:p w14:paraId="49D02C2E" w14:textId="77777777" w:rsidR="00D55DC5" w:rsidRDefault="00D55DC5" w:rsidP="008009D0">
            <w:pPr>
              <w:jc w:val="both"/>
              <w:rPr>
                <w:rFonts w:cs="Arial"/>
                <w:sz w:val="22"/>
                <w:szCs w:val="22"/>
              </w:rPr>
            </w:pPr>
            <w:r>
              <w:rPr>
                <w:rFonts w:cs="Arial"/>
                <w:sz w:val="22"/>
                <w:szCs w:val="22"/>
              </w:rPr>
              <w:t>Dimension</w:t>
            </w:r>
          </w:p>
        </w:tc>
        <w:tc>
          <w:tcPr>
            <w:tcW w:w="1438" w:type="dxa"/>
          </w:tcPr>
          <w:p w14:paraId="523BCCD5" w14:textId="77777777" w:rsidR="00D55DC5" w:rsidRDefault="00D55DC5" w:rsidP="001547DB">
            <w:pPr>
              <w:jc w:val="center"/>
              <w:rPr>
                <w:rFonts w:cs="Arial"/>
                <w:sz w:val="22"/>
                <w:szCs w:val="22"/>
              </w:rPr>
            </w:pPr>
            <w:r>
              <w:rPr>
                <w:rFonts w:cs="Arial"/>
                <w:sz w:val="22"/>
                <w:szCs w:val="22"/>
              </w:rPr>
              <w:t>4.00 ± 0.63</w:t>
            </w:r>
          </w:p>
        </w:tc>
        <w:tc>
          <w:tcPr>
            <w:tcW w:w="1438" w:type="dxa"/>
          </w:tcPr>
          <w:p w14:paraId="5B2DE556" w14:textId="77777777" w:rsidR="00D55DC5" w:rsidRDefault="00D55DC5" w:rsidP="001547DB">
            <w:pPr>
              <w:jc w:val="center"/>
              <w:rPr>
                <w:rFonts w:cs="Arial"/>
                <w:sz w:val="22"/>
                <w:szCs w:val="22"/>
              </w:rPr>
            </w:pPr>
            <w:r>
              <w:rPr>
                <w:rFonts w:cs="Arial"/>
                <w:sz w:val="22"/>
                <w:szCs w:val="22"/>
              </w:rPr>
              <w:t>3.88 ± 0.50</w:t>
            </w:r>
          </w:p>
        </w:tc>
        <w:tc>
          <w:tcPr>
            <w:tcW w:w="1438" w:type="dxa"/>
          </w:tcPr>
          <w:p w14:paraId="0AC40BE8" w14:textId="77777777" w:rsidR="00D55DC5" w:rsidRDefault="00D55DC5" w:rsidP="001547DB">
            <w:pPr>
              <w:jc w:val="center"/>
              <w:rPr>
                <w:rFonts w:cs="Arial"/>
                <w:sz w:val="22"/>
                <w:szCs w:val="22"/>
              </w:rPr>
            </w:pPr>
            <w:r>
              <w:rPr>
                <w:rFonts w:cs="Arial"/>
                <w:sz w:val="22"/>
                <w:szCs w:val="22"/>
              </w:rPr>
              <w:t>4.06 ± 0.57</w:t>
            </w:r>
          </w:p>
        </w:tc>
        <w:tc>
          <w:tcPr>
            <w:tcW w:w="1490" w:type="dxa"/>
          </w:tcPr>
          <w:p w14:paraId="1E0979D5" w14:textId="77777777" w:rsidR="00D55DC5" w:rsidRDefault="00D55DC5" w:rsidP="001547DB">
            <w:pPr>
              <w:jc w:val="center"/>
              <w:rPr>
                <w:rFonts w:cs="Arial"/>
                <w:sz w:val="22"/>
                <w:szCs w:val="22"/>
              </w:rPr>
            </w:pPr>
            <w:r>
              <w:rPr>
                <w:rFonts w:cs="Arial"/>
                <w:sz w:val="22"/>
                <w:szCs w:val="22"/>
              </w:rPr>
              <w:t>4.13 ± 0.50</w:t>
            </w:r>
          </w:p>
        </w:tc>
      </w:tr>
      <w:tr w:rsidR="00D55DC5" w:rsidRPr="00A8320F" w14:paraId="22A551F8" w14:textId="77777777" w:rsidTr="00E615F6">
        <w:tc>
          <w:tcPr>
            <w:tcW w:w="2026" w:type="dxa"/>
          </w:tcPr>
          <w:p w14:paraId="707F231B" w14:textId="77777777" w:rsidR="00D55DC5" w:rsidRDefault="00D55DC5" w:rsidP="008009D0">
            <w:pPr>
              <w:jc w:val="both"/>
              <w:rPr>
                <w:rFonts w:cs="Arial"/>
                <w:sz w:val="22"/>
                <w:szCs w:val="22"/>
              </w:rPr>
            </w:pPr>
            <w:r>
              <w:rPr>
                <w:rFonts w:cs="Arial"/>
                <w:sz w:val="22"/>
                <w:szCs w:val="22"/>
              </w:rPr>
              <w:t>Threshold</w:t>
            </w:r>
          </w:p>
        </w:tc>
        <w:tc>
          <w:tcPr>
            <w:tcW w:w="1438" w:type="dxa"/>
          </w:tcPr>
          <w:p w14:paraId="5872A484" w14:textId="77777777" w:rsidR="00D55DC5" w:rsidRDefault="00D55DC5" w:rsidP="001547DB">
            <w:pPr>
              <w:jc w:val="center"/>
              <w:rPr>
                <w:rFonts w:cs="Arial"/>
                <w:sz w:val="22"/>
                <w:szCs w:val="22"/>
              </w:rPr>
            </w:pPr>
            <w:r>
              <w:rPr>
                <w:rFonts w:cs="Arial"/>
                <w:sz w:val="22"/>
                <w:szCs w:val="22"/>
              </w:rPr>
              <w:t>0.11 ± 0.03</w:t>
            </w:r>
          </w:p>
        </w:tc>
        <w:tc>
          <w:tcPr>
            <w:tcW w:w="1438" w:type="dxa"/>
          </w:tcPr>
          <w:p w14:paraId="411E3066" w14:textId="77777777" w:rsidR="00D55DC5" w:rsidRDefault="00D55DC5" w:rsidP="001547DB">
            <w:pPr>
              <w:jc w:val="center"/>
              <w:rPr>
                <w:rFonts w:cs="Arial"/>
                <w:sz w:val="22"/>
                <w:szCs w:val="22"/>
              </w:rPr>
            </w:pPr>
            <w:r>
              <w:rPr>
                <w:rFonts w:cs="Arial"/>
                <w:sz w:val="22"/>
                <w:szCs w:val="22"/>
              </w:rPr>
              <w:t>0.11 ± 0.02</w:t>
            </w:r>
          </w:p>
        </w:tc>
        <w:tc>
          <w:tcPr>
            <w:tcW w:w="1438" w:type="dxa"/>
          </w:tcPr>
          <w:p w14:paraId="3E3387BB" w14:textId="77777777" w:rsidR="00D55DC5" w:rsidRDefault="00D55DC5" w:rsidP="001547DB">
            <w:pPr>
              <w:jc w:val="center"/>
              <w:rPr>
                <w:rFonts w:cs="Arial"/>
                <w:sz w:val="22"/>
                <w:szCs w:val="22"/>
              </w:rPr>
            </w:pPr>
            <w:r>
              <w:rPr>
                <w:rFonts w:cs="Arial"/>
                <w:sz w:val="22"/>
                <w:szCs w:val="22"/>
              </w:rPr>
              <w:t>0.11 ± 0.04</w:t>
            </w:r>
          </w:p>
        </w:tc>
        <w:tc>
          <w:tcPr>
            <w:tcW w:w="1490" w:type="dxa"/>
          </w:tcPr>
          <w:p w14:paraId="59EAE022" w14:textId="77777777" w:rsidR="00D55DC5" w:rsidRDefault="00D55DC5" w:rsidP="001547DB">
            <w:pPr>
              <w:jc w:val="center"/>
              <w:rPr>
                <w:rFonts w:cs="Arial"/>
                <w:sz w:val="22"/>
                <w:szCs w:val="22"/>
              </w:rPr>
            </w:pPr>
            <w:r>
              <w:rPr>
                <w:rFonts w:cs="Arial"/>
                <w:sz w:val="22"/>
                <w:szCs w:val="22"/>
              </w:rPr>
              <w:t>0.12 ± 0.03</w:t>
            </w:r>
          </w:p>
        </w:tc>
      </w:tr>
      <w:tr w:rsidR="00D55DC5" w:rsidRPr="00A8320F" w14:paraId="140C04AD" w14:textId="77777777" w:rsidTr="00E615F6">
        <w:tc>
          <w:tcPr>
            <w:tcW w:w="7830" w:type="dxa"/>
            <w:gridSpan w:val="5"/>
            <w:tcBorders>
              <w:top w:val="single" w:sz="4" w:space="0" w:color="auto"/>
            </w:tcBorders>
          </w:tcPr>
          <w:p w14:paraId="3B4653DC" w14:textId="3450C211" w:rsidR="00D55DC5" w:rsidRPr="00A8320F" w:rsidRDefault="00D55DC5" w:rsidP="008009D0">
            <w:pPr>
              <w:jc w:val="both"/>
              <w:rPr>
                <w:rFonts w:cs="Arial"/>
                <w:sz w:val="22"/>
                <w:szCs w:val="22"/>
              </w:rPr>
            </w:pPr>
            <w:r w:rsidRPr="00674605">
              <w:rPr>
                <w:rFonts w:cs="Arial"/>
                <w:sz w:val="22"/>
                <w:szCs w:val="22"/>
              </w:rPr>
              <w:t xml:space="preserve">Note: </w:t>
            </w:r>
            <w:r>
              <w:rPr>
                <w:rFonts w:cs="Arial"/>
                <w:sz w:val="22"/>
                <w:szCs w:val="22"/>
              </w:rPr>
              <w:t>RQA</w:t>
            </w:r>
            <w:r w:rsidRPr="00674605">
              <w:rPr>
                <w:rFonts w:cs="Arial"/>
                <w:sz w:val="22"/>
                <w:szCs w:val="22"/>
              </w:rPr>
              <w:t xml:space="preserve"> = </w:t>
            </w:r>
            <w:r>
              <w:rPr>
                <w:rFonts w:cs="Arial"/>
                <w:sz w:val="22"/>
                <w:szCs w:val="22"/>
              </w:rPr>
              <w:t>Recurrence Quantification Analysis</w:t>
            </w:r>
            <w:r w:rsidRPr="00674605">
              <w:rPr>
                <w:rFonts w:cs="Arial"/>
                <w:sz w:val="22"/>
                <w:szCs w:val="22"/>
              </w:rPr>
              <w:t xml:space="preserve">, </w:t>
            </w:r>
            <w:r>
              <w:rPr>
                <w:rFonts w:cs="Arial"/>
                <w:sz w:val="22"/>
                <w:szCs w:val="22"/>
              </w:rPr>
              <w:t>%REC = percent recurrence, STEO = single-task, eyes open, STEC = single-task eyes closed, DTEO = dual-task eyes open, DTEC = dual-task eyes closed, OFF = off-medication state, ON = on-medication state.</w:t>
            </w:r>
            <w:r w:rsidR="00051F22">
              <w:rPr>
                <w:rFonts w:cs="Arial"/>
                <w:sz w:val="22"/>
                <w:szCs w:val="22"/>
              </w:rPr>
              <w:t xml:space="preserve"> Time delay was fixed at 2 for all analyses.</w:t>
            </w:r>
          </w:p>
        </w:tc>
      </w:tr>
    </w:tbl>
    <w:p w14:paraId="4DE03FA6" w14:textId="330A27B1" w:rsidR="00D55DC5" w:rsidRDefault="00D55DC5" w:rsidP="008009D0">
      <w:pPr>
        <w:jc w:val="both"/>
        <w:rPr>
          <w:rFonts w:cs="Arial"/>
        </w:rPr>
      </w:pPr>
      <w:r>
        <w:rPr>
          <w:rFonts w:cs="Arial"/>
        </w:rPr>
        <w:br w:type="page"/>
      </w:r>
    </w:p>
    <w:p w14:paraId="6220CED7" w14:textId="77777777" w:rsidR="00AF1D02" w:rsidRDefault="00D55DC5" w:rsidP="00CB1F79">
      <w:pPr>
        <w:keepNext/>
        <w:jc w:val="center"/>
      </w:pPr>
      <w:r>
        <w:rPr>
          <w:rFonts w:cs="Arial"/>
          <w:b/>
          <w:noProof/>
        </w:rPr>
        <w:lastRenderedPageBreak/>
        <w:drawing>
          <wp:inline distT="0" distB="0" distL="0" distR="0" wp14:anchorId="318A83AA" wp14:editId="29E9DC5D">
            <wp:extent cx="4572000" cy="52324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ensorsFigure1.tif"/>
                    <pic:cNvPicPr/>
                  </pic:nvPicPr>
                  <pic:blipFill>
                    <a:blip r:embed="rId21"/>
                    <a:stretch>
                      <a:fillRect/>
                    </a:stretch>
                  </pic:blipFill>
                  <pic:spPr>
                    <a:xfrm>
                      <a:off x="0" y="0"/>
                      <a:ext cx="4572000" cy="5232400"/>
                    </a:xfrm>
                    <a:prstGeom prst="rect">
                      <a:avLst/>
                    </a:prstGeom>
                  </pic:spPr>
                </pic:pic>
              </a:graphicData>
            </a:graphic>
          </wp:inline>
        </w:drawing>
      </w:r>
    </w:p>
    <w:p w14:paraId="1FABF296" w14:textId="0D439754" w:rsidR="00AF1D02" w:rsidRPr="00AF1D02" w:rsidRDefault="00AF1D02" w:rsidP="008009D0">
      <w:pPr>
        <w:pStyle w:val="Caption"/>
        <w:jc w:val="both"/>
        <w:rPr>
          <w:b w:val="0"/>
          <w:sz w:val="24"/>
          <w:szCs w:val="24"/>
        </w:rPr>
      </w:pPr>
      <w:bookmarkStart w:id="73" w:name="_Toc527361789"/>
      <w:r w:rsidRPr="00AF1D02">
        <w:rPr>
          <w:b w:val="0"/>
          <w:sz w:val="24"/>
          <w:szCs w:val="24"/>
        </w:rPr>
        <w:t xml:space="preserve">Figure </w:t>
      </w:r>
      <w:r w:rsidRPr="00AF1D02">
        <w:rPr>
          <w:b w:val="0"/>
          <w:sz w:val="24"/>
          <w:szCs w:val="24"/>
        </w:rPr>
        <w:fldChar w:fldCharType="begin"/>
      </w:r>
      <w:r w:rsidRPr="00AF1D02">
        <w:rPr>
          <w:b w:val="0"/>
          <w:sz w:val="24"/>
          <w:szCs w:val="24"/>
        </w:rPr>
        <w:instrText xml:space="preserve"> SEQ Figure \* ARABIC </w:instrText>
      </w:r>
      <w:r w:rsidRPr="00AF1D02">
        <w:rPr>
          <w:b w:val="0"/>
          <w:sz w:val="24"/>
          <w:szCs w:val="24"/>
        </w:rPr>
        <w:fldChar w:fldCharType="separate"/>
      </w:r>
      <w:r w:rsidR="006C3AB1">
        <w:rPr>
          <w:b w:val="0"/>
          <w:sz w:val="24"/>
          <w:szCs w:val="24"/>
        </w:rPr>
        <w:t>6</w:t>
      </w:r>
      <w:r w:rsidRPr="00AF1D02">
        <w:rPr>
          <w:b w:val="0"/>
          <w:sz w:val="24"/>
          <w:szCs w:val="24"/>
        </w:rPr>
        <w:fldChar w:fldCharType="end"/>
      </w:r>
      <w:r w:rsidRPr="00AF1D02">
        <w:rPr>
          <w:b w:val="0"/>
          <w:sz w:val="24"/>
          <w:szCs w:val="24"/>
        </w:rPr>
        <w:t xml:space="preserve">. </w:t>
      </w:r>
      <w:r w:rsidR="00285479" w:rsidRPr="00285479">
        <w:rPr>
          <w:b w:val="0"/>
          <w:sz w:val="24"/>
          <w:szCs w:val="24"/>
        </w:rPr>
        <w:t xml:space="preserve">Xsens sensor locations (17 total) on the head, sternum, posterior pelvis (i.e., L5/Sacrum), and bilaterally on the shoulders, upper arms, </w:t>
      </w:r>
      <w:r w:rsidR="00882160">
        <w:rPr>
          <w:b w:val="0"/>
          <w:sz w:val="24"/>
          <w:szCs w:val="24"/>
        </w:rPr>
        <w:t>forearms</w:t>
      </w:r>
      <w:r w:rsidR="00285479" w:rsidRPr="00285479">
        <w:rPr>
          <w:b w:val="0"/>
          <w:sz w:val="24"/>
          <w:szCs w:val="24"/>
        </w:rPr>
        <w:t xml:space="preserve">, hands, </w:t>
      </w:r>
      <w:r w:rsidR="00882160">
        <w:rPr>
          <w:b w:val="0"/>
          <w:sz w:val="24"/>
          <w:szCs w:val="24"/>
        </w:rPr>
        <w:t>thighs</w:t>
      </w:r>
      <w:r w:rsidR="00285479" w:rsidRPr="00285479">
        <w:rPr>
          <w:b w:val="0"/>
          <w:sz w:val="24"/>
          <w:szCs w:val="24"/>
        </w:rPr>
        <w:t>, lower legs, and feet. Sensors are show</w:t>
      </w:r>
      <w:r w:rsidR="00882160">
        <w:rPr>
          <w:b w:val="0"/>
          <w:sz w:val="24"/>
          <w:szCs w:val="24"/>
        </w:rPr>
        <w:t>n</w:t>
      </w:r>
      <w:r w:rsidR="00285479" w:rsidRPr="00285479">
        <w:rPr>
          <w:b w:val="0"/>
          <w:sz w:val="24"/>
          <w:szCs w:val="24"/>
        </w:rPr>
        <w:t xml:space="preserve"> on top of straps for visualization.</w:t>
      </w:r>
      <w:bookmarkEnd w:id="73"/>
    </w:p>
    <w:p w14:paraId="016A066E" w14:textId="6C8FC260" w:rsidR="00D55DC5" w:rsidRDefault="00D55DC5" w:rsidP="008009D0">
      <w:pPr>
        <w:jc w:val="both"/>
        <w:rPr>
          <w:rFonts w:cs="Arial"/>
          <w:b/>
        </w:rPr>
      </w:pPr>
      <w:r>
        <w:rPr>
          <w:rFonts w:cs="Arial"/>
          <w:b/>
        </w:rPr>
        <w:br w:type="page"/>
      </w:r>
    </w:p>
    <w:p w14:paraId="7C920FA0" w14:textId="296BC078" w:rsidR="003C5B16" w:rsidRDefault="0072371E" w:rsidP="00CB1F79">
      <w:pPr>
        <w:keepNext/>
        <w:jc w:val="center"/>
      </w:pPr>
      <w:r>
        <w:rPr>
          <w:rFonts w:cs="Arial"/>
          <w:b/>
          <w:noProof/>
        </w:rPr>
        <w:lastRenderedPageBreak/>
        <w:drawing>
          <wp:inline distT="0" distB="0" distL="0" distR="0" wp14:anchorId="25C3742B" wp14:editId="748B6F7B">
            <wp:extent cx="5943600" cy="475488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NonLinJoint.eps"/>
                    <pic:cNvPicPr/>
                  </pic:nvPicPr>
                  <pic:blipFill>
                    <a:blip r:embed="rId29"/>
                    <a:stretch>
                      <a:fillRect/>
                    </a:stretch>
                  </pic:blipFill>
                  <pic:spPr>
                    <a:xfrm>
                      <a:off x="0" y="0"/>
                      <a:ext cx="5943600" cy="4754880"/>
                    </a:xfrm>
                    <a:prstGeom prst="rect">
                      <a:avLst/>
                    </a:prstGeom>
                  </pic:spPr>
                </pic:pic>
              </a:graphicData>
            </a:graphic>
          </wp:inline>
        </w:drawing>
      </w:r>
    </w:p>
    <w:p w14:paraId="6984C1FB" w14:textId="088A4D6A" w:rsidR="00D55DC5" w:rsidRPr="003C5B16" w:rsidRDefault="003C5B16" w:rsidP="008009D0">
      <w:pPr>
        <w:pStyle w:val="Caption"/>
        <w:jc w:val="both"/>
        <w:rPr>
          <w:rFonts w:cs="Arial"/>
          <w:b w:val="0"/>
          <w:sz w:val="24"/>
          <w:szCs w:val="24"/>
        </w:rPr>
      </w:pPr>
      <w:bookmarkStart w:id="74" w:name="_Toc527361790"/>
      <w:r w:rsidRPr="003C5B16">
        <w:rPr>
          <w:b w:val="0"/>
          <w:sz w:val="24"/>
          <w:szCs w:val="24"/>
        </w:rPr>
        <w:t xml:space="preserve">Figure </w:t>
      </w:r>
      <w:r w:rsidRPr="003C5B16">
        <w:rPr>
          <w:b w:val="0"/>
          <w:sz w:val="24"/>
          <w:szCs w:val="24"/>
        </w:rPr>
        <w:fldChar w:fldCharType="begin"/>
      </w:r>
      <w:r w:rsidRPr="003C5B16">
        <w:rPr>
          <w:b w:val="0"/>
          <w:sz w:val="24"/>
          <w:szCs w:val="24"/>
        </w:rPr>
        <w:instrText xml:space="preserve"> SEQ Figure \* ARABIC </w:instrText>
      </w:r>
      <w:r w:rsidRPr="003C5B16">
        <w:rPr>
          <w:b w:val="0"/>
          <w:sz w:val="24"/>
          <w:szCs w:val="24"/>
        </w:rPr>
        <w:fldChar w:fldCharType="separate"/>
      </w:r>
      <w:r w:rsidR="006C3AB1">
        <w:rPr>
          <w:b w:val="0"/>
          <w:sz w:val="24"/>
          <w:szCs w:val="24"/>
        </w:rPr>
        <w:t>7</w:t>
      </w:r>
      <w:r w:rsidRPr="003C5B16">
        <w:rPr>
          <w:b w:val="0"/>
          <w:sz w:val="24"/>
          <w:szCs w:val="24"/>
        </w:rPr>
        <w:fldChar w:fldCharType="end"/>
      </w:r>
      <w:r w:rsidRPr="003C5B16">
        <w:rPr>
          <w:rFonts w:cs="Arial"/>
          <w:b w:val="0"/>
          <w:sz w:val="24"/>
          <w:szCs w:val="24"/>
        </w:rPr>
        <w:t xml:space="preserve">. </w:t>
      </w:r>
      <w:r w:rsidR="0072371E" w:rsidRPr="0072371E">
        <w:rPr>
          <w:rFonts w:cs="Arial"/>
          <w:b w:val="0"/>
          <w:sz w:val="24"/>
          <w:szCs w:val="24"/>
        </w:rPr>
        <w:t>Bar graphs depicting the mean ± SEM joint angle data for percent determinism (%DET) on the more-affected (top-left) and less-affected (top-right) sides and approximate entropy (ApEn) on the more-affected (bottom-left) and less-affected (bottom-right) sides. Significance is indicated by the lines and tick marks. PD = Parkinson’s disease, Sho = Shoulder, ST = single task, DT = dual-task, OFF = off-medication state, ON = on-medication state.</w:t>
      </w:r>
      <w:bookmarkEnd w:id="74"/>
    </w:p>
    <w:p w14:paraId="2512B30B" w14:textId="77777777" w:rsidR="00D55DC5" w:rsidRDefault="00D55DC5" w:rsidP="008009D0">
      <w:pPr>
        <w:jc w:val="both"/>
        <w:rPr>
          <w:rFonts w:cs="Arial"/>
          <w:b/>
        </w:rPr>
      </w:pPr>
      <w:r>
        <w:rPr>
          <w:rFonts w:cs="Arial"/>
          <w:b/>
        </w:rPr>
        <w:br w:type="page"/>
      </w:r>
    </w:p>
    <w:p w14:paraId="68981B63" w14:textId="61FD050D" w:rsidR="004F3A45" w:rsidRDefault="006F283B" w:rsidP="00CB1F79">
      <w:pPr>
        <w:keepNext/>
        <w:jc w:val="center"/>
      </w:pPr>
      <w:r>
        <w:rPr>
          <w:rFonts w:cs="Arial"/>
          <w:b/>
          <w:noProof/>
        </w:rPr>
        <w:lastRenderedPageBreak/>
        <w:drawing>
          <wp:inline distT="0" distB="0" distL="0" distR="0" wp14:anchorId="42B7C1C1" wp14:editId="7417387B">
            <wp:extent cx="5943600" cy="47548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NonLinCOP.eps"/>
                    <pic:cNvPicPr/>
                  </pic:nvPicPr>
                  <pic:blipFill>
                    <a:blip r:embed="rId30"/>
                    <a:stretch>
                      <a:fillRect/>
                    </a:stretch>
                  </pic:blipFill>
                  <pic:spPr>
                    <a:xfrm>
                      <a:off x="0" y="0"/>
                      <a:ext cx="5943600" cy="4754880"/>
                    </a:xfrm>
                    <a:prstGeom prst="rect">
                      <a:avLst/>
                    </a:prstGeom>
                  </pic:spPr>
                </pic:pic>
              </a:graphicData>
            </a:graphic>
          </wp:inline>
        </w:drawing>
      </w:r>
    </w:p>
    <w:p w14:paraId="0D0C7253" w14:textId="185DAA9E" w:rsidR="00D55DC5" w:rsidRPr="004F3A45" w:rsidRDefault="004F3A45" w:rsidP="008009D0">
      <w:pPr>
        <w:pStyle w:val="Caption"/>
        <w:jc w:val="both"/>
        <w:rPr>
          <w:rFonts w:cs="Arial"/>
          <w:b w:val="0"/>
          <w:sz w:val="24"/>
          <w:szCs w:val="24"/>
        </w:rPr>
      </w:pPr>
      <w:bookmarkStart w:id="75" w:name="_Toc527361791"/>
      <w:r w:rsidRPr="004F3A45">
        <w:rPr>
          <w:b w:val="0"/>
          <w:sz w:val="24"/>
          <w:szCs w:val="24"/>
        </w:rPr>
        <w:t xml:space="preserve">Figure </w:t>
      </w:r>
      <w:r w:rsidRPr="004F3A45">
        <w:rPr>
          <w:b w:val="0"/>
          <w:sz w:val="24"/>
          <w:szCs w:val="24"/>
        </w:rPr>
        <w:fldChar w:fldCharType="begin"/>
      </w:r>
      <w:r w:rsidRPr="004F3A45">
        <w:rPr>
          <w:b w:val="0"/>
          <w:sz w:val="24"/>
          <w:szCs w:val="24"/>
        </w:rPr>
        <w:instrText xml:space="preserve"> SEQ Figure \* ARABIC </w:instrText>
      </w:r>
      <w:r w:rsidRPr="004F3A45">
        <w:rPr>
          <w:b w:val="0"/>
          <w:sz w:val="24"/>
          <w:szCs w:val="24"/>
        </w:rPr>
        <w:fldChar w:fldCharType="separate"/>
      </w:r>
      <w:r w:rsidR="006C3AB1">
        <w:rPr>
          <w:b w:val="0"/>
          <w:sz w:val="24"/>
          <w:szCs w:val="24"/>
        </w:rPr>
        <w:t>8</w:t>
      </w:r>
      <w:r w:rsidRPr="004F3A45">
        <w:rPr>
          <w:b w:val="0"/>
          <w:sz w:val="24"/>
          <w:szCs w:val="24"/>
        </w:rPr>
        <w:fldChar w:fldCharType="end"/>
      </w:r>
      <w:r w:rsidRPr="004F3A45">
        <w:rPr>
          <w:rFonts w:cs="Arial"/>
          <w:b w:val="0"/>
          <w:sz w:val="24"/>
          <w:szCs w:val="24"/>
        </w:rPr>
        <w:t xml:space="preserve">. </w:t>
      </w:r>
      <w:r w:rsidR="00BE1A10" w:rsidRPr="00BE1A10">
        <w:rPr>
          <w:rFonts w:cs="Arial"/>
          <w:b w:val="0"/>
          <w:sz w:val="24"/>
          <w:szCs w:val="24"/>
        </w:rPr>
        <w:t>Bar graphs depicting the mean ± SEM center of pressure (COP) path data for percent determinism (%DET; top) and approximate entropy (ApEn; bottom). Significance is indicated by the lines and tick marks. STEO = single-task eyes open, STEC = single-task eyes closed, DTEO = dual-task eyes open, DTEC = dual-task eyes closed, OFF = off-medication state, ON = on-medication state.</w:t>
      </w:r>
      <w:bookmarkEnd w:id="75"/>
    </w:p>
    <w:p w14:paraId="7110F0D3" w14:textId="3291F547" w:rsidR="001533F0" w:rsidRPr="002963A9" w:rsidRDefault="00F738AC" w:rsidP="008009D0">
      <w:pPr>
        <w:jc w:val="both"/>
      </w:pPr>
      <w:r>
        <w:br w:type="page"/>
      </w:r>
    </w:p>
    <w:p w14:paraId="59DD741C" w14:textId="77777777" w:rsidR="00A3724E" w:rsidRDefault="00FC3D01" w:rsidP="008009D0">
      <w:pPr>
        <w:pStyle w:val="Heading1"/>
        <w:jc w:val="both"/>
      </w:pPr>
      <w:bookmarkStart w:id="76" w:name="_Toc527361775"/>
      <w:r>
        <w:lastRenderedPageBreak/>
        <w:t>Summary</w:t>
      </w:r>
      <w:bookmarkEnd w:id="76"/>
    </w:p>
    <w:p w14:paraId="25A4E036" w14:textId="2A948854" w:rsidR="001B454A" w:rsidRDefault="00A3724E" w:rsidP="008009D0">
      <w:pPr>
        <w:jc w:val="both"/>
      </w:pPr>
      <w:r>
        <w:tab/>
        <w:t xml:space="preserve">The aim of </w:t>
      </w:r>
      <w:r w:rsidR="00CE55DD">
        <w:t xml:space="preserve">this </w:t>
      </w:r>
      <w:r w:rsidR="00DA3158">
        <w:t>dissertation</w:t>
      </w:r>
      <w:r>
        <w:t xml:space="preserve"> was to </w:t>
      </w:r>
      <w:r w:rsidR="00D80E0F">
        <w:t xml:space="preserve">determine how </w:t>
      </w:r>
      <w:r w:rsidR="007F305D">
        <w:t>DA-ergic</w:t>
      </w:r>
      <w:r w:rsidR="00D80E0F">
        <w:t xml:space="preserve"> medication </w:t>
      </w:r>
      <w:r w:rsidR="00C3449B">
        <w:t xml:space="preserve">influenced the automaticity </w:t>
      </w:r>
      <w:r w:rsidR="0019627F">
        <w:t xml:space="preserve">and nonlinear characteristics </w:t>
      </w:r>
      <w:r w:rsidR="00C3449B">
        <w:t>of gait and balance</w:t>
      </w:r>
      <w:r w:rsidR="0019627F">
        <w:t xml:space="preserve"> </w:t>
      </w:r>
      <w:r w:rsidR="00C3449B">
        <w:t>in PD</w:t>
      </w:r>
      <w:r w:rsidR="009A50F4">
        <w:t xml:space="preserve">. </w:t>
      </w:r>
      <w:r w:rsidR="007B0C7D">
        <w:t>Three analyses were conducted to investigate the aims detailed above</w:t>
      </w:r>
      <w:r w:rsidR="003A0BC5">
        <w:t xml:space="preserve">. The results of the gait analysis indicated that DA-ergic medication </w:t>
      </w:r>
      <w:r w:rsidR="00FC1123">
        <w:t xml:space="preserve">improved motor function </w:t>
      </w:r>
      <w:r w:rsidR="003A0BC5">
        <w:t xml:space="preserve">and DT-ing </w:t>
      </w:r>
      <w:r w:rsidR="00FC1123">
        <w:t xml:space="preserve">negatively </w:t>
      </w:r>
      <w:r w:rsidR="003A0BC5">
        <w:t xml:space="preserve">impacted </w:t>
      </w:r>
      <w:r w:rsidR="00FC1123">
        <w:t>performance</w:t>
      </w:r>
      <w:r w:rsidR="003A0BC5">
        <w:t xml:space="preserve">, but the </w:t>
      </w:r>
      <w:r w:rsidR="003A0BC5" w:rsidRPr="003A0BC5">
        <w:t>absence</w:t>
      </w:r>
      <w:r w:rsidR="003A0BC5">
        <w:t xml:space="preserve"> of </w:t>
      </w:r>
      <w:r w:rsidR="00893BDC">
        <w:t xml:space="preserve">significant interactions and secondary task improvements </w:t>
      </w:r>
      <w:r w:rsidR="00FC1123">
        <w:t xml:space="preserve">does not </w:t>
      </w:r>
      <w:r w:rsidR="00474A42">
        <w:t>support</w:t>
      </w:r>
      <w:r w:rsidR="00FC1123">
        <w:t xml:space="preserve"> an </w:t>
      </w:r>
      <w:r w:rsidR="00FC1123" w:rsidRPr="00FC1123">
        <w:t>enhancement</w:t>
      </w:r>
      <w:r w:rsidR="00FC1123">
        <w:t xml:space="preserve"> in </w:t>
      </w:r>
      <w:r w:rsidR="00DA3158">
        <w:t xml:space="preserve">gait </w:t>
      </w:r>
      <w:r w:rsidR="00FC1123">
        <w:t>automaticity.</w:t>
      </w:r>
      <w:r w:rsidR="006A561E">
        <w:t xml:space="preserve"> The balance analysis </w:t>
      </w:r>
      <w:r w:rsidR="00AC2F92">
        <w:t>revealed</w:t>
      </w:r>
      <w:r w:rsidR="006A561E">
        <w:t xml:space="preserve"> that both DA-ergic medication and DT-ing negatively impacted posturographic balance measures</w:t>
      </w:r>
      <w:r w:rsidR="00E2608A">
        <w:t>,</w:t>
      </w:r>
      <w:r w:rsidR="00AC2F92">
        <w:t xml:space="preserve"> using traditional interpretations of these measures. However, a comprehensive look at the results may suggest that </w:t>
      </w:r>
      <w:r w:rsidR="00C12118">
        <w:t xml:space="preserve">these PD subjects experienced more maneuverability </w:t>
      </w:r>
      <w:r w:rsidR="00034721">
        <w:t>and not instability. Nevertheless, these data</w:t>
      </w:r>
      <w:r w:rsidR="00DA3158">
        <w:t xml:space="preserve"> </w:t>
      </w:r>
      <w:r w:rsidR="00034721">
        <w:t>do</w:t>
      </w:r>
      <w:r w:rsidR="00DA3158">
        <w:t xml:space="preserve"> not</w:t>
      </w:r>
      <w:r w:rsidR="00034721">
        <w:t xml:space="preserve"> provide</w:t>
      </w:r>
      <w:r w:rsidR="00DA3158">
        <w:t xml:space="preserve"> evidence an improvement in balance automaticity</w:t>
      </w:r>
      <w:r w:rsidR="006A561E">
        <w:t xml:space="preserve">. </w:t>
      </w:r>
      <w:r w:rsidR="008746D8">
        <w:t>The nonlinear analyses</w:t>
      </w:r>
      <w:r w:rsidR="0068573A">
        <w:t xml:space="preserve">, specifically </w:t>
      </w:r>
      <w:r w:rsidR="000D61D2">
        <w:t xml:space="preserve">the </w:t>
      </w:r>
      <w:r w:rsidR="0068573A">
        <w:t>ApEn values,</w:t>
      </w:r>
      <w:r w:rsidR="008746D8">
        <w:t xml:space="preserve"> revealed that</w:t>
      </w:r>
      <w:r w:rsidR="007F50A3">
        <w:t xml:space="preserve"> the</w:t>
      </w:r>
      <w:r w:rsidR="008746D8">
        <w:t xml:space="preserve"> motor improvements from DA-ergic medication</w:t>
      </w:r>
      <w:r w:rsidR="007F50A3">
        <w:t xml:space="preserve"> typically found</w:t>
      </w:r>
      <w:r w:rsidR="008746D8">
        <w:t xml:space="preserve"> in gait are accompa</w:t>
      </w:r>
      <w:r w:rsidR="000D61D2">
        <w:t>nied by decreases in regularity</w:t>
      </w:r>
      <w:r w:rsidR="00B360F7">
        <w:t xml:space="preserve">, suggesting that PD subjects may be </w:t>
      </w:r>
      <w:r w:rsidR="00BA6B96">
        <w:t>undesirably</w:t>
      </w:r>
      <w:r w:rsidR="00B360F7">
        <w:t xml:space="preserve"> regular in their joint excursions during gait. </w:t>
      </w:r>
    </w:p>
    <w:p w14:paraId="6B93598A" w14:textId="212DF339" w:rsidR="00097CF6" w:rsidRDefault="000847EE" w:rsidP="008009D0">
      <w:pPr>
        <w:jc w:val="both"/>
      </w:pPr>
      <w:r>
        <w:tab/>
      </w:r>
      <w:r w:rsidR="00362019">
        <w:t xml:space="preserve">Overall, </w:t>
      </w:r>
      <w:r w:rsidR="001B454A">
        <w:t xml:space="preserve">the </w:t>
      </w:r>
      <w:r w:rsidR="001B45E8">
        <w:t>study</w:t>
      </w:r>
      <w:r w:rsidR="001B454A">
        <w:t xml:space="preserve"> yield</w:t>
      </w:r>
      <w:r w:rsidR="001B45E8">
        <w:t>ed</w:t>
      </w:r>
      <w:r w:rsidR="001B454A">
        <w:t xml:space="preserve"> a few interesting conclusions. First, </w:t>
      </w:r>
      <w:r w:rsidR="00FE7BDE">
        <w:t>these results do not support a medication-induced improvement in eithe</w:t>
      </w:r>
      <w:r w:rsidR="00ED4E11">
        <w:t>r gait or balance automaticity; the significantly improved DT gait in the first manuscript is most likely an improvement in motor function and not automaticity.</w:t>
      </w:r>
      <w:r w:rsidR="00D8608E">
        <w:t xml:space="preserve"> Second, even though both gait and balance control are considered automatic</w:t>
      </w:r>
      <w:r w:rsidR="00014732">
        <w:t>, these results indicate that DA-ergic medication has opposing effects on these processes</w:t>
      </w:r>
      <w:r w:rsidR="00CA4B95">
        <w:t>.</w:t>
      </w:r>
      <w:r w:rsidR="00BC5111">
        <w:t xml:space="preserve"> This suggests that gait automaticity and balance automaticity are either differently controlled or differently affected by DA-ergic medication</w:t>
      </w:r>
      <w:r w:rsidR="001E6C7D">
        <w:t xml:space="preserve"> and DT-ing</w:t>
      </w:r>
      <w:r w:rsidR="00BC5111">
        <w:t>.</w:t>
      </w:r>
      <w:r w:rsidR="00AD178A">
        <w:t xml:space="preserve"> </w:t>
      </w:r>
      <w:r w:rsidR="00135242">
        <w:lastRenderedPageBreak/>
        <w:t>Third</w:t>
      </w:r>
      <w:r w:rsidR="00AD178A">
        <w:t xml:space="preserve">, </w:t>
      </w:r>
      <w:r w:rsidR="00DE78ED">
        <w:t xml:space="preserve">the co-occurrence of improved </w:t>
      </w:r>
      <w:r w:rsidR="00204210">
        <w:t>gait</w:t>
      </w:r>
      <w:r w:rsidR="00DE78ED">
        <w:t xml:space="preserve"> function and decreased signal regularity are </w:t>
      </w:r>
      <w:r w:rsidR="00DE78ED" w:rsidRPr="00DE78ED">
        <w:t>suggestive</w:t>
      </w:r>
      <w:r w:rsidR="00DE78ED">
        <w:t xml:space="preserve"> of excessive</w:t>
      </w:r>
      <w:r w:rsidR="00626A95">
        <w:t xml:space="preserve"> </w:t>
      </w:r>
      <w:r w:rsidR="00626A95" w:rsidRPr="00626A95">
        <w:t>uniformity</w:t>
      </w:r>
      <w:r w:rsidR="00626A95">
        <w:t xml:space="preserve"> of</w:t>
      </w:r>
      <w:r w:rsidR="00DE78ED">
        <w:t xml:space="preserve"> joint movement</w:t>
      </w:r>
      <w:r w:rsidR="00626A95">
        <w:t>s</w:t>
      </w:r>
      <w:r w:rsidR="00DE78ED">
        <w:t xml:space="preserve"> in PD</w:t>
      </w:r>
      <w:r w:rsidR="00626A95">
        <w:t xml:space="preserve"> and that DA-ergic medication </w:t>
      </w:r>
      <w:r w:rsidR="003945CF">
        <w:t xml:space="preserve">decreases this uniformity, which </w:t>
      </w:r>
      <w:r w:rsidR="000B5383">
        <w:t>may</w:t>
      </w:r>
      <w:r w:rsidR="00DD3418">
        <w:t xml:space="preserve"> </w:t>
      </w:r>
      <w:r w:rsidR="003945CF">
        <w:t>allow for</w:t>
      </w:r>
      <w:r w:rsidR="00DD3418">
        <w:t xml:space="preserve"> more adaptable gait</w:t>
      </w:r>
      <w:r w:rsidR="000B5383">
        <w:t xml:space="preserve"> patterns</w:t>
      </w:r>
      <w:r w:rsidR="00DD3418">
        <w:t xml:space="preserve">. </w:t>
      </w:r>
      <w:r w:rsidR="00D14795">
        <w:t>Finally, the appropriateness of nonlinear analyses in joint movement</w:t>
      </w:r>
      <w:r w:rsidR="000A72F3">
        <w:t xml:space="preserve"> signals</w:t>
      </w:r>
      <w:r w:rsidR="00D14795">
        <w:t>, and to some extent posturographic signals</w:t>
      </w:r>
      <w:r w:rsidR="008D4A0E">
        <w:t xml:space="preserve"> in PD</w:t>
      </w:r>
      <w:r w:rsidR="00D14795">
        <w:t>, is novel to this study.</w:t>
      </w:r>
      <w:r w:rsidR="000A72F3">
        <w:t xml:space="preserve"> The %DET and ApEn values were </w:t>
      </w:r>
      <w:r w:rsidR="008E7559">
        <w:t>very similar among subjec</w:t>
      </w:r>
      <w:r w:rsidR="00FE7D19">
        <w:t>ts and across conditions and alternate interpretations of ‘stability’ may need to be explored</w:t>
      </w:r>
      <w:r w:rsidR="008E7559">
        <w:t>.</w:t>
      </w:r>
      <w:r w:rsidR="00940D4D">
        <w:t xml:space="preserve"> Additionally, future study of other automatic movements (e.g., eye blinking) will provide </w:t>
      </w:r>
      <w:r w:rsidR="00CA3ABA">
        <w:t>a better understanding of automaticity in this population.</w:t>
      </w:r>
    </w:p>
    <w:p w14:paraId="088CC589" w14:textId="46A41F0B" w:rsidR="00A3724E" w:rsidRPr="00A3724E" w:rsidRDefault="00A3724E" w:rsidP="008009D0">
      <w:pPr>
        <w:jc w:val="both"/>
      </w:pPr>
      <w:r>
        <w:br w:type="page"/>
      </w:r>
    </w:p>
    <w:p w14:paraId="66E8155A" w14:textId="3DBF7498" w:rsidR="004E7254" w:rsidRPr="00E705FF" w:rsidRDefault="004E7254" w:rsidP="008009D0">
      <w:pPr>
        <w:pStyle w:val="Heading1"/>
        <w:jc w:val="both"/>
      </w:pPr>
      <w:bookmarkStart w:id="77" w:name="_Toc527361776"/>
      <w:r w:rsidRPr="00E705FF">
        <w:lastRenderedPageBreak/>
        <w:t>References</w:t>
      </w:r>
      <w:bookmarkEnd w:id="77"/>
    </w:p>
    <w:p w14:paraId="650BB945" w14:textId="76BD015E" w:rsidR="003F6A7B" w:rsidRPr="003F6A7B" w:rsidRDefault="006A08A0" w:rsidP="008009D0">
      <w:pPr>
        <w:widowControl w:val="0"/>
        <w:autoSpaceDE w:val="0"/>
        <w:autoSpaceDN w:val="0"/>
        <w:adjustRightInd w:val="0"/>
        <w:ind w:left="640" w:hanging="640"/>
        <w:jc w:val="both"/>
        <w:rPr>
          <w:rFonts w:cs="Arial"/>
          <w:noProof/>
        </w:rPr>
      </w:pPr>
      <w:r>
        <w:rPr>
          <w:rFonts w:cs="Arial"/>
        </w:rPr>
        <w:fldChar w:fldCharType="begin" w:fldLock="1"/>
      </w:r>
      <w:r>
        <w:rPr>
          <w:rFonts w:cs="Arial"/>
        </w:rPr>
        <w:instrText xml:space="preserve">ADDIN Mendeley Bibliography CSL_BIBLIOGRAPHY </w:instrText>
      </w:r>
      <w:r>
        <w:rPr>
          <w:rFonts w:cs="Arial"/>
        </w:rPr>
        <w:fldChar w:fldCharType="separate"/>
      </w:r>
      <w:r w:rsidR="003F6A7B" w:rsidRPr="003F6A7B">
        <w:rPr>
          <w:rFonts w:cs="Arial"/>
          <w:noProof/>
        </w:rPr>
        <w:t>[1]</w:t>
      </w:r>
      <w:r w:rsidR="003F6A7B" w:rsidRPr="003F6A7B">
        <w:rPr>
          <w:rFonts w:cs="Arial"/>
          <w:noProof/>
        </w:rPr>
        <w:tab/>
        <w:t>L.M. de Lau, M.M. Breteler, Epidemiology of Parkinson’s disease, Lancet Neurol. 5 (2006) 525–535. doi:10.1016/S1474-4422(06)70471-9.</w:t>
      </w:r>
    </w:p>
    <w:p w14:paraId="0DCF6F20"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w:t>
      </w:r>
      <w:r w:rsidRPr="003F6A7B">
        <w:rPr>
          <w:rFonts w:cs="Arial"/>
          <w:noProof/>
        </w:rPr>
        <w:tab/>
        <w:t>S. Fahn, Description of Parkinson’ s Disease as a Clinical Syndrome, Ann. New York Acad. Sci. 991 (2003) 1–14.</w:t>
      </w:r>
    </w:p>
    <w:p w14:paraId="69E6D70B"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w:t>
      </w:r>
      <w:r w:rsidRPr="003F6A7B">
        <w:rPr>
          <w:rFonts w:cs="Arial"/>
          <w:noProof/>
        </w:rPr>
        <w:tab/>
        <w:t>J. Jankovic, Parkinson’s disease: clinical features and diagnosis, J. Neurol. Neurosurg. Psychiatry. 79 (2008) 368–376. doi:10.1136/jnnp.2007.131045.</w:t>
      </w:r>
    </w:p>
    <w:p w14:paraId="57D4B895"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w:t>
      </w:r>
      <w:r w:rsidRPr="003F6A7B">
        <w:rPr>
          <w:rFonts w:cs="Arial"/>
          <w:noProof/>
        </w:rPr>
        <w:tab/>
        <w:t>J.M. Shulman, P.L. De Jager, M.B. Feany, Parkinson’s Disease: Genetics and Pathogenesis, Annu. Rev. Pathol. Mech. Dis. 6 (2011) 193–222. doi:10.1146/annurev-pathol-011110-130242.</w:t>
      </w:r>
    </w:p>
    <w:p w14:paraId="16BA021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[5]</w:t>
      </w:r>
      <w:r w:rsidRPr="003F6A7B">
        <w:rPr>
          <w:rFonts w:cs="Arial"/>
          <w:noProof/>
        </w:rPr>
        <w:tab/>
        <w:t>M.C. Rodriguez-Oroz, M. Jahanshahi, P. Krack, I. Litvan, R. Macias, E. Bezard, J. a. Obeso, Initial clinical manifestations of Parkinson’s disease: features and pathophysiological mechanisms, Lancet Neurol. 8 (2009) 1128–1139. doi:10.1016/S1474-4422(09)70293-5.</w:t>
      </w:r>
    </w:p>
    <w:p w14:paraId="78EE537D"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[6]</w:t>
      </w:r>
      <w:r w:rsidRPr="003F6A7B">
        <w:rPr>
          <w:rFonts w:cs="Arial"/>
          <w:noProof/>
        </w:rPr>
        <w:tab/>
        <w:t>H. Bernheimer, W. Birkmayer, O. Hornykiewicz, K. Jellinger, F. Seitelberger, Brain dopamine and the syndromes of Parkinson and Huntington Clinical, morphological and neurochemical correlations, J. Neurol. Sci. 20 (1973) 415–455. doi:10.1016/0022-510X(73)90175-5.</w:t>
      </w:r>
    </w:p>
    <w:p w14:paraId="6A05D247"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[7]</w:t>
      </w:r>
      <w:r w:rsidRPr="003F6A7B">
        <w:rPr>
          <w:rFonts w:cs="Arial"/>
          <w:noProof/>
        </w:rPr>
        <w:tab/>
        <w:t>T. Wu, M. Hallett, P. Chan, Motor automaticity in Parkinson’s disease, Neurobiol. Dis. 82 (2015) 226–234. doi:10.1016/j.nbd.2015.06.014.</w:t>
      </w:r>
    </w:p>
    <w:p w14:paraId="7C60CEF9"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lastRenderedPageBreak/>
        <w:t>[8]</w:t>
      </w:r>
      <w:r w:rsidRPr="003F6A7B">
        <w:rPr>
          <w:rFonts w:cs="Arial"/>
          <w:noProof/>
        </w:rPr>
        <w:tab/>
        <w:t>T. Wu, M. Hallett, Neural correlates of dual task performance in patients with Parkinson’s disease, J. Neurol. Neurosurg. Psychiatry. 79 (2008) 760–766. doi:10.1136/jnnp.2007.126599.</w:t>
      </w:r>
    </w:p>
    <w:p w14:paraId="28F116DA"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[9]</w:t>
      </w:r>
      <w:r w:rsidRPr="003F6A7B">
        <w:rPr>
          <w:rFonts w:cs="Arial"/>
          <w:noProof/>
        </w:rPr>
        <w:tab/>
        <w:t>S. Lehericy, H. Benali, P.-F. Van de Moortele, M. Pelegrini-Issac, T. Waechter, K. Ugurbil, J. Doyon, Distinct basal ganglia territories are engaged in early and advanced motor sequence learning, Proc. Natl. Acad. Sci. 102 (2005) 12566–12571. doi:10.1073/pnas.0502762102.</w:t>
      </w:r>
    </w:p>
    <w:p w14:paraId="44066E5B"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[10]</w:t>
      </w:r>
      <w:r w:rsidRPr="003F6A7B">
        <w:rPr>
          <w:rFonts w:cs="Arial"/>
          <w:noProof/>
        </w:rPr>
        <w:tab/>
        <w:t>T. Wu, J. Liu, H. Zhang, M. Hallett, Z. Zheng, P. Chan, Attention to Automatic Movements in Parkinson’s Disease: Modified Automatic Mode in the Striatum, Cereb. Cortex. 25 (2015) 3330–3342. doi:10.1093/cercor/bhu135.</w:t>
      </w:r>
    </w:p>
    <w:p w14:paraId="45C465A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[11]</w:t>
      </w:r>
      <w:r w:rsidRPr="003F6A7B">
        <w:rPr>
          <w:rFonts w:cs="Arial"/>
          <w:noProof/>
        </w:rPr>
        <w:tab/>
        <w:t>P. Plummer, G. Eskes, Measuring treatment effects on dual-task performance: a framework for research and clinical practice, Front. Hum. Neurosci. 9 (2015) 225. doi:10.3389/fnhum.2015.00225.</w:t>
      </w:r>
    </w:p>
    <w:p w14:paraId="1A7BEA1F"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[12]</w:t>
      </w:r>
      <w:r w:rsidRPr="003F6A7B">
        <w:rPr>
          <w:rFonts w:cs="Arial"/>
          <w:noProof/>
        </w:rPr>
        <w:tab/>
        <w:t>M. Elshehabi, K.S. Maier, S.E. Hasmann, S. Nussbaum, H. Herbst, T. Heger, D. Berg, M.A. Hobert, W. Maetzler, Limited Effect of Dopaminergic Medication on Straight Walking and Turning in Early-to-Moderate Parkinson’s Disease during Single and Dual Tasking, Front. Aging Neurosci. 8 (2016) 1–6. doi:10.3389/fnagi.2016.00004.</w:t>
      </w:r>
    </w:p>
    <w:p w14:paraId="1ED15AD1"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[13]</w:t>
      </w:r>
      <w:r w:rsidRPr="003F6A7B">
        <w:rPr>
          <w:rFonts w:cs="Arial"/>
          <w:noProof/>
        </w:rPr>
        <w:tab/>
        <w:t>M.E. McNeely, R.P. Duncan, G.M. Earhart, Medication improves balance and complex gait performance in Parkinson disease, Gait Posture. 36 (2012) 144–148. doi:10.1016/j.gaitpost.2012.02.009.</w:t>
      </w:r>
    </w:p>
    <w:p w14:paraId="6095B63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lastRenderedPageBreak/>
        <w:t>[14]</w:t>
      </w:r>
      <w:r w:rsidRPr="003F6A7B">
        <w:rPr>
          <w:rFonts w:cs="Arial"/>
          <w:noProof/>
        </w:rPr>
        <w:tab/>
        <w:t>M.M. Hoehn, M.D. Yahr, Parkinsonism: onset, progression and mortality., Neurology. 17 (1967) 427–42. http://www.ncbi.nlm.nih.gov/pubmed/6067254.</w:t>
      </w:r>
    </w:p>
    <w:p w14:paraId="6A7BBE28"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[15]</w:t>
      </w:r>
      <w:r w:rsidRPr="003F6A7B">
        <w:rPr>
          <w:rFonts w:cs="Arial"/>
          <w:noProof/>
        </w:rPr>
        <w:tab/>
        <w:t>Z. Nasreddine, N. Phillips, V. Bédirian, S. Charbonneau, V. Whitehead, I. Colllin, J. Cummings, H. Chertkow, The Montreal Cognitive Assessment, MoCA: a brief screening tool for mild cognitive impairment, J. Am. Geriatr. Soc. 53 (2005) 695–699. doi:10.1111/j.1532-5415.2005.53221.x.</w:t>
      </w:r>
    </w:p>
    <w:p w14:paraId="283AF97F"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[16]</w:t>
      </w:r>
      <w:r w:rsidRPr="003F6A7B">
        <w:rPr>
          <w:rFonts w:cs="Arial"/>
          <w:noProof/>
        </w:rPr>
        <w:tab/>
        <w:t>S.T. Pendlebury, S.J. V Welch, F.C. Cuthbertson, J. Mariz, Z. Mehta, P.M. Rothwell, Telephone assessment of cognition after transient ischemic attack and stroke: Modified telephone interview of cognitive status and telephone montreal cognitive assessment versus face-to-face montreal cognitive assessment and neuropsychological battery, Stroke. 44 (2013) 227–229. doi:10.1161/STROKEAHA.112.673384.</w:t>
      </w:r>
    </w:p>
    <w:p w14:paraId="7982455D"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[17]</w:t>
      </w:r>
      <w:r w:rsidRPr="003F6A7B">
        <w:rPr>
          <w:rFonts w:cs="Arial"/>
          <w:noProof/>
        </w:rPr>
        <w:tab/>
        <w:t>C.G. Goetz, B.C. Tilley, S.R. Shaftman, G.T. Stebbins, S. Fahn, P. Martinez-Martin, W. Poewe, C. Sampaio, M.B. Stern, R. Dodel, B. Dubois, R. Holloway, J. Jankovic, J. Kulisevsky, A.E. Lang, A. Lees, S. Leurgans, P.A. LeWitt, D. Nyenhuis, C.W. Olanow, O. Rascol, A. Schrag, J.A. Teresi, J.J. van Hilten, N. LaPelle, Movement Disorder Society UPDRS Revision Task Force, Movement Disorder Society-sponsored revision of the Unified Parkinson’s Disease Rating Scale (MDS-UPDRS): scale presentation and clinimetric testing results., Mov. Disord. 23 (2008) 2129–70. doi:10.1002/mds.22340.</w:t>
      </w:r>
    </w:p>
    <w:p w14:paraId="15AC04E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[18]</w:t>
      </w:r>
      <w:r w:rsidRPr="003F6A7B">
        <w:rPr>
          <w:rFonts w:cs="Arial"/>
          <w:noProof/>
        </w:rPr>
        <w:tab/>
        <w:t>S. Springer, N. Giladi, C. Peretz, G. Yogev, E.S. Simon, J.M. Hausdorff, Dual-</w:t>
      </w:r>
      <w:r w:rsidRPr="003F6A7B">
        <w:rPr>
          <w:rFonts w:cs="Arial"/>
          <w:noProof/>
        </w:rPr>
        <w:lastRenderedPageBreak/>
        <w:t>tasking effects on gait variability: The role of aging, falls, and executive function, Mov. Disord. 21 (2006) 950–957. doi:10.1002/mds.20848.</w:t>
      </w:r>
    </w:p>
    <w:p w14:paraId="034434F0"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[19]</w:t>
      </w:r>
      <w:r w:rsidRPr="003F6A7B">
        <w:rPr>
          <w:rFonts w:cs="Arial"/>
          <w:noProof/>
        </w:rPr>
        <w:tab/>
        <w:t>G. Dirnberger, M. Jahanshahi, Executive dysfunction in Parkinson’s disease: A review, J. Neuropsychol. 7 (2013) 193–224. doi:10.1111/jnp.12028.</w:t>
      </w:r>
    </w:p>
    <w:p w14:paraId="6AAF7EB4"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[20]</w:t>
      </w:r>
      <w:r w:rsidRPr="003F6A7B">
        <w:rPr>
          <w:rFonts w:cs="Arial"/>
          <w:noProof/>
        </w:rPr>
        <w:tab/>
        <w:t>M. Tombu, P. Jolicœur, A central capacity sharing model of dual-task performance., J. Exp. Psychol. Hum. Percept. Perform. 29 (2003) 3–18. doi:10.1037/0096-1523.29.1.3.</w:t>
      </w:r>
    </w:p>
    <w:p w14:paraId="699C9CFA"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[21]</w:t>
      </w:r>
      <w:r w:rsidRPr="003F6A7B">
        <w:rPr>
          <w:rFonts w:cs="Arial"/>
          <w:noProof/>
        </w:rPr>
        <w:tab/>
        <w:t>H. Pashler, Dual-task interference in simple tasks: Data and theory., Psychol. Bull. 116 (1994) 220–244. doi:10.1037/0033-2909.116.2.220.</w:t>
      </w:r>
    </w:p>
    <w:p w14:paraId="383F0EA5"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[22]</w:t>
      </w:r>
      <w:r w:rsidRPr="003F6A7B">
        <w:rPr>
          <w:rFonts w:cs="Arial"/>
          <w:noProof/>
        </w:rPr>
        <w:tab/>
        <w:t>B.R. Bloem, Y.A.M. Grimbergen, J.G. van Dijk, M. Munneke, The “posture second” strategy: A review of wrong priorities in Parkinson’s disease, J. Neurol. Sci. 248 (2006) 196–204. doi:10.1016/j.jns.2006.05.010.</w:t>
      </w:r>
    </w:p>
    <w:p w14:paraId="66219207"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[23]</w:t>
      </w:r>
      <w:r w:rsidRPr="003F6A7B">
        <w:rPr>
          <w:rFonts w:cs="Arial"/>
          <w:noProof/>
        </w:rPr>
        <w:tab/>
        <w:t>S.D. Kim, N.E. Allen, C.G. Canning, V.S.C. Fung, Postural instability in patients with Parkinson’s disease: Epidemiology, pathophysiology and management, CNS Drugs. 27 (2013) 97–112. doi:10.1007/s40263-012-0012-3.</w:t>
      </w:r>
    </w:p>
    <w:p w14:paraId="30EBF85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[24]</w:t>
      </w:r>
      <w:r w:rsidRPr="003F6A7B">
        <w:rPr>
          <w:rFonts w:cs="Arial"/>
          <w:noProof/>
        </w:rPr>
        <w:tab/>
        <w:t>A.-M. Ferrandez, O. Blin, A comparison between the effect of intentional modulations and the action of l-Dopa on gait in Parkinson’s disease, Behav. Brain Res. 45 (1991) 177–183. doi:10.1016/S0166-4328(05)80083-X.</w:t>
      </w:r>
    </w:p>
    <w:p w14:paraId="67A26390"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[25]</w:t>
      </w:r>
      <w:r w:rsidRPr="003F6A7B">
        <w:rPr>
          <w:rFonts w:cs="Arial"/>
          <w:noProof/>
        </w:rPr>
        <w:tab/>
        <w:t xml:space="preserve">G. Yogev-Seligmann, N. Giladi, L. Gruendlinger, J.M. Hausdorff, The contribution of postural control and bilateral coordination to the impact of dual tasking on gait, </w:t>
      </w:r>
      <w:r w:rsidRPr="003F6A7B">
        <w:rPr>
          <w:rFonts w:cs="Arial"/>
          <w:noProof/>
        </w:rPr>
        <w:lastRenderedPageBreak/>
        <w:t>Exp. Brain Res. 226 (2013) 81–93. doi:10.1007/s00221-013-3412-9.</w:t>
      </w:r>
    </w:p>
    <w:p w14:paraId="5BD27C3A"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[26]</w:t>
      </w:r>
      <w:r w:rsidRPr="003F6A7B">
        <w:rPr>
          <w:rFonts w:cs="Arial"/>
          <w:noProof/>
        </w:rPr>
        <w:tab/>
        <w:t>Â. Fernandes, T. Coelho, A. Vitória, A. Ferreira, R. Santos, N. Rocha, L. Fernandes, J.M.R.S. Tavares, Standing balance in individuals with Parkinson’s disease during single and dual-task conditions, Gait Posture. 42 (2015) 323–328. doi:10.1016/j.gaitpost.2015.06.188.</w:t>
      </w:r>
    </w:p>
    <w:p w14:paraId="34F4B302"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[27]</w:t>
      </w:r>
      <w:r w:rsidRPr="003F6A7B">
        <w:rPr>
          <w:rFonts w:cs="Arial"/>
          <w:noProof/>
        </w:rPr>
        <w:tab/>
        <w:t>A. Ashburn, E. Stack, R.M. Pickering, C.D. Ward, A community-dwelling sample of people with Parkinson’s disesase: Characteristics of fallers and non-fallers, Age Ageing. 30 (2001) 47–52. doi:10.1093/ageing/30.1.47.</w:t>
      </w:r>
    </w:p>
    <w:p w14:paraId="2A8429D2"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[28]</w:t>
      </w:r>
      <w:r w:rsidRPr="003F6A7B">
        <w:rPr>
          <w:rFonts w:cs="Arial"/>
          <w:noProof/>
        </w:rPr>
        <w:tab/>
        <w:t>A.F. Barbosa, C. de O. Souza, J. Chen, D.V. Francato, F.A. Caromano, H.F. Chien, E.R. Barbosa, J.M.D. Greve, M.C. Voos, The competition with a concurrent cognitive task affects posturographic measures in patients with Parkinson disease, Arq. Neuropsiquiatr. 73 (2015) 906–912. doi:10.1590/0004-282X20150153.</w:t>
      </w:r>
    </w:p>
    <w:p w14:paraId="2B452BD1"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[29]</w:t>
      </w:r>
      <w:r w:rsidRPr="003F6A7B">
        <w:rPr>
          <w:rFonts w:cs="Arial"/>
          <w:noProof/>
        </w:rPr>
        <w:tab/>
        <w:t>J.D. Holmes, M.E. Jenkins, A.M. Johnson, S.G. Adams, S.J. Spaulding, Dual-Task Interference: The Effects of Verbal Cognitive Tasks on Upright Postural Stability in Parkinson’s Disease, Parkinsons. Dis. 2010 (2010) 1–5. doi:10.4061/2010/696492.</w:t>
      </w:r>
    </w:p>
    <w:p w14:paraId="17AEB231"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[30]</w:t>
      </w:r>
      <w:r w:rsidRPr="003F6A7B">
        <w:rPr>
          <w:rFonts w:cs="Arial"/>
          <w:noProof/>
        </w:rPr>
        <w:tab/>
        <w:t>J.W. Błaszczyk, R. Orawiec, Assessment of postural control in patients with Parkinson’s disease: Sway ratio analysis, Hum. Mov. Sci. 30 (2011) 396–404. doi:10.1016/j.humov.2010.07.017.</w:t>
      </w:r>
    </w:p>
    <w:p w14:paraId="23F6BD4C"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[31]</w:t>
      </w:r>
      <w:r w:rsidRPr="003F6A7B">
        <w:rPr>
          <w:rFonts w:cs="Arial"/>
          <w:noProof/>
        </w:rPr>
        <w:tab/>
        <w:t xml:space="preserve">M. Mancini, L. Rocchi, F.B. Horak, L. Chiari, Effects of Parkinson’s disease and levodopa on functional limits of stability, Clin. Biomech. 23 (2008) 450–458. </w:t>
      </w:r>
      <w:r w:rsidRPr="003F6A7B">
        <w:rPr>
          <w:rFonts w:cs="Arial"/>
          <w:noProof/>
        </w:rPr>
        <w:lastRenderedPageBreak/>
        <w:t>doi:10.1016/j.clinbiomech.2007.11.007.</w:t>
      </w:r>
    </w:p>
    <w:p w14:paraId="4BC8C8A0"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[32]</w:t>
      </w:r>
      <w:r w:rsidRPr="003F6A7B">
        <w:rPr>
          <w:rFonts w:cs="Arial"/>
          <w:noProof/>
        </w:rPr>
        <w:tab/>
        <w:t>L. Rocchi, L. Chiari, F.B. Horak, Effects of deep brain stimulation and levodopa on postural sway in Parkinson’s disease, J. Neurol. Neurosurg. Psychiatry. 73 (2002) 267–274. doi:10.1136/jnnp.73.3.267.</w:t>
      </w:r>
    </w:p>
    <w:p w14:paraId="70C58EEB"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[33]</w:t>
      </w:r>
      <w:r w:rsidRPr="003F6A7B">
        <w:rPr>
          <w:rFonts w:cs="Arial"/>
          <w:noProof/>
        </w:rPr>
        <w:tab/>
        <w:t>H.M. Bronte-Stewart, A.Y. Minn, K. Rodrigues, E.L. Buckley, L.M. Nashner, Postural instability in idiopathic Parkinson’s disease: the role of medication and unilateral pallidotomy, Brain. 125 (2002) 2100–2114. doi:10.1093/brain/awf207.</w:t>
      </w:r>
    </w:p>
    <w:p w14:paraId="6608C3AE"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[34]</w:t>
      </w:r>
      <w:r w:rsidRPr="003F6A7B">
        <w:rPr>
          <w:rFonts w:cs="Arial"/>
          <w:noProof/>
        </w:rPr>
        <w:tab/>
        <w:t>M.C. Dault, L. Yardley, J.S. Frank, Does articulation contribute to modifications of postural control during dual-task paradigms?, Cogn. Brain Res. 16 (2003) 434–440. doi:10.1016/S0926-6410(03)00058-2.</w:t>
      </w:r>
    </w:p>
    <w:p w14:paraId="7947E338"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[35]</w:t>
      </w:r>
      <w:r w:rsidRPr="003F6A7B">
        <w:rPr>
          <w:rFonts w:cs="Arial"/>
          <w:noProof/>
        </w:rPr>
        <w:tab/>
        <w:t>M. Duarte, S.M. Freitas, Revision of posturography based on force plate for balance evaluation, Rev. Bras. Fisioter. 14 (2010) 183–192. doi:S1413-35552010000300003 [pii].</w:t>
      </w:r>
    </w:p>
    <w:p w14:paraId="55E4C298"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[36]</w:t>
      </w:r>
      <w:r w:rsidRPr="003F6A7B">
        <w:rPr>
          <w:rFonts w:cs="Arial"/>
          <w:noProof/>
        </w:rPr>
        <w:tab/>
        <w:t>D.A. Winter, Biomechanics and Motor Control of Human Movement, Wiley, Hoboken, NJ, 2009.</w:t>
      </w:r>
    </w:p>
    <w:p w14:paraId="440A26BF"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[37]</w:t>
      </w:r>
      <w:r w:rsidRPr="003F6A7B">
        <w:rPr>
          <w:rFonts w:cs="Arial"/>
          <w:noProof/>
        </w:rPr>
        <w:tab/>
        <w:t>R.A. Ozdemir, A. Pourmoghaddam, W.H. Paloski, Sensorimotor posture control in the blind: Superior ankle proprioceptive acuity does not compensate for vision loss, Gait Posture. 38 (2013) 603–608. doi:10.1016/j.gaitpost.2013.02.003.</w:t>
      </w:r>
    </w:p>
    <w:p w14:paraId="547D4BF2"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[38]</w:t>
      </w:r>
      <w:r w:rsidRPr="003F6A7B">
        <w:rPr>
          <w:rFonts w:cs="Arial"/>
          <w:noProof/>
        </w:rPr>
        <w:tab/>
        <w:t xml:space="preserve">H.J. Huang, A.A. Ahmed, Tradeoff Between Stability and Maneuverability During Whole-Body Movements, PLoS One. 6 (2011) e21815. </w:t>
      </w:r>
      <w:r w:rsidRPr="003F6A7B">
        <w:rPr>
          <w:rFonts w:cs="Arial"/>
          <w:noProof/>
        </w:rPr>
        <w:lastRenderedPageBreak/>
        <w:t>doi:10.1371/journal.pone.0021815.</w:t>
      </w:r>
    </w:p>
    <w:p w14:paraId="65D76598"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[39]</w:t>
      </w:r>
      <w:r w:rsidRPr="003F6A7B">
        <w:rPr>
          <w:rFonts w:cs="Arial"/>
          <w:noProof/>
        </w:rPr>
        <w:tab/>
        <w:t>S. Morrison, G. Kerr, K.M. Newell, P.A. Silburn, Differential time- and frequency-dependent structure of postural sway and finger tremor in Parkinson’s disease, Neurosci. Lett. 443 (2008) 123–128. doi:10.1016/j.neulet.2008.07.071.</w:t>
      </w:r>
    </w:p>
    <w:p w14:paraId="13615A87"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[40]</w:t>
      </w:r>
      <w:r w:rsidRPr="003F6A7B">
        <w:rPr>
          <w:rFonts w:cs="Arial"/>
          <w:noProof/>
        </w:rPr>
        <w:tab/>
        <w:t>S. Morrison, N. Cortes, K.M. Newell, P.A. Silburn, G. Kerr, Variability, regularity and coupling measures distinguish PD tremor from voluntary 5Hz tremor., Neurosci. Lett. 534 (2013) 69–74. doi:10.1016/j.neulet.2012.11.040.</w:t>
      </w:r>
    </w:p>
    <w:p w14:paraId="18DAAC8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[41]</w:t>
      </w:r>
      <w:r w:rsidRPr="003F6A7B">
        <w:rPr>
          <w:rFonts w:cs="Arial"/>
          <w:noProof/>
        </w:rPr>
        <w:tab/>
        <w:t>J.M. Schmit, M.A. Riley, A. Dalvi, A. Sahay, P.K. Shear, K.D. Shockley, R.Y.K. Pun, Deterministic center of pressure patterns characterize postural instability in Parkinson’s disease, Exp. Brain Res. 168 (2006) 357–367. doi:10.1007/s00221-005-0094-y.</w:t>
      </w:r>
    </w:p>
    <w:p w14:paraId="1818CB4D"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[42]</w:t>
      </w:r>
      <w:r w:rsidRPr="003F6A7B">
        <w:rPr>
          <w:rFonts w:cs="Arial"/>
          <w:noProof/>
        </w:rPr>
        <w:tab/>
        <w:t>J.M. Hausdorff, D.A. Rios, H.K. Edelberg, Gait variability and fall risk in community-living older adults: A 1-year prospective study, Arch. Phys. Med. Rehabil. 82 (2001) 1050–1056. doi:10.1053/apmr.2001.24893.</w:t>
      </w:r>
    </w:p>
    <w:p w14:paraId="0A3BF4CF"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[43]</w:t>
      </w:r>
      <w:r w:rsidRPr="003F6A7B">
        <w:rPr>
          <w:rFonts w:cs="Arial"/>
          <w:noProof/>
        </w:rPr>
        <w:tab/>
        <w:t>M. Brown, D.R. Sinacore, E.F. Binder, W.M. Kohrt, Physical and performance measures for the identification of mild to moderate frailty., J. Gerontol. A. Biol. Sci. Med. Sci. 55 (2000) M350-5. http://www.ncbi.nlm.nih.gov/pubmed/0010843356.</w:t>
      </w:r>
    </w:p>
    <w:p w14:paraId="392B66A4"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[44]</w:t>
      </w:r>
      <w:r w:rsidRPr="003F6A7B">
        <w:rPr>
          <w:rFonts w:cs="Arial"/>
          <w:noProof/>
        </w:rPr>
        <w:tab/>
        <w:t>S.M. Pincus, Approximate entropy as a measure of system complexity., Proc. Natl. Acad. Sci. U. S. A. 88 (1991) 2297–2301. doi:10.1073/pnas.88.6.2297.</w:t>
      </w:r>
    </w:p>
    <w:p w14:paraId="510D7952"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[45]</w:t>
      </w:r>
      <w:r w:rsidRPr="003F6A7B">
        <w:rPr>
          <w:rFonts w:cs="Arial"/>
          <w:noProof/>
        </w:rPr>
        <w:tab/>
        <w:t xml:space="preserve">G. Pellecchia, K. Shockley, Application of recurrence quantification analysis: </w:t>
      </w:r>
      <w:r w:rsidRPr="003F6A7B">
        <w:rPr>
          <w:rFonts w:cs="Arial"/>
          <w:noProof/>
        </w:rPr>
        <w:lastRenderedPageBreak/>
        <w:t>Influence of cognitive activity on postural fluctuations, in: M. Riley, G. Van Orden (Eds.), Tutorials Contemp. Nonlinear Methods Behav. Sci., National Science Foundation, Arlington, VA, 2005: pp. 95–141. ftp://ftp.rpslmc.edu/users/molebio/JoeZbilut/kevin/chap3.pdf.</w:t>
      </w:r>
    </w:p>
    <w:p w14:paraId="0CF40D2B"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[46]</w:t>
      </w:r>
      <w:r w:rsidRPr="003F6A7B">
        <w:rPr>
          <w:rFonts w:cs="Arial"/>
          <w:noProof/>
        </w:rPr>
        <w:tab/>
        <w:t>N. Marwan, M.C. Romano, M. Thiel, J. Kurths, Recurrence plots for the analysis of complex systems, Phys. Rep. 438 (2007) 237–329. doi:10.1016/j.physrep.2006.11.001.</w:t>
      </w:r>
    </w:p>
    <w:p w14:paraId="09A9DDF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[47]</w:t>
      </w:r>
      <w:r w:rsidRPr="003F6A7B">
        <w:rPr>
          <w:rFonts w:cs="Arial"/>
          <w:noProof/>
        </w:rPr>
        <w:tab/>
        <w:t>B.S. Connolly, A.E. Lang, Pharmacological Treatment of Parkinson Disease, JAMA. 311 (2014) 1670. doi:10.1001/jama.2014.3654.</w:t>
      </w:r>
    </w:p>
    <w:p w14:paraId="54B47703"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[48]</w:t>
      </w:r>
      <w:r w:rsidRPr="003F6A7B">
        <w:rPr>
          <w:rFonts w:cs="Arial"/>
          <w:noProof/>
        </w:rPr>
        <w:tab/>
        <w:t>L.A. Lipsitz, A.L. Goldberger, Loss of “Complexity” and Aging. Potential Applications of Fractals and Chaos Theory to Senescence., JAMA. 267 (1992) 1806–1809. doi:10.1001/jama.1992.03480130122036.</w:t>
      </w:r>
    </w:p>
    <w:p w14:paraId="2A468FB9" w14:textId="77777777" w:rsidR="003F6A7B" w:rsidRPr="003F6A7B" w:rsidRDefault="003F6A7B" w:rsidP="008009D0">
      <w:pPr>
        <w:widowControl w:val="0"/>
        <w:autoSpaceDE w:val="0"/>
        <w:autoSpaceDN w:val="0"/>
        <w:adjustRightInd w:val="0"/>
        <w:ind w:left="640" w:hanging="640"/>
        <w:jc w:val="both"/>
        <w:rPr>
          <w:rFonts w:cs="Arial"/>
          <w:noProof/>
        </w:rPr>
      </w:pPr>
      <w:r w:rsidRPr="003F6A7B">
        <w:rPr>
          <w:rFonts w:cs="Arial"/>
          <w:noProof/>
        </w:rPr>
        <w:t>[49]</w:t>
      </w:r>
      <w:r w:rsidRPr="003F6A7B">
        <w:rPr>
          <w:rFonts w:cs="Arial"/>
          <w:noProof/>
        </w:rPr>
        <w:tab/>
        <w:t>S.L. Hong, E.G. James, K.M. Newell, Coupling and Irregularity in the Aging Motor System: Tremor and Movement, Neurosci. Lett. 433 (2008) 119–124. doi:10.1016/j.neulet.2007.12.056.</w:t>
      </w:r>
    </w:p>
    <w:p w14:paraId="1223D32E" w14:textId="0C2596CA" w:rsidR="008E02CD" w:rsidRDefault="006A08A0" w:rsidP="008009D0">
      <w:pPr>
        <w:widowControl w:val="0"/>
        <w:autoSpaceDE w:val="0"/>
        <w:autoSpaceDN w:val="0"/>
        <w:adjustRightInd w:val="0"/>
        <w:ind w:left="640" w:hanging="640"/>
        <w:jc w:val="both"/>
        <w:rPr>
          <w:rFonts w:cs="Arial"/>
        </w:rPr>
        <w:sectPr w:rsidR="008E02CD" w:rsidSect="00C55D12">
          <w:headerReference w:type="even" r:id="rId31"/>
          <w:headerReference w:type="default" r:id="rId32"/>
          <w:pgSz w:w="12240" w:h="15840"/>
          <w:pgMar w:top="1800" w:right="1440" w:bottom="1440" w:left="1440" w:header="720" w:footer="720" w:gutter="0"/>
          <w:cols w:space="720"/>
          <w:docGrid w:linePitch="360"/>
        </w:sectPr>
      </w:pPr>
      <w:r>
        <w:rPr>
          <w:rFonts w:cs="Arial"/>
        </w:rPr>
        <w:fldChar w:fldCharType="end"/>
      </w:r>
    </w:p>
    <w:p w14:paraId="36B0A84B" w14:textId="4D95352E" w:rsidR="004D250A" w:rsidRPr="008E02CD" w:rsidRDefault="004D250A" w:rsidP="008009D0">
      <w:pPr>
        <w:widowControl w:val="0"/>
        <w:autoSpaceDE w:val="0"/>
        <w:autoSpaceDN w:val="0"/>
        <w:adjustRightInd w:val="0"/>
        <w:ind w:left="640"/>
        <w:jc w:val="both"/>
        <w:rPr>
          <w:rFonts w:cs="Arial"/>
        </w:rPr>
      </w:pPr>
    </w:p>
    <w:sectPr w:rsidR="004D250A" w:rsidRPr="008E02CD" w:rsidSect="00C55D12">
      <w:footerReference w:type="default" r:id="rId33"/>
      <w:pgSz w:w="12240" w:h="15840"/>
      <w:pgMar w:top="180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5D0DE" w14:textId="77777777" w:rsidR="006574EE" w:rsidRDefault="006574EE" w:rsidP="00543142">
      <w:pPr>
        <w:spacing w:after="0" w:line="240" w:lineRule="auto"/>
      </w:pPr>
      <w:r>
        <w:separator/>
      </w:r>
    </w:p>
  </w:endnote>
  <w:endnote w:type="continuationSeparator" w:id="0">
    <w:p w14:paraId="691B099A" w14:textId="77777777" w:rsidR="006574EE" w:rsidRDefault="006574EE" w:rsidP="00543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20603050405020304"/>
    <w:charset w:val="00"/>
    <w:family w:val="roman"/>
    <w:pitch w:val="variable"/>
    <w:sig w:usb0="0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Segoe UI">
    <w:altName w:val="Calibri"/>
    <w:panose1 w:val="020B0604020202020204"/>
    <w:charset w:val="00"/>
    <w:family w:val="swiss"/>
    <w:pitch w:val="variable"/>
    <w:sig w:usb0="8000006F" w:usb1="1200FBEF" w:usb2="0004C000" w:usb3="00000000" w:csb0="00000001" w:csb1="00000000"/>
  </w:font>
  <w:font w:name="Courier">
    <w:panose1 w:val="020005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19253524"/>
      <w:docPartObj>
        <w:docPartGallery w:val="Page Numbers (Bottom of Page)"/>
        <w:docPartUnique/>
      </w:docPartObj>
    </w:sdtPr>
    <w:sdtContent>
      <w:p w14:paraId="7619347E" w14:textId="53970B57"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52682607"/>
      <w:docPartObj>
        <w:docPartGallery w:val="Page Numbers (Bottom of Page)"/>
        <w:docPartUnique/>
      </w:docPartObj>
    </w:sdtPr>
    <w:sdtContent>
      <w:p w14:paraId="61E99F52" w14:textId="2DBED854"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AD40E87" w14:textId="77777777" w:rsidR="002C7E78" w:rsidRDefault="002C7E7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49333884"/>
      <w:docPartObj>
        <w:docPartGallery w:val="Page Numbers (Bottom of Page)"/>
        <w:docPartUnique/>
      </w:docPartObj>
    </w:sdtPr>
    <w:sdtContent>
      <w:p w14:paraId="4E79DF3C" w14:textId="77777777"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71</w:t>
        </w:r>
        <w:r>
          <w:rPr>
            <w:rStyle w:val="PageNumber"/>
          </w:rPr>
          <w:fldChar w:fldCharType="end"/>
        </w:r>
      </w:p>
    </w:sdtContent>
  </w:sdt>
  <w:p w14:paraId="3475CE93" w14:textId="77777777" w:rsidR="002C7E78" w:rsidRDefault="002C7E78" w:rsidP="00382E2E">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4F86B" w14:textId="77777777" w:rsidR="002C7E78" w:rsidRDefault="002C7E78" w:rsidP="00382E2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84106070"/>
      <w:docPartObj>
        <w:docPartGallery w:val="Page Numbers (Bottom of Page)"/>
        <w:docPartUnique/>
      </w:docPartObj>
    </w:sdtPr>
    <w:sdtContent>
      <w:p w14:paraId="51756097" w14:textId="121A416C"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F817777" w14:textId="77777777" w:rsidR="002C7E78" w:rsidRDefault="002C7E78" w:rsidP="00382E2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D6EAB" w14:textId="77777777" w:rsidR="002C7E78" w:rsidRDefault="002C7E78" w:rsidP="00382E2E">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0AC49" w14:textId="77777777" w:rsidR="002C7E78" w:rsidRDefault="002C7E78" w:rsidP="00382E2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94548552"/>
      <w:docPartObj>
        <w:docPartGallery w:val="Page Numbers (Bottom of Page)"/>
        <w:docPartUnique/>
      </w:docPartObj>
    </w:sdtPr>
    <w:sdtContent>
      <w:p w14:paraId="691CE924" w14:textId="094CDCDD"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sdtContent>
  </w:sdt>
  <w:p w14:paraId="145DCEED" w14:textId="77777777" w:rsidR="002C7E78" w:rsidRDefault="002C7E78" w:rsidP="00382E2E">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8549447"/>
      <w:docPartObj>
        <w:docPartGallery w:val="Page Numbers (Bottom of Page)"/>
        <w:docPartUnique/>
      </w:docPartObj>
    </w:sdtPr>
    <w:sdtContent>
      <w:p w14:paraId="19687FF5" w14:textId="77777777"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sdtContent>
  </w:sdt>
  <w:p w14:paraId="59019B0A" w14:textId="77777777" w:rsidR="002C7E78" w:rsidRDefault="002C7E78" w:rsidP="00382E2E">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E7438" w14:textId="77777777" w:rsidR="002C7E78" w:rsidRDefault="002C7E78" w:rsidP="00382E2E">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415454"/>
      <w:docPartObj>
        <w:docPartGallery w:val="Page Numbers (Bottom of Page)"/>
        <w:docPartUnique/>
      </w:docPartObj>
    </w:sdtPr>
    <w:sdtContent>
      <w:p w14:paraId="60DEF2EC" w14:textId="77777777" w:rsidR="002C7E78" w:rsidRDefault="002C7E78" w:rsidP="00114F9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xiii</w:t>
        </w:r>
        <w:r>
          <w:rPr>
            <w:rStyle w:val="PageNumber"/>
          </w:rPr>
          <w:fldChar w:fldCharType="end"/>
        </w:r>
      </w:p>
    </w:sdtContent>
  </w:sdt>
  <w:p w14:paraId="641A2445" w14:textId="77777777" w:rsidR="002C7E78" w:rsidRDefault="002C7E78" w:rsidP="00382E2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0151474"/>
      <w:docPartObj>
        <w:docPartGallery w:val="Page Numbers (Bottom of Page)"/>
        <w:docPartUnique/>
      </w:docPartObj>
    </w:sdtPr>
    <w:sdtContent>
      <w:p w14:paraId="3D17A7C0" w14:textId="78AE6A49" w:rsidR="002C7E78" w:rsidRDefault="002C7E78" w:rsidP="00E615F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sdtContent>
  </w:sdt>
  <w:p w14:paraId="01514E8F" w14:textId="77777777" w:rsidR="002C7E78" w:rsidRDefault="002C7E78" w:rsidP="00382E2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DDDED" w14:textId="77777777" w:rsidR="006574EE" w:rsidRDefault="006574EE" w:rsidP="00543142">
      <w:pPr>
        <w:spacing w:after="0" w:line="240" w:lineRule="auto"/>
      </w:pPr>
      <w:r>
        <w:separator/>
      </w:r>
    </w:p>
  </w:footnote>
  <w:footnote w:type="continuationSeparator" w:id="0">
    <w:p w14:paraId="74EBDCB1" w14:textId="77777777" w:rsidR="006574EE" w:rsidRDefault="006574EE" w:rsidP="00543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14158" w14:textId="77777777" w:rsidR="002C7E78" w:rsidRDefault="002C7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123BE" w14:textId="77777777" w:rsidR="002C7E78" w:rsidRDefault="002C7E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B5F6" w14:textId="77777777" w:rsidR="002C7E78" w:rsidRDefault="002C7E78" w:rsidP="005D1CB3">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BD7656" w14:textId="77777777" w:rsidR="002C7E78" w:rsidRDefault="002C7E78" w:rsidP="005D1CB3">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052791" w14:textId="77777777" w:rsidR="002C7E78" w:rsidRDefault="002C7E78" w:rsidP="005D1CB3">
    <w:pPr>
      <w:pStyle w:val="Header"/>
      <w:ind w:right="36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DD55B" w14:textId="77777777" w:rsidR="002C7E78" w:rsidRDefault="002C7E78" w:rsidP="00E615F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EEE9D0" w14:textId="77777777" w:rsidR="002C7E78" w:rsidRDefault="002C7E78" w:rsidP="00E615F6">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F18D1" w14:textId="77777777" w:rsidR="002C7E78" w:rsidRDefault="002C7E78" w:rsidP="00E615F6">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3EB7E51D" w14:textId="77777777" w:rsidR="002C7E78" w:rsidRDefault="002C7E78" w:rsidP="00E615F6">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9143" w14:textId="77777777" w:rsidR="002C7E78" w:rsidRDefault="002C7E78" w:rsidP="00114F9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50A5C9" w14:textId="77777777" w:rsidR="002C7E78" w:rsidRDefault="002C7E78" w:rsidP="00114F9F">
    <w:pPr>
      <w:pStyle w:val="Header"/>
      <w:ind w:right="360"/>
    </w:pPr>
  </w:p>
  <w:p w14:paraId="2B00BE96" w14:textId="77777777" w:rsidR="002C7E78" w:rsidRDefault="002C7E78"/>
  <w:p w14:paraId="6A61F3A5" w14:textId="77777777" w:rsidR="002C7E78" w:rsidRDefault="002C7E7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02943" w14:textId="77777777" w:rsidR="002C7E78" w:rsidRDefault="002C7E78" w:rsidP="00114F9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1EA9"/>
    <w:multiLevelType w:val="multilevel"/>
    <w:tmpl w:val="2658563A"/>
    <w:numStyleLink w:val="111111"/>
  </w:abstractNum>
  <w:abstractNum w:abstractNumId="1" w15:restartNumberingAfterBreak="0">
    <w:nsid w:val="0AAC2BFD"/>
    <w:multiLevelType w:val="multilevel"/>
    <w:tmpl w:val="488A44CC"/>
    <w:lvl w:ilvl="0">
      <w:start w:val="1"/>
      <w:numFmt w:val="upperRoman"/>
      <w:lvlText w:val="%1"/>
      <w:lvlJc w:val="left"/>
      <w:pPr>
        <w:ind w:left="720" w:firstLine="0"/>
      </w:pPr>
      <w:rPr>
        <w:rFonts w:hint="default"/>
      </w:rPr>
    </w:lvl>
    <w:lvl w:ilvl="1">
      <w:start w:val="1"/>
      <w:numFmt w:val="upperRoman"/>
      <w:lvlText w:val="%1.%2"/>
      <w:lvlJc w:val="left"/>
      <w:pPr>
        <w:ind w:left="187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Roman"/>
      <w:lvlText w:val="%1.%2.%3"/>
      <w:lvlJc w:val="left"/>
      <w:pPr>
        <w:tabs>
          <w:tab w:val="num" w:pos="1872"/>
        </w:tabs>
        <w:ind w:left="1872" w:firstLine="288"/>
      </w:pPr>
      <w:rPr>
        <w:rFonts w:hint="default"/>
      </w:rPr>
    </w:lvl>
    <w:lvl w:ilvl="3">
      <w:numFmt w:val="decimal"/>
      <w:lvlText w:val=""/>
      <w:lvlJc w:val="left"/>
      <w:pPr>
        <w:ind w:left="720" w:firstLine="0"/>
      </w:pPr>
      <w:rPr>
        <w:rFonts w:hint="default"/>
      </w:rPr>
    </w:lvl>
    <w:lvl w:ilvl="4">
      <w:numFmt w:val="decimal"/>
      <w:lvlText w:val=""/>
      <w:lvlJc w:val="left"/>
      <w:pPr>
        <w:ind w:left="720" w:firstLine="0"/>
      </w:pPr>
      <w:rPr>
        <w:rFonts w:hint="default"/>
      </w:rPr>
    </w:lvl>
    <w:lvl w:ilvl="5">
      <w:numFmt w:val="decimal"/>
      <w:lvlText w:val=""/>
      <w:lvlJc w:val="left"/>
      <w:pPr>
        <w:ind w:left="720" w:firstLine="0"/>
      </w:pPr>
      <w:rPr>
        <w:rFonts w:hint="default"/>
      </w:rPr>
    </w:lvl>
    <w:lvl w:ilvl="6">
      <w:numFmt w:val="decimal"/>
      <w:lvlText w:val=""/>
      <w:lvlJc w:val="left"/>
      <w:pPr>
        <w:ind w:left="720" w:firstLine="0"/>
      </w:pPr>
      <w:rPr>
        <w:rFonts w:hint="default"/>
      </w:rPr>
    </w:lvl>
    <w:lvl w:ilvl="7">
      <w:numFmt w:val="decimal"/>
      <w:lvlText w:val=""/>
      <w:lvlJc w:val="left"/>
      <w:pPr>
        <w:ind w:left="720" w:firstLine="0"/>
      </w:pPr>
      <w:rPr>
        <w:rFonts w:hint="default"/>
      </w:rPr>
    </w:lvl>
    <w:lvl w:ilvl="8">
      <w:numFmt w:val="decimal"/>
      <w:lvlText w:val=""/>
      <w:lvlJc w:val="left"/>
      <w:pPr>
        <w:ind w:left="720" w:firstLine="0"/>
      </w:pPr>
      <w:rPr>
        <w:rFonts w:hint="default"/>
      </w:rPr>
    </w:lvl>
  </w:abstractNum>
  <w:abstractNum w:abstractNumId="2" w15:restartNumberingAfterBreak="0">
    <w:nsid w:val="0B9D48FB"/>
    <w:multiLevelType w:val="multilevel"/>
    <w:tmpl w:val="5C9A0808"/>
    <w:styleLink w:val="Style1"/>
    <w:lvl w:ilvl="0">
      <w:start w:val="1"/>
      <w:numFmt w:val="none"/>
      <w:lvlText w:val="%1"/>
      <w:lvlJc w:val="left"/>
      <w:pPr>
        <w:ind w:left="432" w:hanging="432"/>
      </w:pPr>
      <w:rPr>
        <w:rFonts w:ascii="Arial" w:hAnsi="Arial" w:hint="default"/>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CFC5E2F"/>
    <w:multiLevelType w:val="hybridMultilevel"/>
    <w:tmpl w:val="77B287B4"/>
    <w:lvl w:ilvl="0" w:tplc="8D14CE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31D1F"/>
    <w:multiLevelType w:val="multilevel"/>
    <w:tmpl w:val="2658563A"/>
    <w:styleLink w:val="111111"/>
    <w:lvl w:ilvl="0">
      <w:start w:val="1"/>
      <w:numFmt w:val="upperRoman"/>
      <w:lvlText w:val="%1."/>
      <w:lvlJc w:val="left"/>
      <w:pPr>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ind w:left="1584" w:hanging="504"/>
      </w:pPr>
      <w:rPr>
        <w:rFonts w:hint="default"/>
      </w:rPr>
    </w:lvl>
    <w:lvl w:ilvl="3">
      <w:start w:val="1"/>
      <w:numFmt w:val="upperRoman"/>
      <w:lvlText w:val="%1.%2.%3.%4"/>
      <w:lvlJc w:val="left"/>
      <w:pPr>
        <w:ind w:left="2088" w:hanging="648"/>
      </w:pPr>
      <w:rPr>
        <w:rFonts w:hint="default"/>
      </w:rPr>
    </w:lvl>
    <w:lvl w:ilvl="4">
      <w:start w:val="1"/>
      <w:numFmt w:val="upperRoman"/>
      <w:lvlText w:val="%1.%2.%3.%4.%5"/>
      <w:lvlJc w:val="left"/>
      <w:pPr>
        <w:ind w:left="2592" w:hanging="792"/>
      </w:pPr>
      <w:rPr>
        <w:rFonts w:hint="default"/>
      </w:rPr>
    </w:lvl>
    <w:lvl w:ilvl="5">
      <w:start w:val="1"/>
      <w:numFmt w:val="upperRoman"/>
      <w:lvlText w:val="%1.%2.%3.%4.%5.%6"/>
      <w:lvlJc w:val="left"/>
      <w:pPr>
        <w:ind w:left="3096" w:hanging="936"/>
      </w:pPr>
      <w:rPr>
        <w:rFonts w:hint="default"/>
      </w:rPr>
    </w:lvl>
    <w:lvl w:ilvl="6">
      <w:start w:val="1"/>
      <w:numFmt w:val="upperRoman"/>
      <w:lvlText w:val="%1.%2.%3.%4.%5.%6.%7"/>
      <w:lvlJc w:val="left"/>
      <w:pPr>
        <w:ind w:left="3600" w:hanging="1080"/>
      </w:pPr>
      <w:rPr>
        <w:rFonts w:hint="default"/>
      </w:rPr>
    </w:lvl>
    <w:lvl w:ilvl="7">
      <w:start w:val="1"/>
      <w:numFmt w:val="upperRoman"/>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14286DF1"/>
    <w:multiLevelType w:val="multilevel"/>
    <w:tmpl w:val="E8B63A0E"/>
    <w:lvl w:ilvl="0">
      <w:start w:val="1"/>
      <w:numFmt w:val="upperRoman"/>
      <w:lvlText w:val="%1."/>
      <w:lvlJc w:val="left"/>
      <w:pPr>
        <w:ind w:left="0" w:firstLine="0"/>
      </w:pPr>
      <w:rPr>
        <w:rFonts w:hint="default"/>
      </w:rPr>
    </w:lvl>
    <w:lvl w:ilvl="1">
      <w:start w:val="1"/>
      <w:numFmt w:val="upperRoman"/>
      <w:lvlText w:val="%1.%2"/>
      <w:lvlJc w:val="left"/>
      <w:pPr>
        <w:ind w:left="0" w:firstLine="0"/>
      </w:pPr>
      <w:rPr>
        <w:rFonts w:hint="default"/>
      </w:rPr>
    </w:lvl>
    <w:lvl w:ilvl="2">
      <w:start w:val="1"/>
      <w:numFmt w:val="upperRoman"/>
      <w:suff w:val="space"/>
      <w:lvlText w:val="%1.%2.%3"/>
      <w:lvlJc w:val="left"/>
      <w:pPr>
        <w:ind w:left="0" w:firstLine="0"/>
      </w:pPr>
      <w:rPr>
        <w:rFonts w:hint="default"/>
      </w:rPr>
    </w:lvl>
    <w:lvl w:ilvl="3">
      <w:start w:val="1"/>
      <w:numFmt w:val="upperRoman"/>
      <w:suff w:val="space"/>
      <w:lvlText w:val="%1.%2.%3.%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 w15:restartNumberingAfterBreak="0">
    <w:nsid w:val="1CE41BF1"/>
    <w:multiLevelType w:val="multilevel"/>
    <w:tmpl w:val="618E17BA"/>
    <w:lvl w:ilvl="0">
      <w:start w:val="1"/>
      <w:numFmt w:val="upperRoman"/>
      <w:lvlText w:val="%1"/>
      <w:lvlJc w:val="left"/>
      <w:pPr>
        <w:ind w:left="720" w:firstLine="0"/>
      </w:pPr>
      <w:rPr>
        <w:rFonts w:hint="default"/>
      </w:rPr>
    </w:lvl>
    <w:lvl w:ilvl="1">
      <w:start w:val="1"/>
      <w:numFmt w:val="upperRoman"/>
      <w:lvlText w:val="%1.%2"/>
      <w:lvlJc w:val="left"/>
      <w:pPr>
        <w:ind w:left="187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Roman"/>
      <w:lvlText w:val="%1.%2.%3"/>
      <w:lvlJc w:val="left"/>
      <w:pPr>
        <w:tabs>
          <w:tab w:val="num" w:pos="1872"/>
        </w:tabs>
        <w:ind w:left="2160" w:firstLine="0"/>
      </w:pPr>
      <w:rPr>
        <w:rFonts w:hint="default"/>
      </w:rPr>
    </w:lvl>
    <w:lvl w:ilvl="3">
      <w:start w:val="1"/>
      <w:numFmt w:val="decimal"/>
      <w:lvlText w:val=""/>
      <w:lvlJc w:val="left"/>
      <w:pPr>
        <w:ind w:left="720" w:firstLine="0"/>
      </w:pPr>
      <w:rPr>
        <w:rFonts w:hint="default"/>
      </w:rPr>
    </w:lvl>
    <w:lvl w:ilvl="4">
      <w:start w:val="1"/>
      <w:numFmt w:val="decimal"/>
      <w:lvlText w:val=""/>
      <w:lvlJc w:val="left"/>
      <w:pPr>
        <w:ind w:left="720" w:firstLine="0"/>
      </w:pPr>
      <w:rPr>
        <w:rFonts w:hint="default"/>
      </w:rPr>
    </w:lvl>
    <w:lvl w:ilvl="5">
      <w:start w:val="1"/>
      <w:numFmt w:val="decimal"/>
      <w:lvlText w:val=""/>
      <w:lvlJc w:val="left"/>
      <w:pPr>
        <w:ind w:left="720" w:firstLine="0"/>
      </w:pPr>
      <w:rPr>
        <w:rFonts w:hint="default"/>
      </w:rPr>
    </w:lvl>
    <w:lvl w:ilvl="6">
      <w:start w:val="1"/>
      <w:numFmt w:val="decimal"/>
      <w:lvlText w:val=""/>
      <w:lvlJc w:val="left"/>
      <w:pPr>
        <w:ind w:left="720" w:firstLine="0"/>
      </w:pPr>
      <w:rPr>
        <w:rFonts w:hint="default"/>
      </w:rPr>
    </w:lvl>
    <w:lvl w:ilvl="7">
      <w:start w:val="1"/>
      <w:numFmt w:val="decimal"/>
      <w:lvlText w:val=""/>
      <w:lvlJc w:val="left"/>
      <w:pPr>
        <w:ind w:left="720" w:firstLine="0"/>
      </w:pPr>
      <w:rPr>
        <w:rFonts w:hint="default"/>
      </w:rPr>
    </w:lvl>
    <w:lvl w:ilvl="8">
      <w:start w:val="1"/>
      <w:numFmt w:val="decimal"/>
      <w:lvlText w:val=""/>
      <w:lvlJc w:val="left"/>
      <w:pPr>
        <w:ind w:left="720" w:firstLine="0"/>
      </w:pPr>
      <w:rPr>
        <w:rFonts w:hint="default"/>
      </w:rPr>
    </w:lvl>
  </w:abstractNum>
  <w:abstractNum w:abstractNumId="7" w15:restartNumberingAfterBreak="0">
    <w:nsid w:val="1D904221"/>
    <w:multiLevelType w:val="multilevel"/>
    <w:tmpl w:val="18BE7B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6C047C9"/>
    <w:multiLevelType w:val="multilevel"/>
    <w:tmpl w:val="9AF676A4"/>
    <w:lvl w:ilvl="0">
      <w:start w:val="1"/>
      <w:numFmt w:val="upperRoman"/>
      <w:lvlText w:val="%1."/>
      <w:lvlJc w:val="left"/>
      <w:pPr>
        <w:ind w:left="0" w:firstLine="0"/>
      </w:pPr>
      <w:rPr>
        <w:rFonts w:hint="default"/>
      </w:rPr>
    </w:lvl>
    <w:lvl w:ilvl="1">
      <w:start w:val="1"/>
      <w:numFmt w:val="upperRoman"/>
      <w:lvlText w:val="%1.%2"/>
      <w:lvlJc w:val="left"/>
      <w:pPr>
        <w:ind w:left="0" w:firstLine="0"/>
      </w:pPr>
      <w:rPr>
        <w:rFonts w:hint="default"/>
      </w:rPr>
    </w:lvl>
    <w:lvl w:ilvl="2">
      <w:start w:val="1"/>
      <w:numFmt w:val="upperRoman"/>
      <w:lvlText w:val="%1.%2.%3"/>
      <w:lvlJc w:val="left"/>
      <w:pPr>
        <w:ind w:left="0" w:firstLine="0"/>
      </w:pPr>
      <w:rPr>
        <w:rFonts w:hint="default"/>
      </w:rPr>
    </w:lvl>
    <w:lvl w:ilvl="3">
      <w:start w:val="1"/>
      <w:numFmt w:val="upperRoman"/>
      <w:suff w:val="space"/>
      <w:lvlText w:val="%1.%2.%3.%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 w15:restartNumberingAfterBreak="0">
    <w:nsid w:val="2C01619F"/>
    <w:multiLevelType w:val="hybridMultilevel"/>
    <w:tmpl w:val="77B287B4"/>
    <w:lvl w:ilvl="0" w:tplc="8D14CE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AB72B8"/>
    <w:multiLevelType w:val="hybridMultilevel"/>
    <w:tmpl w:val="DAEE8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005E95"/>
    <w:multiLevelType w:val="multilevel"/>
    <w:tmpl w:val="EDDA5186"/>
    <w:lvl w:ilvl="0">
      <w:start w:val="1"/>
      <w:numFmt w:val="upperRoman"/>
      <w:lvlText w:val="%1."/>
      <w:lvlJc w:val="left"/>
      <w:pPr>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tabs>
          <w:tab w:val="num" w:pos="1440"/>
        </w:tabs>
        <w:ind w:left="144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2" w15:restartNumberingAfterBreak="0">
    <w:nsid w:val="3E3C364F"/>
    <w:multiLevelType w:val="multilevel"/>
    <w:tmpl w:val="DD7C97FA"/>
    <w:lvl w:ilvl="0">
      <w:start w:val="1"/>
      <w:numFmt w:val="upperRoman"/>
      <w:lvlText w:val="%1"/>
      <w:lvlJc w:val="left"/>
      <w:pPr>
        <w:tabs>
          <w:tab w:val="num" w:pos="72"/>
        </w:tabs>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tabs>
          <w:tab w:val="num" w:pos="1152"/>
        </w:tabs>
        <w:ind w:left="1152" w:firstLine="288"/>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3F0269F0"/>
    <w:multiLevelType w:val="multilevel"/>
    <w:tmpl w:val="C548F286"/>
    <w:lvl w:ilvl="0">
      <w:start w:val="1"/>
      <w:numFmt w:val="upperRoman"/>
      <w:lvlText w:val="%1."/>
      <w:lvlJc w:val="left"/>
      <w:pPr>
        <w:ind w:left="0" w:firstLine="0"/>
      </w:pPr>
      <w:rPr>
        <w:rFonts w:hint="default"/>
      </w:rPr>
    </w:lvl>
    <w:lvl w:ilvl="1">
      <w:start w:val="1"/>
      <w:numFmt w:val="upperRoman"/>
      <w:lvlText w:val="%1.%2"/>
      <w:lvlJc w:val="left"/>
      <w:pPr>
        <w:ind w:left="0" w:firstLine="0"/>
      </w:pPr>
      <w:rPr>
        <w:rFonts w:hint="default"/>
      </w:rPr>
    </w:lvl>
    <w:lvl w:ilvl="2">
      <w:start w:val="1"/>
      <w:numFmt w:val="upperRoman"/>
      <w:lvlText w:val="%1.%2.%3"/>
      <w:lvlJc w:val="left"/>
      <w:pPr>
        <w:ind w:left="0" w:firstLine="0"/>
      </w:pPr>
      <w:rPr>
        <w:rFonts w:hint="default"/>
      </w:rPr>
    </w:lvl>
    <w:lvl w:ilvl="3">
      <w:start w:val="1"/>
      <w:numFmt w:val="upperRoman"/>
      <w:lvlText w:val="%1.%2.%3.%4"/>
      <w:lvlJc w:val="left"/>
      <w:pPr>
        <w:ind w:left="0" w:firstLine="144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439D0F70"/>
    <w:multiLevelType w:val="multilevel"/>
    <w:tmpl w:val="18BE7B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B570E7"/>
    <w:multiLevelType w:val="multilevel"/>
    <w:tmpl w:val="2280DDCC"/>
    <w:lvl w:ilvl="0">
      <w:start w:val="1"/>
      <w:numFmt w:val="upperRoman"/>
      <w:pStyle w:val="Heading1"/>
      <w:suff w:val="space"/>
      <w:lvlText w:val="%1."/>
      <w:lvlJc w:val="left"/>
      <w:pPr>
        <w:ind w:left="0" w:firstLine="0"/>
      </w:pPr>
      <w:rPr>
        <w:rFonts w:hint="default"/>
      </w:rPr>
    </w:lvl>
    <w:lvl w:ilvl="1">
      <w:start w:val="1"/>
      <w:numFmt w:val="upperRoman"/>
      <w:pStyle w:val="Heading2"/>
      <w:suff w:val="space"/>
      <w:lvlText w:val="%1.%2"/>
      <w:lvlJc w:val="left"/>
      <w:pPr>
        <w:ind w:left="0" w:firstLine="0"/>
      </w:pPr>
      <w:rPr>
        <w:rFonts w:hint="default"/>
      </w:rPr>
    </w:lvl>
    <w:lvl w:ilvl="2">
      <w:start w:val="1"/>
      <w:numFmt w:val="upperRoman"/>
      <w:pStyle w:val="Heading3"/>
      <w:suff w:val="space"/>
      <w:lvlText w:val="%1.%2.%3"/>
      <w:lvlJc w:val="left"/>
      <w:pPr>
        <w:ind w:left="0" w:firstLine="0"/>
      </w:pPr>
      <w:rPr>
        <w:rFonts w:hint="default"/>
      </w:rPr>
    </w:lvl>
    <w:lvl w:ilvl="3">
      <w:start w:val="1"/>
      <w:numFmt w:val="upperRoman"/>
      <w:pStyle w:val="Heading4"/>
      <w:suff w:val="space"/>
      <w:lvlText w:val="%1.%2.%3.%4"/>
      <w:lvlJc w:val="left"/>
      <w:pPr>
        <w:ind w:left="0" w:firstLine="0"/>
      </w:pPr>
      <w:rPr>
        <w:rFonts w:hint="default"/>
      </w:rPr>
    </w:lvl>
    <w:lvl w:ilvl="4">
      <w:numFmt w:val="decimal"/>
      <w:pStyle w:val="Heading5"/>
      <w:lvlText w:val=""/>
      <w:lvlJc w:val="left"/>
      <w:pPr>
        <w:ind w:left="0" w:firstLine="0"/>
      </w:pPr>
      <w:rPr>
        <w:rFonts w:hint="default"/>
      </w:rPr>
    </w:lvl>
    <w:lvl w:ilvl="5">
      <w:numFmt w:val="decimal"/>
      <w:pStyle w:val="Heading6"/>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15:restartNumberingAfterBreak="0">
    <w:nsid w:val="5AA4109A"/>
    <w:multiLevelType w:val="multilevel"/>
    <w:tmpl w:val="47BC64A8"/>
    <w:lvl w:ilvl="0">
      <w:start w:val="1"/>
      <w:numFmt w:val="upperRoman"/>
      <w:lvlText w:val="%1"/>
      <w:lvlJc w:val="left"/>
      <w:pPr>
        <w:ind w:left="0" w:firstLine="0"/>
      </w:pPr>
      <w:rPr>
        <w:rFonts w:hint="default"/>
      </w:rPr>
    </w:lvl>
    <w:lvl w:ilvl="1">
      <w:start w:val="1"/>
      <w:numFmt w:val="upperRoman"/>
      <w:lvlText w:val="%1.%2"/>
      <w:lvlJc w:val="left"/>
      <w:pPr>
        <w:ind w:left="115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upperRoman"/>
      <w:lvlText w:val="%1.%2.%3"/>
      <w:lvlJc w:val="left"/>
      <w:pPr>
        <w:ind w:left="1584" w:hanging="504"/>
      </w:pPr>
      <w:rPr>
        <w:rFonts w:hint="default"/>
      </w:rPr>
    </w:lvl>
    <w:lvl w:ilvl="3">
      <w:start w:val="1"/>
      <w:numFmt w:val="upperRoman"/>
      <w:lvlText w:val="%1.%2.%3.%4"/>
      <w:lvlJc w:val="left"/>
      <w:pPr>
        <w:ind w:left="2088" w:hanging="648"/>
      </w:pPr>
      <w:rPr>
        <w:rFonts w:hint="default"/>
      </w:rPr>
    </w:lvl>
    <w:lvl w:ilvl="4">
      <w:start w:val="1"/>
      <w:numFmt w:val="upperRoman"/>
      <w:lvlText w:val="%1.%2.%3.%4.%5"/>
      <w:lvlJc w:val="left"/>
      <w:pPr>
        <w:ind w:left="2592" w:hanging="792"/>
      </w:pPr>
      <w:rPr>
        <w:rFonts w:hint="default"/>
      </w:rPr>
    </w:lvl>
    <w:lvl w:ilvl="5">
      <w:start w:val="1"/>
      <w:numFmt w:val="upperRoman"/>
      <w:lvlText w:val="%1.%2.%3.%4.%5.%6"/>
      <w:lvlJc w:val="left"/>
      <w:pPr>
        <w:ind w:left="3096" w:hanging="936"/>
      </w:pPr>
      <w:rPr>
        <w:rFonts w:hint="default"/>
      </w:rPr>
    </w:lvl>
    <w:lvl w:ilvl="6">
      <w:start w:val="1"/>
      <w:numFmt w:val="upperRoman"/>
      <w:lvlText w:val="%1.%2.%3.%4.%5.%6.%7"/>
      <w:lvlJc w:val="left"/>
      <w:pPr>
        <w:ind w:left="3600" w:hanging="1080"/>
      </w:pPr>
      <w:rPr>
        <w:rFonts w:hint="default"/>
      </w:rPr>
    </w:lvl>
    <w:lvl w:ilvl="7">
      <w:start w:val="1"/>
      <w:numFmt w:val="upperRoman"/>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629B2D2F"/>
    <w:multiLevelType w:val="multilevel"/>
    <w:tmpl w:val="7968E752"/>
    <w:lvl w:ilvl="0">
      <w:start w:val="1"/>
      <w:numFmt w:val="upperRoman"/>
      <w:lvlText w:val="%1."/>
      <w:lvlJc w:val="left"/>
      <w:pPr>
        <w:ind w:left="0" w:firstLine="0"/>
      </w:pPr>
      <w:rPr>
        <w:rFonts w:hint="default"/>
      </w:rPr>
    </w:lvl>
    <w:lvl w:ilvl="1">
      <w:start w:val="1"/>
      <w:numFmt w:val="upperRoman"/>
      <w:suff w:val="space"/>
      <w:lvlText w:val="%1.%2"/>
      <w:lvlJc w:val="left"/>
      <w:pPr>
        <w:ind w:left="0" w:firstLine="0"/>
      </w:pPr>
      <w:rPr>
        <w:rFonts w:hint="default"/>
      </w:rPr>
    </w:lvl>
    <w:lvl w:ilvl="2">
      <w:start w:val="1"/>
      <w:numFmt w:val="upperRoman"/>
      <w:suff w:val="space"/>
      <w:lvlText w:val="%1.%2.%3"/>
      <w:lvlJc w:val="left"/>
      <w:pPr>
        <w:ind w:left="0" w:firstLine="0"/>
      </w:pPr>
      <w:rPr>
        <w:rFonts w:hint="default"/>
      </w:rPr>
    </w:lvl>
    <w:lvl w:ilvl="3">
      <w:start w:val="1"/>
      <w:numFmt w:val="upperRoman"/>
      <w:suff w:val="space"/>
      <w:lvlText w:val="%1.%2.%3.%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8" w15:restartNumberingAfterBreak="0">
    <w:nsid w:val="65BD53A9"/>
    <w:multiLevelType w:val="multilevel"/>
    <w:tmpl w:val="E392080C"/>
    <w:lvl w:ilvl="0">
      <w:start w:val="1"/>
      <w:numFmt w:val="upperRoman"/>
      <w:lvlText w:val="%1."/>
      <w:lvlJc w:val="left"/>
      <w:pPr>
        <w:ind w:left="0" w:firstLine="0"/>
      </w:pPr>
      <w:rPr>
        <w:rFonts w:hint="default"/>
      </w:rPr>
    </w:lvl>
    <w:lvl w:ilvl="1">
      <w:start w:val="1"/>
      <w:numFmt w:val="upperRoman"/>
      <w:lvlText w:val="%1.%2"/>
      <w:lvlJc w:val="left"/>
      <w:pPr>
        <w:ind w:left="0" w:firstLine="0"/>
      </w:pPr>
      <w:rPr>
        <w:rFonts w:hint="default"/>
      </w:rPr>
    </w:lvl>
    <w:lvl w:ilvl="2">
      <w:start w:val="1"/>
      <w:numFmt w:val="upperRoman"/>
      <w:lvlText w:val="%1.%2.%3"/>
      <w:lvlJc w:val="left"/>
      <w:pPr>
        <w:ind w:left="0" w:firstLine="0"/>
      </w:pPr>
      <w:rPr>
        <w:rFonts w:hint="default"/>
      </w:rPr>
    </w:lvl>
    <w:lvl w:ilvl="3">
      <w:start w:val="1"/>
      <w:numFmt w:val="upperRoman"/>
      <w:lvlText w:val="%1.%2.%3.%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67770A0C"/>
    <w:multiLevelType w:val="multilevel"/>
    <w:tmpl w:val="6BAC2376"/>
    <w:lvl w:ilvl="0">
      <w:start w:val="1"/>
      <w:numFmt w:val="upperRoman"/>
      <w:lvlText w:val="%1"/>
      <w:lvlJc w:val="left"/>
      <w:pPr>
        <w:tabs>
          <w:tab w:val="num" w:pos="72"/>
        </w:tabs>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tabs>
          <w:tab w:val="num" w:pos="1152"/>
        </w:tabs>
        <w:ind w:left="1152" w:firstLine="288"/>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6C51211A"/>
    <w:multiLevelType w:val="multilevel"/>
    <w:tmpl w:val="042C8828"/>
    <w:lvl w:ilvl="0">
      <w:start w:val="1"/>
      <w:numFmt w:val="upperRoman"/>
      <w:lvlText w:val="%1."/>
      <w:lvlJc w:val="left"/>
      <w:pPr>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tabs>
          <w:tab w:val="num" w:pos="1440"/>
        </w:tabs>
        <w:ind w:left="1440" w:firstLine="0"/>
      </w:pPr>
      <w:rPr>
        <w:rFonts w:hint="default"/>
      </w:rPr>
    </w:lvl>
    <w:lvl w:ilvl="3">
      <w:start w:val="1"/>
      <w:numFmt w:val="upperRoman"/>
      <w:lvlText w:val="%1.%2.%3.%4"/>
      <w:lvlJc w:val="left"/>
      <w:pPr>
        <w:ind w:left="0" w:firstLine="144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6F3350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6F389C"/>
    <w:multiLevelType w:val="multilevel"/>
    <w:tmpl w:val="AEE4076A"/>
    <w:lvl w:ilvl="0">
      <w:start w:val="1"/>
      <w:numFmt w:val="upperRoman"/>
      <w:lvlText w:val="%1"/>
      <w:lvlJc w:val="left"/>
      <w:pPr>
        <w:tabs>
          <w:tab w:val="num" w:pos="72"/>
        </w:tabs>
        <w:ind w:left="0" w:firstLine="0"/>
      </w:pPr>
      <w:rPr>
        <w:rFonts w:hint="default"/>
      </w:rPr>
    </w:lvl>
    <w:lvl w:ilvl="1">
      <w:start w:val="1"/>
      <w:numFmt w:val="upperRoman"/>
      <w:lvlText w:val="%1.%2"/>
      <w:lvlJc w:val="left"/>
      <w:pPr>
        <w:ind w:left="1152" w:hanging="432"/>
      </w:pPr>
      <w:rPr>
        <w:rFonts w:hint="default"/>
      </w:rPr>
    </w:lvl>
    <w:lvl w:ilvl="2">
      <w:start w:val="1"/>
      <w:numFmt w:val="upperRoman"/>
      <w:lvlText w:val="%1.%2.%3"/>
      <w:lvlJc w:val="left"/>
      <w:pPr>
        <w:tabs>
          <w:tab w:val="num" w:pos="1152"/>
        </w:tabs>
        <w:ind w:left="1152" w:firstLine="288"/>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78006604"/>
    <w:multiLevelType w:val="multilevel"/>
    <w:tmpl w:val="F9CCD3BC"/>
    <w:lvl w:ilvl="0">
      <w:start w:val="1"/>
      <w:numFmt w:val="upperRoman"/>
      <w:lvlText w:val="%1."/>
      <w:lvlJc w:val="left"/>
      <w:pPr>
        <w:ind w:left="0" w:firstLine="0"/>
      </w:pPr>
      <w:rPr>
        <w:rFonts w:hint="default"/>
      </w:rPr>
    </w:lvl>
    <w:lvl w:ilvl="1">
      <w:start w:val="1"/>
      <w:numFmt w:val="upperRoman"/>
      <w:lvlText w:val="%1.%2"/>
      <w:lvlJc w:val="left"/>
      <w:pPr>
        <w:ind w:left="0" w:firstLine="0"/>
      </w:pPr>
      <w:rPr>
        <w:rFonts w:hint="default"/>
      </w:rPr>
    </w:lvl>
    <w:lvl w:ilvl="2">
      <w:start w:val="1"/>
      <w:numFmt w:val="upperRoman"/>
      <w:lvlText w:val="%1.%2.%3"/>
      <w:lvlJc w:val="left"/>
      <w:pPr>
        <w:tabs>
          <w:tab w:val="num" w:pos="1440"/>
        </w:tabs>
        <w:ind w:left="1440" w:firstLine="0"/>
      </w:pPr>
      <w:rPr>
        <w:rFonts w:hint="default"/>
      </w:rPr>
    </w:lvl>
    <w:lvl w:ilvl="3">
      <w:start w:val="1"/>
      <w:numFmt w:val="upperRoman"/>
      <w:lvlText w:val="%1.%2.%3.%4"/>
      <w:lvlJc w:val="left"/>
      <w:pPr>
        <w:ind w:left="0" w:firstLine="144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 w15:restartNumberingAfterBreak="0">
    <w:nsid w:val="7B7350C9"/>
    <w:multiLevelType w:val="multilevel"/>
    <w:tmpl w:val="18BE7B1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14"/>
    <w:lvlOverride w:ilvl="0">
      <w:lvl w:ilvl="0">
        <w:start w:val="1"/>
        <w:numFmt w:val="upperRoman"/>
        <w:lvlText w:val="%1."/>
        <w:lvlJc w:val="left"/>
        <w:pPr>
          <w:ind w:left="0" w:firstLine="0"/>
        </w:pPr>
        <w:rPr>
          <w:rFonts w:hint="default"/>
        </w:rPr>
      </w:lvl>
    </w:lvlOverride>
    <w:lvlOverride w:ilvl="1">
      <w:lvl w:ilvl="1">
        <w:start w:val="1"/>
        <w:numFmt w:val="upperRoman"/>
        <w:lvlText w:val="%1.%2"/>
        <w:lvlJc w:val="left"/>
        <w:pPr>
          <w:ind w:left="1152" w:hanging="432"/>
        </w:pPr>
        <w:rPr>
          <w:rFonts w:hint="default"/>
        </w:rPr>
      </w:lvl>
    </w:lvlOverride>
    <w:lvlOverride w:ilvl="2">
      <w:lvl w:ilvl="2">
        <w:start w:val="1"/>
        <w:numFmt w:val="upperRoman"/>
        <w:lvlText w:val="%1.%2.%3"/>
        <w:lvlJc w:val="left"/>
        <w:pPr>
          <w:tabs>
            <w:tab w:val="num" w:pos="1440"/>
          </w:tabs>
          <w:ind w:left="144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4">
    <w:abstractNumId w:val="19"/>
  </w:num>
  <w:num w:numId="5">
    <w:abstractNumId w:val="1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
    <w:abstractNumId w:val="7"/>
  </w:num>
  <w:num w:numId="7">
    <w:abstractNumId w:val="24"/>
  </w:num>
  <w:num w:numId="8">
    <w:abstractNumId w:val="0"/>
    <w:lvlOverride w:ilvl="0">
      <w:lvl w:ilvl="0">
        <w:start w:val="1"/>
        <w:numFmt w:val="upperRoman"/>
        <w:lvlText w:val="%1."/>
        <w:lvlJc w:val="left"/>
        <w:pPr>
          <w:ind w:left="720" w:firstLine="0"/>
        </w:pPr>
        <w:rPr>
          <w:rFonts w:hint="default"/>
        </w:rPr>
      </w:lvl>
    </w:lvlOverride>
    <w:lvlOverride w:ilvl="1">
      <w:lvl w:ilvl="1">
        <w:start w:val="1"/>
        <w:numFmt w:val="upperRoman"/>
        <w:lvlText w:val="%1.%2"/>
        <w:lvlJc w:val="left"/>
        <w:pPr>
          <w:ind w:left="1872" w:hanging="432"/>
        </w:pPr>
        <w:rPr>
          <w:rFonts w:hint="default"/>
        </w:rPr>
      </w:lvl>
    </w:lvlOverride>
    <w:lvlOverride w:ilvl="2">
      <w:lvl w:ilvl="2">
        <w:start w:val="1"/>
        <w:numFmt w:val="upperRoman"/>
        <w:lvlText w:val="%1.%2.%3"/>
        <w:lvlJc w:val="left"/>
        <w:pPr>
          <w:tabs>
            <w:tab w:val="num" w:pos="2160"/>
          </w:tabs>
          <w:ind w:left="2160" w:firstLine="0"/>
        </w:pPr>
        <w:rPr>
          <w:rFonts w:hint="default"/>
        </w:rPr>
      </w:lvl>
    </w:lvlOverride>
    <w:lvlOverride w:ilvl="3">
      <w:lvl w:ilvl="3">
        <w:numFmt w:val="decimal"/>
        <w:lvlText w:val=""/>
        <w:lvlJc w:val="left"/>
        <w:pPr>
          <w:ind w:left="720" w:firstLine="0"/>
        </w:pPr>
        <w:rPr>
          <w:rFonts w:hint="default"/>
        </w:rPr>
      </w:lvl>
    </w:lvlOverride>
    <w:lvlOverride w:ilvl="4">
      <w:lvl w:ilvl="4">
        <w:numFmt w:val="decimal"/>
        <w:lvlText w:val=""/>
        <w:lvlJc w:val="left"/>
        <w:pPr>
          <w:ind w:left="720" w:firstLine="0"/>
        </w:pPr>
        <w:rPr>
          <w:rFonts w:hint="default"/>
        </w:rPr>
      </w:lvl>
    </w:lvlOverride>
    <w:lvlOverride w:ilvl="5">
      <w:lvl w:ilvl="5">
        <w:numFmt w:val="decimal"/>
        <w:lvlText w:val=""/>
        <w:lvlJc w:val="left"/>
        <w:pPr>
          <w:ind w:left="720" w:firstLine="0"/>
        </w:pPr>
        <w:rPr>
          <w:rFonts w:hint="default"/>
        </w:rPr>
      </w:lvl>
    </w:lvlOverride>
    <w:lvlOverride w:ilvl="6">
      <w:lvl w:ilvl="6">
        <w:numFmt w:val="decimal"/>
        <w:lvlText w:val=""/>
        <w:lvlJc w:val="left"/>
        <w:pPr>
          <w:ind w:left="720" w:firstLine="0"/>
        </w:pPr>
        <w:rPr>
          <w:rFonts w:hint="default"/>
        </w:rPr>
      </w:lvl>
    </w:lvlOverride>
    <w:lvlOverride w:ilvl="7">
      <w:lvl w:ilvl="7">
        <w:numFmt w:val="decimal"/>
        <w:lvlText w:val=""/>
        <w:lvlJc w:val="left"/>
        <w:pPr>
          <w:ind w:left="720" w:firstLine="0"/>
        </w:pPr>
        <w:rPr>
          <w:rFonts w:hint="default"/>
        </w:rPr>
      </w:lvl>
    </w:lvlOverride>
    <w:lvlOverride w:ilvl="8">
      <w:lvl w:ilvl="8">
        <w:numFmt w:val="decimal"/>
        <w:lvlText w:val=""/>
        <w:lvlJc w:val="left"/>
        <w:pPr>
          <w:ind w:left="720" w:firstLine="0"/>
        </w:pPr>
        <w:rPr>
          <w:rFonts w:hint="default"/>
        </w:rPr>
      </w:lvl>
    </w:lvlOverride>
  </w:num>
  <w:num w:numId="9">
    <w:abstractNumId w:val="0"/>
    <w:lvlOverride w:ilvl="0">
      <w:lvl w:ilvl="0">
        <w:start w:val="1"/>
        <w:numFmt w:val="upperRoman"/>
        <w:lvlText w:val="%1."/>
        <w:lvlJc w:val="left"/>
        <w:pPr>
          <w:ind w:left="0" w:firstLine="0"/>
        </w:pPr>
        <w:rPr>
          <w:rFonts w:hint="default"/>
        </w:rPr>
      </w:lvl>
    </w:lvlOverride>
    <w:lvlOverride w:ilvl="1">
      <w:lvl w:ilvl="1">
        <w:start w:val="1"/>
        <w:numFmt w:val="upperRoman"/>
        <w:lvlText w:val="%1.%2"/>
        <w:lvlJc w:val="left"/>
        <w:pPr>
          <w:ind w:left="1152" w:hanging="432"/>
        </w:pPr>
        <w:rPr>
          <w:rFonts w:hint="default"/>
        </w:rPr>
      </w:lvl>
    </w:lvlOverride>
    <w:lvlOverride w:ilvl="2">
      <w:lvl w:ilvl="2">
        <w:start w:val="1"/>
        <w:numFmt w:val="upperRoman"/>
        <w:lvlText w:val="%1.%2.%3"/>
        <w:lvlJc w:val="left"/>
        <w:pPr>
          <w:tabs>
            <w:tab w:val="num" w:pos="1440"/>
          </w:tabs>
          <w:ind w:left="144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10">
    <w:abstractNumId w:val="0"/>
    <w:lvlOverride w:ilvl="0">
      <w:lvl w:ilvl="0">
        <w:start w:val="1"/>
        <w:numFmt w:val="upperRoman"/>
        <w:lvlText w:val="%1."/>
        <w:lvlJc w:val="left"/>
        <w:pPr>
          <w:ind w:left="0" w:firstLine="0"/>
        </w:pPr>
        <w:rPr>
          <w:rFonts w:hint="default"/>
        </w:rPr>
      </w:lvl>
    </w:lvlOverride>
    <w:lvlOverride w:ilvl="1">
      <w:lvl w:ilvl="1">
        <w:start w:val="1"/>
        <w:numFmt w:val="upperRoman"/>
        <w:lvlText w:val="%1.%2"/>
        <w:lvlJc w:val="left"/>
        <w:pPr>
          <w:ind w:left="1152" w:hanging="432"/>
        </w:pPr>
        <w:rPr>
          <w:rFonts w:hint="default"/>
        </w:rPr>
      </w:lvl>
    </w:lvlOverride>
    <w:lvlOverride w:ilvl="2">
      <w:lvl w:ilvl="2">
        <w:start w:val="1"/>
        <w:numFmt w:val="upperRoman"/>
        <w:lvlText w:val="%1.%2.%3"/>
        <w:lvlJc w:val="left"/>
        <w:pPr>
          <w:ind w:left="1584" w:hanging="504"/>
        </w:pPr>
        <w:rPr>
          <w:rFonts w:hint="default"/>
        </w:rPr>
      </w:lvl>
    </w:lvlOverride>
    <w:lvlOverride w:ilvl="3">
      <w:lvl w:ilvl="3">
        <w:start w:val="1"/>
        <w:numFmt w:val="upperRoman"/>
        <w:lvlText w:val="%1.%2.%3.%4"/>
        <w:lvlJc w:val="left"/>
        <w:pPr>
          <w:ind w:left="2088" w:hanging="648"/>
        </w:pPr>
        <w:rPr>
          <w:rFonts w:hint="default"/>
        </w:rPr>
      </w:lvl>
    </w:lvlOverride>
    <w:lvlOverride w:ilvl="4">
      <w:lvl w:ilvl="4">
        <w:start w:val="1"/>
        <w:numFmt w:val="upperRoman"/>
        <w:lvlText w:val="%1.%2.%3.%4.%5"/>
        <w:lvlJc w:val="left"/>
        <w:pPr>
          <w:ind w:left="2592" w:hanging="792"/>
        </w:pPr>
        <w:rPr>
          <w:rFonts w:hint="default"/>
        </w:rPr>
      </w:lvl>
    </w:lvlOverride>
    <w:lvlOverride w:ilvl="5">
      <w:lvl w:ilvl="5">
        <w:start w:val="1"/>
        <w:numFmt w:val="upperRoman"/>
        <w:lvlText w:val="%1.%2.%3.%4.%5.%6"/>
        <w:lvlJc w:val="left"/>
        <w:pPr>
          <w:ind w:left="3096" w:hanging="936"/>
        </w:pPr>
        <w:rPr>
          <w:rFonts w:hint="default"/>
        </w:rPr>
      </w:lvl>
    </w:lvlOverride>
    <w:lvlOverride w:ilvl="6">
      <w:lvl w:ilvl="6">
        <w:start w:val="1"/>
        <w:numFmt w:val="upperRoman"/>
        <w:lvlText w:val="%1.%2.%3.%4.%5.%6.%7"/>
        <w:lvlJc w:val="left"/>
        <w:pPr>
          <w:ind w:left="3600" w:hanging="1080"/>
        </w:pPr>
        <w:rPr>
          <w:rFonts w:hint="default"/>
        </w:rPr>
      </w:lvl>
    </w:lvlOverride>
    <w:lvlOverride w:ilvl="7">
      <w:lvl w:ilvl="7">
        <w:start w:val="1"/>
        <w:numFmt w:val="upperRoman"/>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1">
    <w:abstractNumId w:val="0"/>
    <w:lvlOverride w:ilvl="0">
      <w:lvl w:ilvl="0">
        <w:start w:val="1"/>
        <w:numFmt w:val="upperRoman"/>
        <w:lvlText w:val="%1."/>
        <w:lvlJc w:val="left"/>
        <w:pPr>
          <w:ind w:left="0" w:firstLine="0"/>
        </w:pPr>
        <w:rPr>
          <w:rFonts w:hint="default"/>
        </w:rPr>
      </w:lvl>
    </w:lvlOverride>
    <w:lvlOverride w:ilvl="1">
      <w:lvl w:ilvl="1">
        <w:start w:val="1"/>
        <w:numFmt w:val="upperRoman"/>
        <w:lvlText w:val="%1.%2"/>
        <w:lvlJc w:val="left"/>
        <w:pPr>
          <w:ind w:left="1152" w:hanging="432"/>
        </w:pPr>
        <w:rPr>
          <w:rFonts w:hint="default"/>
        </w:rPr>
      </w:lvl>
    </w:lvlOverride>
    <w:lvlOverride w:ilvl="2">
      <w:lvl w:ilvl="2">
        <w:start w:val="1"/>
        <w:numFmt w:val="upperRoman"/>
        <w:lvlText w:val="%1.%2.%3"/>
        <w:lvlJc w:val="left"/>
        <w:pPr>
          <w:ind w:left="1584" w:hanging="504"/>
        </w:pPr>
        <w:rPr>
          <w:rFonts w:hint="default"/>
        </w:rPr>
      </w:lvl>
    </w:lvlOverride>
    <w:lvlOverride w:ilvl="3">
      <w:lvl w:ilvl="3">
        <w:start w:val="1"/>
        <w:numFmt w:val="upperRoman"/>
        <w:lvlText w:val="%1.%2.%3.%4"/>
        <w:lvlJc w:val="left"/>
        <w:pPr>
          <w:ind w:left="2088" w:hanging="648"/>
        </w:pPr>
        <w:rPr>
          <w:rFonts w:hint="default"/>
        </w:rPr>
      </w:lvl>
    </w:lvlOverride>
    <w:lvlOverride w:ilvl="4">
      <w:lvl w:ilvl="4">
        <w:start w:val="1"/>
        <w:numFmt w:val="upperRoman"/>
        <w:lvlText w:val="%1.%2.%3.%4.%5"/>
        <w:lvlJc w:val="left"/>
        <w:pPr>
          <w:ind w:left="2592" w:hanging="792"/>
        </w:pPr>
        <w:rPr>
          <w:rFonts w:hint="default"/>
        </w:rPr>
      </w:lvl>
    </w:lvlOverride>
    <w:lvlOverride w:ilvl="5">
      <w:lvl w:ilvl="5">
        <w:start w:val="1"/>
        <w:numFmt w:val="upperRoman"/>
        <w:lvlText w:val="%1.%2.%3.%4.%5.%6"/>
        <w:lvlJc w:val="left"/>
        <w:pPr>
          <w:ind w:left="3096" w:hanging="936"/>
        </w:pPr>
        <w:rPr>
          <w:rFonts w:hint="default"/>
        </w:rPr>
      </w:lvl>
    </w:lvlOverride>
    <w:lvlOverride w:ilvl="6">
      <w:lvl w:ilvl="6">
        <w:start w:val="1"/>
        <w:numFmt w:val="upperRoman"/>
        <w:lvlText w:val="%1.%2.%3.%4.%5.%6.%7"/>
        <w:lvlJc w:val="left"/>
        <w:pPr>
          <w:ind w:left="3600" w:hanging="1080"/>
        </w:pPr>
        <w:rPr>
          <w:rFonts w:hint="default"/>
        </w:rPr>
      </w:lvl>
    </w:lvlOverride>
    <w:lvlOverride w:ilvl="7">
      <w:lvl w:ilvl="7">
        <w:start w:val="1"/>
        <w:numFmt w:val="upperRoman"/>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2">
    <w:abstractNumId w:val="0"/>
    <w:lvlOverride w:ilvl="0">
      <w:startOverride w:val="1"/>
      <w:lvl w:ilvl="0">
        <w:start w:val="1"/>
        <w:numFmt w:val="upperRoman"/>
        <w:lvlText w:val="%1."/>
        <w:lvlJc w:val="left"/>
        <w:pPr>
          <w:ind w:left="0" w:firstLine="0"/>
        </w:pPr>
        <w:rPr>
          <w:rFonts w:hint="default"/>
        </w:rPr>
      </w:lvl>
    </w:lvlOverride>
    <w:lvlOverride w:ilvl="1">
      <w:startOverride w:val="1"/>
      <w:lvl w:ilvl="1">
        <w:start w:val="1"/>
        <w:numFmt w:val="upperRoman"/>
        <w:lvlText w:val="%1.%2"/>
        <w:lvlJc w:val="left"/>
        <w:pPr>
          <w:ind w:left="1152" w:hanging="432"/>
        </w:pPr>
        <w:rPr>
          <w:rFonts w:hint="default"/>
        </w:rPr>
      </w:lvl>
    </w:lvlOverride>
    <w:lvlOverride w:ilvl="2">
      <w:startOverride w:val="1"/>
      <w:lvl w:ilvl="2">
        <w:start w:val="1"/>
        <w:numFmt w:val="upperRoman"/>
        <w:lvlText w:val="%1.%2.%3"/>
        <w:lvlJc w:val="left"/>
        <w:pPr>
          <w:ind w:left="1584" w:hanging="504"/>
        </w:pPr>
        <w:rPr>
          <w:rFonts w:hint="default"/>
        </w:rPr>
      </w:lvl>
    </w:lvlOverride>
    <w:lvlOverride w:ilvl="3">
      <w:startOverride w:val="1"/>
      <w:lvl w:ilvl="3">
        <w:start w:val="1"/>
        <w:numFmt w:val="upperRoman"/>
        <w:lvlText w:val="%1.%2.%3.%4"/>
        <w:lvlJc w:val="left"/>
        <w:pPr>
          <w:ind w:left="2088" w:hanging="648"/>
        </w:pPr>
        <w:rPr>
          <w:rFonts w:hint="default"/>
        </w:rPr>
      </w:lvl>
    </w:lvlOverride>
    <w:lvlOverride w:ilvl="4">
      <w:startOverride w:val="1"/>
      <w:lvl w:ilvl="4">
        <w:start w:val="1"/>
        <w:numFmt w:val="upperRoman"/>
        <w:lvlText w:val="%1.%2.%3.%4.%5"/>
        <w:lvlJc w:val="left"/>
        <w:pPr>
          <w:ind w:left="2592" w:hanging="792"/>
        </w:pPr>
        <w:rPr>
          <w:rFonts w:hint="default"/>
        </w:rPr>
      </w:lvl>
    </w:lvlOverride>
    <w:lvlOverride w:ilvl="5">
      <w:startOverride w:val="1"/>
      <w:lvl w:ilvl="5">
        <w:start w:val="1"/>
        <w:numFmt w:val="upperRoman"/>
        <w:lvlText w:val="%1.%2.%3.%4.%5.%6"/>
        <w:lvlJc w:val="left"/>
        <w:pPr>
          <w:ind w:left="3096" w:hanging="936"/>
        </w:pPr>
        <w:rPr>
          <w:rFonts w:hint="default"/>
        </w:rPr>
      </w:lvl>
    </w:lvlOverride>
    <w:lvlOverride w:ilvl="6">
      <w:startOverride w:val="1"/>
      <w:lvl w:ilvl="6">
        <w:start w:val="1"/>
        <w:numFmt w:val="upperRoman"/>
        <w:lvlText w:val="%1.%2.%3.%4.%5.%6.%7"/>
        <w:lvlJc w:val="left"/>
        <w:pPr>
          <w:ind w:left="3600" w:hanging="1080"/>
        </w:pPr>
        <w:rPr>
          <w:rFonts w:hint="default"/>
        </w:rPr>
      </w:lvl>
    </w:lvlOverride>
    <w:lvlOverride w:ilvl="7">
      <w:startOverride w:val="1"/>
      <w:lvl w:ilvl="7">
        <w:start w:val="1"/>
        <w:numFmt w:val="upperRoman"/>
        <w:lvlText w:val="%1.%2.%3.%4.%5.%6.%7.%8"/>
        <w:lvlJc w:val="left"/>
        <w:pPr>
          <w:ind w:left="4104" w:hanging="1224"/>
        </w:pPr>
        <w:rPr>
          <w:rFonts w:hint="default"/>
        </w:rPr>
      </w:lvl>
    </w:lvlOverride>
    <w:lvlOverride w:ilvl="8">
      <w:startOverride w:val="1"/>
      <w:lvl w:ilvl="8">
        <w:start w:val="1"/>
        <w:numFmt w:val="decimal"/>
        <w:lvlText w:val="%1.%2.%3.%4.%5.%6.%7.%8.%9"/>
        <w:lvlJc w:val="left"/>
        <w:pPr>
          <w:ind w:left="4680" w:hanging="1440"/>
        </w:pPr>
        <w:rPr>
          <w:rFonts w:hint="default"/>
        </w:rPr>
      </w:lvl>
    </w:lvlOverride>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7">
    <w:abstractNumId w:val="6"/>
  </w:num>
  <w:num w:numId="18">
    <w:abstractNumId w:val="16"/>
  </w:num>
  <w:num w:numId="19">
    <w:abstractNumId w:val="1"/>
  </w:num>
  <w:num w:numId="20">
    <w:abstractNumId w:val="15"/>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4">
    <w:abstractNumId w:val="22"/>
  </w:num>
  <w:num w:numId="25">
    <w:abstractNumId w:val="11"/>
  </w:num>
  <w:num w:numId="26">
    <w:abstractNumId w:val="3"/>
  </w:num>
  <w:num w:numId="27">
    <w:abstractNumId w:val="9"/>
  </w:num>
  <w:num w:numId="28">
    <w:abstractNumId w:val="10"/>
  </w:num>
  <w:num w:numId="29">
    <w:abstractNumId w:val="21"/>
  </w:num>
  <w:num w:numId="30">
    <w:abstractNumId w:val="20"/>
  </w:num>
  <w:num w:numId="31">
    <w:abstractNumId w:val="23"/>
  </w:num>
  <w:num w:numId="32">
    <w:abstractNumId w:val="13"/>
  </w:num>
  <w:num w:numId="33">
    <w:abstractNumId w:val="18"/>
  </w:num>
  <w:num w:numId="34">
    <w:abstractNumId w:val="8"/>
  </w:num>
  <w:num w:numId="35">
    <w:abstractNumId w:val="5"/>
  </w:num>
  <w:num w:numId="36">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88D"/>
    <w:rsid w:val="000007CF"/>
    <w:rsid w:val="0000085A"/>
    <w:rsid w:val="000010B6"/>
    <w:rsid w:val="00001209"/>
    <w:rsid w:val="00001567"/>
    <w:rsid w:val="0000163F"/>
    <w:rsid w:val="000016E6"/>
    <w:rsid w:val="00001D8F"/>
    <w:rsid w:val="00001F9C"/>
    <w:rsid w:val="000024E1"/>
    <w:rsid w:val="000029F9"/>
    <w:rsid w:val="00002E00"/>
    <w:rsid w:val="00004783"/>
    <w:rsid w:val="00004851"/>
    <w:rsid w:val="0000698B"/>
    <w:rsid w:val="00006D89"/>
    <w:rsid w:val="00006E53"/>
    <w:rsid w:val="000076B3"/>
    <w:rsid w:val="00007894"/>
    <w:rsid w:val="000078D1"/>
    <w:rsid w:val="0001019B"/>
    <w:rsid w:val="000102D2"/>
    <w:rsid w:val="000108EE"/>
    <w:rsid w:val="00010CB4"/>
    <w:rsid w:val="00010E81"/>
    <w:rsid w:val="00011690"/>
    <w:rsid w:val="000118F0"/>
    <w:rsid w:val="000128FD"/>
    <w:rsid w:val="00012A20"/>
    <w:rsid w:val="00013FD9"/>
    <w:rsid w:val="0001446A"/>
    <w:rsid w:val="00014732"/>
    <w:rsid w:val="00015BA1"/>
    <w:rsid w:val="000161D2"/>
    <w:rsid w:val="00016471"/>
    <w:rsid w:val="000164B5"/>
    <w:rsid w:val="000166DC"/>
    <w:rsid w:val="0001714A"/>
    <w:rsid w:val="000177B2"/>
    <w:rsid w:val="000179DB"/>
    <w:rsid w:val="00017A5E"/>
    <w:rsid w:val="00020EEE"/>
    <w:rsid w:val="000210A9"/>
    <w:rsid w:val="0002274A"/>
    <w:rsid w:val="00022A71"/>
    <w:rsid w:val="000237A9"/>
    <w:rsid w:val="000239C3"/>
    <w:rsid w:val="00023D18"/>
    <w:rsid w:val="0002404D"/>
    <w:rsid w:val="000241E4"/>
    <w:rsid w:val="00024221"/>
    <w:rsid w:val="0002422F"/>
    <w:rsid w:val="000244CB"/>
    <w:rsid w:val="00025148"/>
    <w:rsid w:val="0002515D"/>
    <w:rsid w:val="000259D4"/>
    <w:rsid w:val="00025EBE"/>
    <w:rsid w:val="0002666A"/>
    <w:rsid w:val="000269E2"/>
    <w:rsid w:val="000273BD"/>
    <w:rsid w:val="00027764"/>
    <w:rsid w:val="00027CC4"/>
    <w:rsid w:val="000303AB"/>
    <w:rsid w:val="000314E1"/>
    <w:rsid w:val="000315AE"/>
    <w:rsid w:val="00031937"/>
    <w:rsid w:val="000319C6"/>
    <w:rsid w:val="00031AF2"/>
    <w:rsid w:val="0003275A"/>
    <w:rsid w:val="000328AD"/>
    <w:rsid w:val="00032A83"/>
    <w:rsid w:val="00032B73"/>
    <w:rsid w:val="00032CCE"/>
    <w:rsid w:val="00032F0F"/>
    <w:rsid w:val="00033684"/>
    <w:rsid w:val="0003450F"/>
    <w:rsid w:val="000346B2"/>
    <w:rsid w:val="00034721"/>
    <w:rsid w:val="00034AD0"/>
    <w:rsid w:val="00034E24"/>
    <w:rsid w:val="00034F40"/>
    <w:rsid w:val="0003521E"/>
    <w:rsid w:val="00035D97"/>
    <w:rsid w:val="00036A6D"/>
    <w:rsid w:val="00037244"/>
    <w:rsid w:val="00037BF5"/>
    <w:rsid w:val="00040307"/>
    <w:rsid w:val="00040ADA"/>
    <w:rsid w:val="0004143D"/>
    <w:rsid w:val="0004179D"/>
    <w:rsid w:val="00041B02"/>
    <w:rsid w:val="0004218F"/>
    <w:rsid w:val="00043B8D"/>
    <w:rsid w:val="00043C90"/>
    <w:rsid w:val="000440CC"/>
    <w:rsid w:val="000440CE"/>
    <w:rsid w:val="00044208"/>
    <w:rsid w:val="000443E0"/>
    <w:rsid w:val="00044589"/>
    <w:rsid w:val="00045072"/>
    <w:rsid w:val="0004564A"/>
    <w:rsid w:val="00045935"/>
    <w:rsid w:val="00046964"/>
    <w:rsid w:val="00047603"/>
    <w:rsid w:val="00050F41"/>
    <w:rsid w:val="00051F22"/>
    <w:rsid w:val="00052C79"/>
    <w:rsid w:val="00053118"/>
    <w:rsid w:val="00053944"/>
    <w:rsid w:val="00053D3C"/>
    <w:rsid w:val="00053F1E"/>
    <w:rsid w:val="0005438A"/>
    <w:rsid w:val="0005542C"/>
    <w:rsid w:val="000557A2"/>
    <w:rsid w:val="00055889"/>
    <w:rsid w:val="00055CDC"/>
    <w:rsid w:val="00055E60"/>
    <w:rsid w:val="00056E14"/>
    <w:rsid w:val="00057C36"/>
    <w:rsid w:val="00057E37"/>
    <w:rsid w:val="00057FAA"/>
    <w:rsid w:val="000604C4"/>
    <w:rsid w:val="00061C2D"/>
    <w:rsid w:val="00062486"/>
    <w:rsid w:val="00062992"/>
    <w:rsid w:val="00063161"/>
    <w:rsid w:val="000631E8"/>
    <w:rsid w:val="00063C3F"/>
    <w:rsid w:val="00063CB5"/>
    <w:rsid w:val="000678C6"/>
    <w:rsid w:val="00067951"/>
    <w:rsid w:val="00067984"/>
    <w:rsid w:val="00067C53"/>
    <w:rsid w:val="000704A1"/>
    <w:rsid w:val="0007052D"/>
    <w:rsid w:val="000708AB"/>
    <w:rsid w:val="00071634"/>
    <w:rsid w:val="000716B6"/>
    <w:rsid w:val="00072AF9"/>
    <w:rsid w:val="00073BDB"/>
    <w:rsid w:val="000741BE"/>
    <w:rsid w:val="0007459D"/>
    <w:rsid w:val="000745C1"/>
    <w:rsid w:val="00074E2E"/>
    <w:rsid w:val="0007504A"/>
    <w:rsid w:val="000759FC"/>
    <w:rsid w:val="000762D1"/>
    <w:rsid w:val="00076948"/>
    <w:rsid w:val="00076A84"/>
    <w:rsid w:val="00076EC6"/>
    <w:rsid w:val="00076FEE"/>
    <w:rsid w:val="000771CD"/>
    <w:rsid w:val="00077659"/>
    <w:rsid w:val="000777ED"/>
    <w:rsid w:val="000778EB"/>
    <w:rsid w:val="00077C95"/>
    <w:rsid w:val="000801FF"/>
    <w:rsid w:val="00080560"/>
    <w:rsid w:val="00080907"/>
    <w:rsid w:val="000809D2"/>
    <w:rsid w:val="00081A31"/>
    <w:rsid w:val="00081C8C"/>
    <w:rsid w:val="00081F13"/>
    <w:rsid w:val="00081FEC"/>
    <w:rsid w:val="000822F5"/>
    <w:rsid w:val="00082307"/>
    <w:rsid w:val="00082B38"/>
    <w:rsid w:val="00082D6C"/>
    <w:rsid w:val="00083A06"/>
    <w:rsid w:val="00083D8B"/>
    <w:rsid w:val="00084084"/>
    <w:rsid w:val="00084635"/>
    <w:rsid w:val="000847EE"/>
    <w:rsid w:val="00085293"/>
    <w:rsid w:val="00085400"/>
    <w:rsid w:val="00085F22"/>
    <w:rsid w:val="00086299"/>
    <w:rsid w:val="00086589"/>
    <w:rsid w:val="00087071"/>
    <w:rsid w:val="00090375"/>
    <w:rsid w:val="000908A8"/>
    <w:rsid w:val="000915AB"/>
    <w:rsid w:val="000919CF"/>
    <w:rsid w:val="000919DB"/>
    <w:rsid w:val="000926E1"/>
    <w:rsid w:val="000929B9"/>
    <w:rsid w:val="00092FDD"/>
    <w:rsid w:val="00093006"/>
    <w:rsid w:val="00093964"/>
    <w:rsid w:val="00093C90"/>
    <w:rsid w:val="00093D1A"/>
    <w:rsid w:val="00094912"/>
    <w:rsid w:val="00094A0E"/>
    <w:rsid w:val="0009532C"/>
    <w:rsid w:val="000953F9"/>
    <w:rsid w:val="000958F0"/>
    <w:rsid w:val="00095A07"/>
    <w:rsid w:val="00095F74"/>
    <w:rsid w:val="00096013"/>
    <w:rsid w:val="000964DF"/>
    <w:rsid w:val="000969B0"/>
    <w:rsid w:val="00096C87"/>
    <w:rsid w:val="000976E6"/>
    <w:rsid w:val="00097CF6"/>
    <w:rsid w:val="00097E13"/>
    <w:rsid w:val="000A0A9A"/>
    <w:rsid w:val="000A0C1B"/>
    <w:rsid w:val="000A1058"/>
    <w:rsid w:val="000A1105"/>
    <w:rsid w:val="000A249C"/>
    <w:rsid w:val="000A253F"/>
    <w:rsid w:val="000A298E"/>
    <w:rsid w:val="000A3373"/>
    <w:rsid w:val="000A36CB"/>
    <w:rsid w:val="000A3B83"/>
    <w:rsid w:val="000A4050"/>
    <w:rsid w:val="000A443E"/>
    <w:rsid w:val="000A44E4"/>
    <w:rsid w:val="000A478A"/>
    <w:rsid w:val="000A66EF"/>
    <w:rsid w:val="000A6D29"/>
    <w:rsid w:val="000A6E72"/>
    <w:rsid w:val="000A72F3"/>
    <w:rsid w:val="000A7394"/>
    <w:rsid w:val="000A7494"/>
    <w:rsid w:val="000A7702"/>
    <w:rsid w:val="000A7F0C"/>
    <w:rsid w:val="000B02ED"/>
    <w:rsid w:val="000B03CC"/>
    <w:rsid w:val="000B045B"/>
    <w:rsid w:val="000B072D"/>
    <w:rsid w:val="000B0790"/>
    <w:rsid w:val="000B09CE"/>
    <w:rsid w:val="000B0B86"/>
    <w:rsid w:val="000B0BD9"/>
    <w:rsid w:val="000B0F1B"/>
    <w:rsid w:val="000B11A9"/>
    <w:rsid w:val="000B1E63"/>
    <w:rsid w:val="000B22DD"/>
    <w:rsid w:val="000B275A"/>
    <w:rsid w:val="000B3060"/>
    <w:rsid w:val="000B3782"/>
    <w:rsid w:val="000B3855"/>
    <w:rsid w:val="000B3BF9"/>
    <w:rsid w:val="000B425F"/>
    <w:rsid w:val="000B4476"/>
    <w:rsid w:val="000B5383"/>
    <w:rsid w:val="000B560C"/>
    <w:rsid w:val="000B5B43"/>
    <w:rsid w:val="000B5D91"/>
    <w:rsid w:val="000B5DAD"/>
    <w:rsid w:val="000B60BC"/>
    <w:rsid w:val="000B6383"/>
    <w:rsid w:val="000B6D67"/>
    <w:rsid w:val="000B73B1"/>
    <w:rsid w:val="000B7639"/>
    <w:rsid w:val="000B792F"/>
    <w:rsid w:val="000B7C27"/>
    <w:rsid w:val="000B7DF4"/>
    <w:rsid w:val="000B7E03"/>
    <w:rsid w:val="000C0E9B"/>
    <w:rsid w:val="000C10C8"/>
    <w:rsid w:val="000C11F7"/>
    <w:rsid w:val="000C2493"/>
    <w:rsid w:val="000C254B"/>
    <w:rsid w:val="000C3572"/>
    <w:rsid w:val="000C379C"/>
    <w:rsid w:val="000C3B68"/>
    <w:rsid w:val="000C42ED"/>
    <w:rsid w:val="000C43D9"/>
    <w:rsid w:val="000C5965"/>
    <w:rsid w:val="000C69DA"/>
    <w:rsid w:val="000C6B17"/>
    <w:rsid w:val="000D037F"/>
    <w:rsid w:val="000D0796"/>
    <w:rsid w:val="000D0BC9"/>
    <w:rsid w:val="000D115B"/>
    <w:rsid w:val="000D1693"/>
    <w:rsid w:val="000D1A27"/>
    <w:rsid w:val="000D1DF5"/>
    <w:rsid w:val="000D230A"/>
    <w:rsid w:val="000D2980"/>
    <w:rsid w:val="000D308F"/>
    <w:rsid w:val="000D34ED"/>
    <w:rsid w:val="000D37A7"/>
    <w:rsid w:val="000D3B53"/>
    <w:rsid w:val="000D3EB7"/>
    <w:rsid w:val="000D45A4"/>
    <w:rsid w:val="000D4B51"/>
    <w:rsid w:val="000D5323"/>
    <w:rsid w:val="000D55E0"/>
    <w:rsid w:val="000D58E2"/>
    <w:rsid w:val="000D60C1"/>
    <w:rsid w:val="000D6131"/>
    <w:rsid w:val="000D61D2"/>
    <w:rsid w:val="000D6331"/>
    <w:rsid w:val="000D65F5"/>
    <w:rsid w:val="000D6E5F"/>
    <w:rsid w:val="000D7CED"/>
    <w:rsid w:val="000E0093"/>
    <w:rsid w:val="000E0278"/>
    <w:rsid w:val="000E0528"/>
    <w:rsid w:val="000E06F5"/>
    <w:rsid w:val="000E0B42"/>
    <w:rsid w:val="000E0BA8"/>
    <w:rsid w:val="000E0C95"/>
    <w:rsid w:val="000E1951"/>
    <w:rsid w:val="000E1A8D"/>
    <w:rsid w:val="000E29D7"/>
    <w:rsid w:val="000E2A31"/>
    <w:rsid w:val="000E2B93"/>
    <w:rsid w:val="000E3087"/>
    <w:rsid w:val="000E37AD"/>
    <w:rsid w:val="000E37BE"/>
    <w:rsid w:val="000E3C03"/>
    <w:rsid w:val="000E3C40"/>
    <w:rsid w:val="000E3D12"/>
    <w:rsid w:val="000E4583"/>
    <w:rsid w:val="000E47E5"/>
    <w:rsid w:val="000E48AD"/>
    <w:rsid w:val="000E4F4A"/>
    <w:rsid w:val="000E5176"/>
    <w:rsid w:val="000E598D"/>
    <w:rsid w:val="000E5BFA"/>
    <w:rsid w:val="000E5C7A"/>
    <w:rsid w:val="000E6394"/>
    <w:rsid w:val="000E6919"/>
    <w:rsid w:val="000E701A"/>
    <w:rsid w:val="000E7171"/>
    <w:rsid w:val="000E73D1"/>
    <w:rsid w:val="000E7610"/>
    <w:rsid w:val="000E770B"/>
    <w:rsid w:val="000E7856"/>
    <w:rsid w:val="000E7A9C"/>
    <w:rsid w:val="000F006B"/>
    <w:rsid w:val="000F051F"/>
    <w:rsid w:val="000F082C"/>
    <w:rsid w:val="000F0D4E"/>
    <w:rsid w:val="000F13A6"/>
    <w:rsid w:val="000F13D3"/>
    <w:rsid w:val="000F185B"/>
    <w:rsid w:val="000F1B81"/>
    <w:rsid w:val="000F1D17"/>
    <w:rsid w:val="000F1DEF"/>
    <w:rsid w:val="000F2303"/>
    <w:rsid w:val="000F24E6"/>
    <w:rsid w:val="000F2784"/>
    <w:rsid w:val="000F370D"/>
    <w:rsid w:val="000F39DA"/>
    <w:rsid w:val="000F3A1D"/>
    <w:rsid w:val="000F419B"/>
    <w:rsid w:val="000F56E3"/>
    <w:rsid w:val="000F5F50"/>
    <w:rsid w:val="000F61D2"/>
    <w:rsid w:val="000F69A9"/>
    <w:rsid w:val="000F6C23"/>
    <w:rsid w:val="000F6C56"/>
    <w:rsid w:val="000F7489"/>
    <w:rsid w:val="00100B2C"/>
    <w:rsid w:val="00101848"/>
    <w:rsid w:val="00101E17"/>
    <w:rsid w:val="00102484"/>
    <w:rsid w:val="00102A70"/>
    <w:rsid w:val="00102C7B"/>
    <w:rsid w:val="00102E5D"/>
    <w:rsid w:val="00103271"/>
    <w:rsid w:val="00103898"/>
    <w:rsid w:val="00103CF3"/>
    <w:rsid w:val="001045EE"/>
    <w:rsid w:val="00106573"/>
    <w:rsid w:val="001065F8"/>
    <w:rsid w:val="00106DF8"/>
    <w:rsid w:val="0010717C"/>
    <w:rsid w:val="001077C0"/>
    <w:rsid w:val="00107B3E"/>
    <w:rsid w:val="00110F07"/>
    <w:rsid w:val="00111498"/>
    <w:rsid w:val="00111D84"/>
    <w:rsid w:val="0011218D"/>
    <w:rsid w:val="00112720"/>
    <w:rsid w:val="00112A51"/>
    <w:rsid w:val="00112B61"/>
    <w:rsid w:val="0011382E"/>
    <w:rsid w:val="00113A25"/>
    <w:rsid w:val="00114AF2"/>
    <w:rsid w:val="00114F9F"/>
    <w:rsid w:val="001166D4"/>
    <w:rsid w:val="00116A81"/>
    <w:rsid w:val="00116CC7"/>
    <w:rsid w:val="001172FC"/>
    <w:rsid w:val="001175FC"/>
    <w:rsid w:val="001179CB"/>
    <w:rsid w:val="001179E1"/>
    <w:rsid w:val="00117AC6"/>
    <w:rsid w:val="00117F34"/>
    <w:rsid w:val="001208C5"/>
    <w:rsid w:val="0012092B"/>
    <w:rsid w:val="001216C4"/>
    <w:rsid w:val="00121C98"/>
    <w:rsid w:val="00121DFC"/>
    <w:rsid w:val="00122052"/>
    <w:rsid w:val="00122321"/>
    <w:rsid w:val="00122718"/>
    <w:rsid w:val="00122E9A"/>
    <w:rsid w:val="00122EDC"/>
    <w:rsid w:val="001235D0"/>
    <w:rsid w:val="001238D3"/>
    <w:rsid w:val="00123E03"/>
    <w:rsid w:val="00124149"/>
    <w:rsid w:val="00124F25"/>
    <w:rsid w:val="0012510D"/>
    <w:rsid w:val="0012582F"/>
    <w:rsid w:val="001259DE"/>
    <w:rsid w:val="001261C5"/>
    <w:rsid w:val="001264BB"/>
    <w:rsid w:val="001272AA"/>
    <w:rsid w:val="001302DB"/>
    <w:rsid w:val="00130384"/>
    <w:rsid w:val="001303C6"/>
    <w:rsid w:val="001309C7"/>
    <w:rsid w:val="0013117F"/>
    <w:rsid w:val="001321A3"/>
    <w:rsid w:val="00132264"/>
    <w:rsid w:val="00132399"/>
    <w:rsid w:val="00132769"/>
    <w:rsid w:val="0013335E"/>
    <w:rsid w:val="0013343E"/>
    <w:rsid w:val="00133498"/>
    <w:rsid w:val="00134644"/>
    <w:rsid w:val="0013478B"/>
    <w:rsid w:val="00134CDD"/>
    <w:rsid w:val="00135242"/>
    <w:rsid w:val="001354CD"/>
    <w:rsid w:val="00135904"/>
    <w:rsid w:val="0013745D"/>
    <w:rsid w:val="00137C12"/>
    <w:rsid w:val="001404E2"/>
    <w:rsid w:val="00140C45"/>
    <w:rsid w:val="001420DD"/>
    <w:rsid w:val="00142533"/>
    <w:rsid w:val="0014266C"/>
    <w:rsid w:val="00143414"/>
    <w:rsid w:val="00143581"/>
    <w:rsid w:val="0014437C"/>
    <w:rsid w:val="00144CDC"/>
    <w:rsid w:val="00144EF2"/>
    <w:rsid w:val="001453BB"/>
    <w:rsid w:val="00145C26"/>
    <w:rsid w:val="00146396"/>
    <w:rsid w:val="0014639C"/>
    <w:rsid w:val="001464AD"/>
    <w:rsid w:val="001465F8"/>
    <w:rsid w:val="00146D32"/>
    <w:rsid w:val="00146F6D"/>
    <w:rsid w:val="00146FD4"/>
    <w:rsid w:val="001471EF"/>
    <w:rsid w:val="00147743"/>
    <w:rsid w:val="00150220"/>
    <w:rsid w:val="001505EE"/>
    <w:rsid w:val="0015062D"/>
    <w:rsid w:val="00150D78"/>
    <w:rsid w:val="00150DF1"/>
    <w:rsid w:val="00152372"/>
    <w:rsid w:val="00152E4C"/>
    <w:rsid w:val="001532F1"/>
    <w:rsid w:val="001533F0"/>
    <w:rsid w:val="00153474"/>
    <w:rsid w:val="001535E7"/>
    <w:rsid w:val="00153B77"/>
    <w:rsid w:val="001547DB"/>
    <w:rsid w:val="00154ACA"/>
    <w:rsid w:val="00154F0C"/>
    <w:rsid w:val="00155140"/>
    <w:rsid w:val="0015522D"/>
    <w:rsid w:val="00155305"/>
    <w:rsid w:val="00155A11"/>
    <w:rsid w:val="001562F3"/>
    <w:rsid w:val="0015634F"/>
    <w:rsid w:val="00156412"/>
    <w:rsid w:val="001570C1"/>
    <w:rsid w:val="00157127"/>
    <w:rsid w:val="00157168"/>
    <w:rsid w:val="00157355"/>
    <w:rsid w:val="00157A83"/>
    <w:rsid w:val="00157DCA"/>
    <w:rsid w:val="00160501"/>
    <w:rsid w:val="001607ED"/>
    <w:rsid w:val="00160EF5"/>
    <w:rsid w:val="0016153B"/>
    <w:rsid w:val="00162915"/>
    <w:rsid w:val="00164473"/>
    <w:rsid w:val="00164FC5"/>
    <w:rsid w:val="001652DE"/>
    <w:rsid w:val="001659FE"/>
    <w:rsid w:val="00165B84"/>
    <w:rsid w:val="00166009"/>
    <w:rsid w:val="00166734"/>
    <w:rsid w:val="00166D5D"/>
    <w:rsid w:val="00166E79"/>
    <w:rsid w:val="0016720A"/>
    <w:rsid w:val="00167567"/>
    <w:rsid w:val="00170134"/>
    <w:rsid w:val="00170288"/>
    <w:rsid w:val="00170396"/>
    <w:rsid w:val="00170479"/>
    <w:rsid w:val="001714A8"/>
    <w:rsid w:val="001714E0"/>
    <w:rsid w:val="00171760"/>
    <w:rsid w:val="00171974"/>
    <w:rsid w:val="001721E8"/>
    <w:rsid w:val="001725C5"/>
    <w:rsid w:val="00172FA7"/>
    <w:rsid w:val="001733FF"/>
    <w:rsid w:val="00173AF9"/>
    <w:rsid w:val="00173E40"/>
    <w:rsid w:val="00173EAF"/>
    <w:rsid w:val="00175ACD"/>
    <w:rsid w:val="0017646F"/>
    <w:rsid w:val="0017728A"/>
    <w:rsid w:val="00177D9B"/>
    <w:rsid w:val="001801DC"/>
    <w:rsid w:val="001804E1"/>
    <w:rsid w:val="00180637"/>
    <w:rsid w:val="001806CA"/>
    <w:rsid w:val="001819AF"/>
    <w:rsid w:val="001820BF"/>
    <w:rsid w:val="00182F42"/>
    <w:rsid w:val="0018377D"/>
    <w:rsid w:val="001844E9"/>
    <w:rsid w:val="001845FF"/>
    <w:rsid w:val="00184A00"/>
    <w:rsid w:val="00184E56"/>
    <w:rsid w:val="00186272"/>
    <w:rsid w:val="00186B1F"/>
    <w:rsid w:val="00186C26"/>
    <w:rsid w:val="00186CA4"/>
    <w:rsid w:val="00186DEF"/>
    <w:rsid w:val="0018752C"/>
    <w:rsid w:val="001877C4"/>
    <w:rsid w:val="00187E93"/>
    <w:rsid w:val="0019029D"/>
    <w:rsid w:val="00191076"/>
    <w:rsid w:val="00191BF6"/>
    <w:rsid w:val="00191EB6"/>
    <w:rsid w:val="00192119"/>
    <w:rsid w:val="00192940"/>
    <w:rsid w:val="00193852"/>
    <w:rsid w:val="001938B6"/>
    <w:rsid w:val="001939E3"/>
    <w:rsid w:val="00193B79"/>
    <w:rsid w:val="00193BB2"/>
    <w:rsid w:val="001940BE"/>
    <w:rsid w:val="0019472E"/>
    <w:rsid w:val="001948DB"/>
    <w:rsid w:val="00195282"/>
    <w:rsid w:val="0019575F"/>
    <w:rsid w:val="00196256"/>
    <w:rsid w:val="0019627F"/>
    <w:rsid w:val="001964AA"/>
    <w:rsid w:val="00196A95"/>
    <w:rsid w:val="0019711C"/>
    <w:rsid w:val="001A01A3"/>
    <w:rsid w:val="001A044C"/>
    <w:rsid w:val="001A12F9"/>
    <w:rsid w:val="001A1441"/>
    <w:rsid w:val="001A2148"/>
    <w:rsid w:val="001A21AC"/>
    <w:rsid w:val="001A21BC"/>
    <w:rsid w:val="001A230F"/>
    <w:rsid w:val="001A3128"/>
    <w:rsid w:val="001A3386"/>
    <w:rsid w:val="001A37E2"/>
    <w:rsid w:val="001A388A"/>
    <w:rsid w:val="001A38D3"/>
    <w:rsid w:val="001A3AEE"/>
    <w:rsid w:val="001A3EAF"/>
    <w:rsid w:val="001A43C2"/>
    <w:rsid w:val="001A467D"/>
    <w:rsid w:val="001A4681"/>
    <w:rsid w:val="001A557E"/>
    <w:rsid w:val="001A65BF"/>
    <w:rsid w:val="001A6A02"/>
    <w:rsid w:val="001A7C58"/>
    <w:rsid w:val="001B0283"/>
    <w:rsid w:val="001B0BEB"/>
    <w:rsid w:val="001B11E3"/>
    <w:rsid w:val="001B13B2"/>
    <w:rsid w:val="001B16E5"/>
    <w:rsid w:val="001B212C"/>
    <w:rsid w:val="001B2268"/>
    <w:rsid w:val="001B232F"/>
    <w:rsid w:val="001B2690"/>
    <w:rsid w:val="001B27C6"/>
    <w:rsid w:val="001B303A"/>
    <w:rsid w:val="001B3353"/>
    <w:rsid w:val="001B364E"/>
    <w:rsid w:val="001B37C9"/>
    <w:rsid w:val="001B3955"/>
    <w:rsid w:val="001B397C"/>
    <w:rsid w:val="001B3AA8"/>
    <w:rsid w:val="001B42B2"/>
    <w:rsid w:val="001B454A"/>
    <w:rsid w:val="001B45E8"/>
    <w:rsid w:val="001B49B9"/>
    <w:rsid w:val="001B4EEF"/>
    <w:rsid w:val="001B5D09"/>
    <w:rsid w:val="001B5D22"/>
    <w:rsid w:val="001B6757"/>
    <w:rsid w:val="001B69AB"/>
    <w:rsid w:val="001B6B3F"/>
    <w:rsid w:val="001B779C"/>
    <w:rsid w:val="001B787E"/>
    <w:rsid w:val="001C01BD"/>
    <w:rsid w:val="001C02B9"/>
    <w:rsid w:val="001C03FC"/>
    <w:rsid w:val="001C21FF"/>
    <w:rsid w:val="001C2329"/>
    <w:rsid w:val="001C32D9"/>
    <w:rsid w:val="001C3FE5"/>
    <w:rsid w:val="001C40DC"/>
    <w:rsid w:val="001C43B6"/>
    <w:rsid w:val="001C5DD5"/>
    <w:rsid w:val="001C6646"/>
    <w:rsid w:val="001C6B69"/>
    <w:rsid w:val="001C6CFB"/>
    <w:rsid w:val="001C6EBA"/>
    <w:rsid w:val="001C7D8B"/>
    <w:rsid w:val="001D0000"/>
    <w:rsid w:val="001D065A"/>
    <w:rsid w:val="001D158E"/>
    <w:rsid w:val="001D15A4"/>
    <w:rsid w:val="001D1B5C"/>
    <w:rsid w:val="001D1EA9"/>
    <w:rsid w:val="001D209F"/>
    <w:rsid w:val="001D20CB"/>
    <w:rsid w:val="001D218D"/>
    <w:rsid w:val="001D22E9"/>
    <w:rsid w:val="001D2733"/>
    <w:rsid w:val="001D30FC"/>
    <w:rsid w:val="001D37FC"/>
    <w:rsid w:val="001D43BA"/>
    <w:rsid w:val="001D4755"/>
    <w:rsid w:val="001D5170"/>
    <w:rsid w:val="001D5695"/>
    <w:rsid w:val="001D5B92"/>
    <w:rsid w:val="001D5E2E"/>
    <w:rsid w:val="001D63CD"/>
    <w:rsid w:val="001D6A66"/>
    <w:rsid w:val="001D6C02"/>
    <w:rsid w:val="001D7745"/>
    <w:rsid w:val="001E0858"/>
    <w:rsid w:val="001E0DC6"/>
    <w:rsid w:val="001E0FF3"/>
    <w:rsid w:val="001E110C"/>
    <w:rsid w:val="001E1AD3"/>
    <w:rsid w:val="001E1F2A"/>
    <w:rsid w:val="001E211A"/>
    <w:rsid w:val="001E2995"/>
    <w:rsid w:val="001E2ED6"/>
    <w:rsid w:val="001E2FE7"/>
    <w:rsid w:val="001E3125"/>
    <w:rsid w:val="001E34DA"/>
    <w:rsid w:val="001E37D3"/>
    <w:rsid w:val="001E3B5F"/>
    <w:rsid w:val="001E3DF7"/>
    <w:rsid w:val="001E47AF"/>
    <w:rsid w:val="001E497B"/>
    <w:rsid w:val="001E5071"/>
    <w:rsid w:val="001E6230"/>
    <w:rsid w:val="001E6C7D"/>
    <w:rsid w:val="001E70D2"/>
    <w:rsid w:val="001E760E"/>
    <w:rsid w:val="001E7629"/>
    <w:rsid w:val="001F0C6F"/>
    <w:rsid w:val="001F0D63"/>
    <w:rsid w:val="001F0E8C"/>
    <w:rsid w:val="001F0ED0"/>
    <w:rsid w:val="001F156C"/>
    <w:rsid w:val="001F2B18"/>
    <w:rsid w:val="001F2E4D"/>
    <w:rsid w:val="001F4130"/>
    <w:rsid w:val="001F4191"/>
    <w:rsid w:val="001F41C0"/>
    <w:rsid w:val="001F439C"/>
    <w:rsid w:val="001F5384"/>
    <w:rsid w:val="001F5FF7"/>
    <w:rsid w:val="001F76B6"/>
    <w:rsid w:val="002000A2"/>
    <w:rsid w:val="00200393"/>
    <w:rsid w:val="0020061A"/>
    <w:rsid w:val="00200D7B"/>
    <w:rsid w:val="00201025"/>
    <w:rsid w:val="002018DF"/>
    <w:rsid w:val="00202B2A"/>
    <w:rsid w:val="002038B9"/>
    <w:rsid w:val="00204210"/>
    <w:rsid w:val="00204379"/>
    <w:rsid w:val="00204446"/>
    <w:rsid w:val="00204673"/>
    <w:rsid w:val="002047F7"/>
    <w:rsid w:val="002049EE"/>
    <w:rsid w:val="00204D8B"/>
    <w:rsid w:val="002051EC"/>
    <w:rsid w:val="002053FB"/>
    <w:rsid w:val="00206247"/>
    <w:rsid w:val="00206A73"/>
    <w:rsid w:val="0020708C"/>
    <w:rsid w:val="00210031"/>
    <w:rsid w:val="0021013E"/>
    <w:rsid w:val="00210229"/>
    <w:rsid w:val="0021063D"/>
    <w:rsid w:val="00210ACF"/>
    <w:rsid w:val="002121B9"/>
    <w:rsid w:val="00212CC2"/>
    <w:rsid w:val="00212FCD"/>
    <w:rsid w:val="002132DB"/>
    <w:rsid w:val="00213EA8"/>
    <w:rsid w:val="00213ED4"/>
    <w:rsid w:val="00214201"/>
    <w:rsid w:val="002150A4"/>
    <w:rsid w:val="00215480"/>
    <w:rsid w:val="00215675"/>
    <w:rsid w:val="002156BD"/>
    <w:rsid w:val="002163EE"/>
    <w:rsid w:val="00216499"/>
    <w:rsid w:val="002165EF"/>
    <w:rsid w:val="00216997"/>
    <w:rsid w:val="00216A97"/>
    <w:rsid w:val="00216EF2"/>
    <w:rsid w:val="00216F1E"/>
    <w:rsid w:val="00217279"/>
    <w:rsid w:val="002178CA"/>
    <w:rsid w:val="002179F8"/>
    <w:rsid w:val="00217D61"/>
    <w:rsid w:val="00220C26"/>
    <w:rsid w:val="002219C6"/>
    <w:rsid w:val="00222052"/>
    <w:rsid w:val="002220D5"/>
    <w:rsid w:val="00222B30"/>
    <w:rsid w:val="00223707"/>
    <w:rsid w:val="00223BF3"/>
    <w:rsid w:val="0022401B"/>
    <w:rsid w:val="002240E2"/>
    <w:rsid w:val="002242C0"/>
    <w:rsid w:val="0022440F"/>
    <w:rsid w:val="00224CB2"/>
    <w:rsid w:val="00224E21"/>
    <w:rsid w:val="00224E4B"/>
    <w:rsid w:val="002251DE"/>
    <w:rsid w:val="00225A6F"/>
    <w:rsid w:val="0022606E"/>
    <w:rsid w:val="002267F3"/>
    <w:rsid w:val="0022716E"/>
    <w:rsid w:val="00227A0E"/>
    <w:rsid w:val="00227E10"/>
    <w:rsid w:val="002307F8"/>
    <w:rsid w:val="00230C22"/>
    <w:rsid w:val="00230F2A"/>
    <w:rsid w:val="0023123B"/>
    <w:rsid w:val="00231482"/>
    <w:rsid w:val="00231A64"/>
    <w:rsid w:val="00231DFB"/>
    <w:rsid w:val="00232432"/>
    <w:rsid w:val="00233874"/>
    <w:rsid w:val="00233AF1"/>
    <w:rsid w:val="00234252"/>
    <w:rsid w:val="00234C0D"/>
    <w:rsid w:val="00234CAA"/>
    <w:rsid w:val="00234E8C"/>
    <w:rsid w:val="002353DD"/>
    <w:rsid w:val="00235763"/>
    <w:rsid w:val="00235AF1"/>
    <w:rsid w:val="0023629F"/>
    <w:rsid w:val="00236D6D"/>
    <w:rsid w:val="00236E86"/>
    <w:rsid w:val="00236F0A"/>
    <w:rsid w:val="00237300"/>
    <w:rsid w:val="00237460"/>
    <w:rsid w:val="002379EA"/>
    <w:rsid w:val="00237B23"/>
    <w:rsid w:val="00240672"/>
    <w:rsid w:val="0024081E"/>
    <w:rsid w:val="00242BD2"/>
    <w:rsid w:val="0024322D"/>
    <w:rsid w:val="0024337B"/>
    <w:rsid w:val="002434C1"/>
    <w:rsid w:val="00244428"/>
    <w:rsid w:val="00244D13"/>
    <w:rsid w:val="00245E3D"/>
    <w:rsid w:val="00246397"/>
    <w:rsid w:val="0024653C"/>
    <w:rsid w:val="00246953"/>
    <w:rsid w:val="00246B6F"/>
    <w:rsid w:val="002472E7"/>
    <w:rsid w:val="00247497"/>
    <w:rsid w:val="00250087"/>
    <w:rsid w:val="002505C4"/>
    <w:rsid w:val="00250DC4"/>
    <w:rsid w:val="00250F4D"/>
    <w:rsid w:val="00251149"/>
    <w:rsid w:val="00251483"/>
    <w:rsid w:val="0025164A"/>
    <w:rsid w:val="00251AF6"/>
    <w:rsid w:val="00251B2A"/>
    <w:rsid w:val="00252675"/>
    <w:rsid w:val="00252FE6"/>
    <w:rsid w:val="002533AD"/>
    <w:rsid w:val="0025375E"/>
    <w:rsid w:val="00254E99"/>
    <w:rsid w:val="00254F51"/>
    <w:rsid w:val="002554E8"/>
    <w:rsid w:val="002555D2"/>
    <w:rsid w:val="002556F7"/>
    <w:rsid w:val="00255D91"/>
    <w:rsid w:val="002569B1"/>
    <w:rsid w:val="00256BC7"/>
    <w:rsid w:val="00256F65"/>
    <w:rsid w:val="00260557"/>
    <w:rsid w:val="00260EB8"/>
    <w:rsid w:val="00260F97"/>
    <w:rsid w:val="00261275"/>
    <w:rsid w:val="00261560"/>
    <w:rsid w:val="00261AA1"/>
    <w:rsid w:val="00262C8C"/>
    <w:rsid w:val="00262E94"/>
    <w:rsid w:val="002637BC"/>
    <w:rsid w:val="00263B8A"/>
    <w:rsid w:val="00263D4C"/>
    <w:rsid w:val="002644C0"/>
    <w:rsid w:val="00264C3C"/>
    <w:rsid w:val="002663DB"/>
    <w:rsid w:val="002663EC"/>
    <w:rsid w:val="002664D7"/>
    <w:rsid w:val="00266847"/>
    <w:rsid w:val="00267996"/>
    <w:rsid w:val="00267DFB"/>
    <w:rsid w:val="002703FF"/>
    <w:rsid w:val="002707A5"/>
    <w:rsid w:val="00270C57"/>
    <w:rsid w:val="0027121E"/>
    <w:rsid w:val="002716CA"/>
    <w:rsid w:val="00271AFB"/>
    <w:rsid w:val="00271D08"/>
    <w:rsid w:val="0027214A"/>
    <w:rsid w:val="00272784"/>
    <w:rsid w:val="00272926"/>
    <w:rsid w:val="00272E05"/>
    <w:rsid w:val="00273D1D"/>
    <w:rsid w:val="002741C8"/>
    <w:rsid w:val="002741E7"/>
    <w:rsid w:val="002742CB"/>
    <w:rsid w:val="002750D1"/>
    <w:rsid w:val="0028031A"/>
    <w:rsid w:val="00280B62"/>
    <w:rsid w:val="002814DF"/>
    <w:rsid w:val="0028238E"/>
    <w:rsid w:val="0028254D"/>
    <w:rsid w:val="002827F8"/>
    <w:rsid w:val="00282F44"/>
    <w:rsid w:val="0028305A"/>
    <w:rsid w:val="0028340B"/>
    <w:rsid w:val="00283721"/>
    <w:rsid w:val="00283C07"/>
    <w:rsid w:val="00283CA6"/>
    <w:rsid w:val="0028431E"/>
    <w:rsid w:val="00285083"/>
    <w:rsid w:val="0028546A"/>
    <w:rsid w:val="00285479"/>
    <w:rsid w:val="00286173"/>
    <w:rsid w:val="00286D5C"/>
    <w:rsid w:val="00287D81"/>
    <w:rsid w:val="002905A3"/>
    <w:rsid w:val="00290756"/>
    <w:rsid w:val="00290960"/>
    <w:rsid w:val="00290AB2"/>
    <w:rsid w:val="0029131D"/>
    <w:rsid w:val="0029137C"/>
    <w:rsid w:val="00291A15"/>
    <w:rsid w:val="00291D60"/>
    <w:rsid w:val="00292392"/>
    <w:rsid w:val="0029298E"/>
    <w:rsid w:val="00292B06"/>
    <w:rsid w:val="002931B1"/>
    <w:rsid w:val="0029450A"/>
    <w:rsid w:val="00294943"/>
    <w:rsid w:val="00294A34"/>
    <w:rsid w:val="002955B9"/>
    <w:rsid w:val="00295B79"/>
    <w:rsid w:val="00295CBD"/>
    <w:rsid w:val="002963A9"/>
    <w:rsid w:val="002967B8"/>
    <w:rsid w:val="00296D59"/>
    <w:rsid w:val="0029743C"/>
    <w:rsid w:val="00297812"/>
    <w:rsid w:val="002A01E9"/>
    <w:rsid w:val="002A0E9F"/>
    <w:rsid w:val="002A0EB4"/>
    <w:rsid w:val="002A146B"/>
    <w:rsid w:val="002A18B3"/>
    <w:rsid w:val="002A1932"/>
    <w:rsid w:val="002A2F5E"/>
    <w:rsid w:val="002A3794"/>
    <w:rsid w:val="002A3CEC"/>
    <w:rsid w:val="002A4491"/>
    <w:rsid w:val="002A45FB"/>
    <w:rsid w:val="002A4926"/>
    <w:rsid w:val="002A5A82"/>
    <w:rsid w:val="002A62C8"/>
    <w:rsid w:val="002A6B5B"/>
    <w:rsid w:val="002A6E10"/>
    <w:rsid w:val="002A73BF"/>
    <w:rsid w:val="002A761F"/>
    <w:rsid w:val="002B0649"/>
    <w:rsid w:val="002B122B"/>
    <w:rsid w:val="002B1637"/>
    <w:rsid w:val="002B1F3F"/>
    <w:rsid w:val="002B1F71"/>
    <w:rsid w:val="002B2524"/>
    <w:rsid w:val="002B27C1"/>
    <w:rsid w:val="002B289B"/>
    <w:rsid w:val="002B2B20"/>
    <w:rsid w:val="002B2B7E"/>
    <w:rsid w:val="002B3079"/>
    <w:rsid w:val="002B355E"/>
    <w:rsid w:val="002B3FD5"/>
    <w:rsid w:val="002B400F"/>
    <w:rsid w:val="002B43E7"/>
    <w:rsid w:val="002B4644"/>
    <w:rsid w:val="002B4CC3"/>
    <w:rsid w:val="002B4FD5"/>
    <w:rsid w:val="002B511A"/>
    <w:rsid w:val="002B515A"/>
    <w:rsid w:val="002B5528"/>
    <w:rsid w:val="002B5D13"/>
    <w:rsid w:val="002B64E2"/>
    <w:rsid w:val="002B6589"/>
    <w:rsid w:val="002B68A6"/>
    <w:rsid w:val="002B6A02"/>
    <w:rsid w:val="002B6EA3"/>
    <w:rsid w:val="002B7049"/>
    <w:rsid w:val="002C1350"/>
    <w:rsid w:val="002C1D70"/>
    <w:rsid w:val="002C1E88"/>
    <w:rsid w:val="002C29C6"/>
    <w:rsid w:val="002C348D"/>
    <w:rsid w:val="002C3902"/>
    <w:rsid w:val="002C3EBC"/>
    <w:rsid w:val="002C4744"/>
    <w:rsid w:val="002C4876"/>
    <w:rsid w:val="002C491C"/>
    <w:rsid w:val="002C4B00"/>
    <w:rsid w:val="002C5396"/>
    <w:rsid w:val="002C5830"/>
    <w:rsid w:val="002C5AD7"/>
    <w:rsid w:val="002C5ED7"/>
    <w:rsid w:val="002C6414"/>
    <w:rsid w:val="002C6BB1"/>
    <w:rsid w:val="002C707E"/>
    <w:rsid w:val="002C716F"/>
    <w:rsid w:val="002C770D"/>
    <w:rsid w:val="002C78FF"/>
    <w:rsid w:val="002C7954"/>
    <w:rsid w:val="002C7E58"/>
    <w:rsid w:val="002C7E78"/>
    <w:rsid w:val="002D0794"/>
    <w:rsid w:val="002D095D"/>
    <w:rsid w:val="002D0C55"/>
    <w:rsid w:val="002D156E"/>
    <w:rsid w:val="002D15EA"/>
    <w:rsid w:val="002D1884"/>
    <w:rsid w:val="002D18B7"/>
    <w:rsid w:val="002D1AAA"/>
    <w:rsid w:val="002D1C40"/>
    <w:rsid w:val="002D20AB"/>
    <w:rsid w:val="002D28FF"/>
    <w:rsid w:val="002D2C6C"/>
    <w:rsid w:val="002D3388"/>
    <w:rsid w:val="002D3630"/>
    <w:rsid w:val="002D416F"/>
    <w:rsid w:val="002D4369"/>
    <w:rsid w:val="002D4829"/>
    <w:rsid w:val="002D4F36"/>
    <w:rsid w:val="002D57F1"/>
    <w:rsid w:val="002D5C93"/>
    <w:rsid w:val="002D6725"/>
    <w:rsid w:val="002E0258"/>
    <w:rsid w:val="002E0A5B"/>
    <w:rsid w:val="002E0E88"/>
    <w:rsid w:val="002E1088"/>
    <w:rsid w:val="002E1345"/>
    <w:rsid w:val="002E1780"/>
    <w:rsid w:val="002E1BA8"/>
    <w:rsid w:val="002E1C5D"/>
    <w:rsid w:val="002E1E49"/>
    <w:rsid w:val="002E1ECC"/>
    <w:rsid w:val="002E202B"/>
    <w:rsid w:val="002E34B8"/>
    <w:rsid w:val="002E37EC"/>
    <w:rsid w:val="002E3CE7"/>
    <w:rsid w:val="002E40FC"/>
    <w:rsid w:val="002E4240"/>
    <w:rsid w:val="002E42F6"/>
    <w:rsid w:val="002E44BD"/>
    <w:rsid w:val="002E46A3"/>
    <w:rsid w:val="002E4F98"/>
    <w:rsid w:val="002E50F6"/>
    <w:rsid w:val="002E58D6"/>
    <w:rsid w:val="002E5ADE"/>
    <w:rsid w:val="002E5B30"/>
    <w:rsid w:val="002E663E"/>
    <w:rsid w:val="002E7409"/>
    <w:rsid w:val="002E7695"/>
    <w:rsid w:val="002F00A5"/>
    <w:rsid w:val="002F028E"/>
    <w:rsid w:val="002F050D"/>
    <w:rsid w:val="002F0559"/>
    <w:rsid w:val="002F0D6F"/>
    <w:rsid w:val="002F0E22"/>
    <w:rsid w:val="002F0FA0"/>
    <w:rsid w:val="002F1992"/>
    <w:rsid w:val="002F1BA1"/>
    <w:rsid w:val="002F1EC3"/>
    <w:rsid w:val="002F20F6"/>
    <w:rsid w:val="002F218F"/>
    <w:rsid w:val="002F21E1"/>
    <w:rsid w:val="002F3067"/>
    <w:rsid w:val="002F32B0"/>
    <w:rsid w:val="002F3857"/>
    <w:rsid w:val="002F3892"/>
    <w:rsid w:val="002F47BC"/>
    <w:rsid w:val="002F4A94"/>
    <w:rsid w:val="002F59E7"/>
    <w:rsid w:val="002F5F26"/>
    <w:rsid w:val="002F6068"/>
    <w:rsid w:val="002F6441"/>
    <w:rsid w:val="002F65B6"/>
    <w:rsid w:val="002F65FD"/>
    <w:rsid w:val="002F6B38"/>
    <w:rsid w:val="00300266"/>
    <w:rsid w:val="003003E7"/>
    <w:rsid w:val="00300785"/>
    <w:rsid w:val="00300D8B"/>
    <w:rsid w:val="00300DCD"/>
    <w:rsid w:val="0030141A"/>
    <w:rsid w:val="00302166"/>
    <w:rsid w:val="00303130"/>
    <w:rsid w:val="0030361E"/>
    <w:rsid w:val="00304D14"/>
    <w:rsid w:val="0030506B"/>
    <w:rsid w:val="003056FF"/>
    <w:rsid w:val="00305712"/>
    <w:rsid w:val="003057B1"/>
    <w:rsid w:val="00305C1D"/>
    <w:rsid w:val="00306057"/>
    <w:rsid w:val="003062F2"/>
    <w:rsid w:val="00306D69"/>
    <w:rsid w:val="003079E3"/>
    <w:rsid w:val="00310DD0"/>
    <w:rsid w:val="00311149"/>
    <w:rsid w:val="003115B8"/>
    <w:rsid w:val="00311635"/>
    <w:rsid w:val="0031250F"/>
    <w:rsid w:val="003128DB"/>
    <w:rsid w:val="0031316D"/>
    <w:rsid w:val="00314D16"/>
    <w:rsid w:val="00315253"/>
    <w:rsid w:val="003154C5"/>
    <w:rsid w:val="00315590"/>
    <w:rsid w:val="003155BD"/>
    <w:rsid w:val="0031690D"/>
    <w:rsid w:val="00316B30"/>
    <w:rsid w:val="0031719C"/>
    <w:rsid w:val="0031747E"/>
    <w:rsid w:val="00317837"/>
    <w:rsid w:val="00320202"/>
    <w:rsid w:val="00320BF3"/>
    <w:rsid w:val="00321077"/>
    <w:rsid w:val="00321254"/>
    <w:rsid w:val="0032142D"/>
    <w:rsid w:val="00322403"/>
    <w:rsid w:val="00322600"/>
    <w:rsid w:val="00322FF4"/>
    <w:rsid w:val="003235BD"/>
    <w:rsid w:val="00323BC6"/>
    <w:rsid w:val="003242A4"/>
    <w:rsid w:val="00324370"/>
    <w:rsid w:val="003254BC"/>
    <w:rsid w:val="00325524"/>
    <w:rsid w:val="00325D1A"/>
    <w:rsid w:val="00325F66"/>
    <w:rsid w:val="00326018"/>
    <w:rsid w:val="00326873"/>
    <w:rsid w:val="00326CD9"/>
    <w:rsid w:val="00327151"/>
    <w:rsid w:val="003271F3"/>
    <w:rsid w:val="003272B0"/>
    <w:rsid w:val="003275FE"/>
    <w:rsid w:val="003277D5"/>
    <w:rsid w:val="00330963"/>
    <w:rsid w:val="003314B7"/>
    <w:rsid w:val="00331725"/>
    <w:rsid w:val="00331BE2"/>
    <w:rsid w:val="00331C00"/>
    <w:rsid w:val="00331E97"/>
    <w:rsid w:val="003330E3"/>
    <w:rsid w:val="00333418"/>
    <w:rsid w:val="00334095"/>
    <w:rsid w:val="00334272"/>
    <w:rsid w:val="00334FFF"/>
    <w:rsid w:val="00335387"/>
    <w:rsid w:val="00335985"/>
    <w:rsid w:val="00335AD1"/>
    <w:rsid w:val="0033607A"/>
    <w:rsid w:val="00336BA0"/>
    <w:rsid w:val="00337214"/>
    <w:rsid w:val="0033741E"/>
    <w:rsid w:val="00337917"/>
    <w:rsid w:val="00337ABD"/>
    <w:rsid w:val="00337D16"/>
    <w:rsid w:val="00337E79"/>
    <w:rsid w:val="003401A1"/>
    <w:rsid w:val="00340897"/>
    <w:rsid w:val="0034123C"/>
    <w:rsid w:val="00341779"/>
    <w:rsid w:val="00341F8A"/>
    <w:rsid w:val="003422BF"/>
    <w:rsid w:val="00342F93"/>
    <w:rsid w:val="00342FC9"/>
    <w:rsid w:val="00343263"/>
    <w:rsid w:val="003438EF"/>
    <w:rsid w:val="00343962"/>
    <w:rsid w:val="00343DA1"/>
    <w:rsid w:val="0034436C"/>
    <w:rsid w:val="003444AC"/>
    <w:rsid w:val="00344BB0"/>
    <w:rsid w:val="00344D4F"/>
    <w:rsid w:val="00346428"/>
    <w:rsid w:val="003468BA"/>
    <w:rsid w:val="00346BED"/>
    <w:rsid w:val="003470AB"/>
    <w:rsid w:val="00347133"/>
    <w:rsid w:val="00347CCD"/>
    <w:rsid w:val="00351206"/>
    <w:rsid w:val="00351383"/>
    <w:rsid w:val="003514AF"/>
    <w:rsid w:val="0035178A"/>
    <w:rsid w:val="00351D61"/>
    <w:rsid w:val="0035210A"/>
    <w:rsid w:val="00352B63"/>
    <w:rsid w:val="00352DA4"/>
    <w:rsid w:val="0035403D"/>
    <w:rsid w:val="0035492D"/>
    <w:rsid w:val="00354D1B"/>
    <w:rsid w:val="00354FD6"/>
    <w:rsid w:val="0035631F"/>
    <w:rsid w:val="0035657C"/>
    <w:rsid w:val="0035679F"/>
    <w:rsid w:val="00356A8C"/>
    <w:rsid w:val="00356FC1"/>
    <w:rsid w:val="00357274"/>
    <w:rsid w:val="00357650"/>
    <w:rsid w:val="0036016D"/>
    <w:rsid w:val="00360C4A"/>
    <w:rsid w:val="00360E91"/>
    <w:rsid w:val="0036137A"/>
    <w:rsid w:val="00361F93"/>
    <w:rsid w:val="00362019"/>
    <w:rsid w:val="003622C1"/>
    <w:rsid w:val="003625A9"/>
    <w:rsid w:val="00362A74"/>
    <w:rsid w:val="00362D75"/>
    <w:rsid w:val="003630A9"/>
    <w:rsid w:val="00363625"/>
    <w:rsid w:val="003640C8"/>
    <w:rsid w:val="00364197"/>
    <w:rsid w:val="00364352"/>
    <w:rsid w:val="00364448"/>
    <w:rsid w:val="00364521"/>
    <w:rsid w:val="0036509B"/>
    <w:rsid w:val="00365394"/>
    <w:rsid w:val="00365549"/>
    <w:rsid w:val="003667FA"/>
    <w:rsid w:val="00366A7B"/>
    <w:rsid w:val="003679D3"/>
    <w:rsid w:val="0037225F"/>
    <w:rsid w:val="00372685"/>
    <w:rsid w:val="00372831"/>
    <w:rsid w:val="00372AA0"/>
    <w:rsid w:val="0037331F"/>
    <w:rsid w:val="0037347B"/>
    <w:rsid w:val="003736C4"/>
    <w:rsid w:val="00373D8A"/>
    <w:rsid w:val="00373E36"/>
    <w:rsid w:val="00374512"/>
    <w:rsid w:val="00374E49"/>
    <w:rsid w:val="00375132"/>
    <w:rsid w:val="00375ADA"/>
    <w:rsid w:val="00375CD4"/>
    <w:rsid w:val="00376952"/>
    <w:rsid w:val="00376A53"/>
    <w:rsid w:val="00376AB6"/>
    <w:rsid w:val="003775E6"/>
    <w:rsid w:val="003806ED"/>
    <w:rsid w:val="00380F56"/>
    <w:rsid w:val="0038104C"/>
    <w:rsid w:val="0038104D"/>
    <w:rsid w:val="00381800"/>
    <w:rsid w:val="00381B1D"/>
    <w:rsid w:val="00381C58"/>
    <w:rsid w:val="00382562"/>
    <w:rsid w:val="00382C4C"/>
    <w:rsid w:val="00382E2E"/>
    <w:rsid w:val="003836BA"/>
    <w:rsid w:val="00383ADD"/>
    <w:rsid w:val="00383C31"/>
    <w:rsid w:val="00383EE4"/>
    <w:rsid w:val="00384395"/>
    <w:rsid w:val="00384CE4"/>
    <w:rsid w:val="003856EA"/>
    <w:rsid w:val="00385CA1"/>
    <w:rsid w:val="00386493"/>
    <w:rsid w:val="00386C49"/>
    <w:rsid w:val="00387172"/>
    <w:rsid w:val="00387E61"/>
    <w:rsid w:val="003901A2"/>
    <w:rsid w:val="00390BFA"/>
    <w:rsid w:val="00390CF0"/>
    <w:rsid w:val="00391601"/>
    <w:rsid w:val="00391F98"/>
    <w:rsid w:val="0039269B"/>
    <w:rsid w:val="00392E8A"/>
    <w:rsid w:val="00392FAC"/>
    <w:rsid w:val="00393AA0"/>
    <w:rsid w:val="003943BC"/>
    <w:rsid w:val="003944E3"/>
    <w:rsid w:val="003945CF"/>
    <w:rsid w:val="003947EB"/>
    <w:rsid w:val="00394AD1"/>
    <w:rsid w:val="00395290"/>
    <w:rsid w:val="00395C11"/>
    <w:rsid w:val="003966DF"/>
    <w:rsid w:val="003979B5"/>
    <w:rsid w:val="003A03E2"/>
    <w:rsid w:val="003A04A6"/>
    <w:rsid w:val="003A0595"/>
    <w:rsid w:val="003A0BC5"/>
    <w:rsid w:val="003A0D3A"/>
    <w:rsid w:val="003A14E3"/>
    <w:rsid w:val="003A15D0"/>
    <w:rsid w:val="003A15E6"/>
    <w:rsid w:val="003A1928"/>
    <w:rsid w:val="003A2163"/>
    <w:rsid w:val="003A2D39"/>
    <w:rsid w:val="003A2D9C"/>
    <w:rsid w:val="003A3779"/>
    <w:rsid w:val="003A43CD"/>
    <w:rsid w:val="003A4B30"/>
    <w:rsid w:val="003A4FBB"/>
    <w:rsid w:val="003A5B66"/>
    <w:rsid w:val="003A6B69"/>
    <w:rsid w:val="003A7A74"/>
    <w:rsid w:val="003A7AF5"/>
    <w:rsid w:val="003A7D13"/>
    <w:rsid w:val="003B01E2"/>
    <w:rsid w:val="003B0924"/>
    <w:rsid w:val="003B0989"/>
    <w:rsid w:val="003B145F"/>
    <w:rsid w:val="003B170B"/>
    <w:rsid w:val="003B20F8"/>
    <w:rsid w:val="003B21AA"/>
    <w:rsid w:val="003B245C"/>
    <w:rsid w:val="003B32FB"/>
    <w:rsid w:val="003B3472"/>
    <w:rsid w:val="003B399B"/>
    <w:rsid w:val="003B4067"/>
    <w:rsid w:val="003B4237"/>
    <w:rsid w:val="003B4B42"/>
    <w:rsid w:val="003B586E"/>
    <w:rsid w:val="003B6114"/>
    <w:rsid w:val="003B61A3"/>
    <w:rsid w:val="003B6B7A"/>
    <w:rsid w:val="003B7669"/>
    <w:rsid w:val="003B76A4"/>
    <w:rsid w:val="003B7809"/>
    <w:rsid w:val="003B78D0"/>
    <w:rsid w:val="003B7ACE"/>
    <w:rsid w:val="003C0051"/>
    <w:rsid w:val="003C03AA"/>
    <w:rsid w:val="003C041B"/>
    <w:rsid w:val="003C1140"/>
    <w:rsid w:val="003C1335"/>
    <w:rsid w:val="003C1C6B"/>
    <w:rsid w:val="003C2689"/>
    <w:rsid w:val="003C2B07"/>
    <w:rsid w:val="003C2B23"/>
    <w:rsid w:val="003C373C"/>
    <w:rsid w:val="003C445F"/>
    <w:rsid w:val="003C5740"/>
    <w:rsid w:val="003C5AB9"/>
    <w:rsid w:val="003C5B16"/>
    <w:rsid w:val="003C5C8C"/>
    <w:rsid w:val="003C5D72"/>
    <w:rsid w:val="003C5DD3"/>
    <w:rsid w:val="003C5E3E"/>
    <w:rsid w:val="003C5EC4"/>
    <w:rsid w:val="003C62E0"/>
    <w:rsid w:val="003C669A"/>
    <w:rsid w:val="003C70ED"/>
    <w:rsid w:val="003D04BA"/>
    <w:rsid w:val="003D0A33"/>
    <w:rsid w:val="003D0E86"/>
    <w:rsid w:val="003D1258"/>
    <w:rsid w:val="003D1270"/>
    <w:rsid w:val="003D1952"/>
    <w:rsid w:val="003D19CB"/>
    <w:rsid w:val="003D1B0F"/>
    <w:rsid w:val="003D1E43"/>
    <w:rsid w:val="003D1F36"/>
    <w:rsid w:val="003D1F83"/>
    <w:rsid w:val="003D279D"/>
    <w:rsid w:val="003D3CA4"/>
    <w:rsid w:val="003D454E"/>
    <w:rsid w:val="003D4E08"/>
    <w:rsid w:val="003D4F1C"/>
    <w:rsid w:val="003D5002"/>
    <w:rsid w:val="003D5626"/>
    <w:rsid w:val="003D65A2"/>
    <w:rsid w:val="003E14B1"/>
    <w:rsid w:val="003E1799"/>
    <w:rsid w:val="003E2475"/>
    <w:rsid w:val="003E24A6"/>
    <w:rsid w:val="003E2659"/>
    <w:rsid w:val="003E2F17"/>
    <w:rsid w:val="003E32BB"/>
    <w:rsid w:val="003E3F5D"/>
    <w:rsid w:val="003E4062"/>
    <w:rsid w:val="003E5248"/>
    <w:rsid w:val="003E5367"/>
    <w:rsid w:val="003E57C6"/>
    <w:rsid w:val="003E5864"/>
    <w:rsid w:val="003E59EF"/>
    <w:rsid w:val="003E5C43"/>
    <w:rsid w:val="003E60D2"/>
    <w:rsid w:val="003E64AF"/>
    <w:rsid w:val="003E6BBC"/>
    <w:rsid w:val="003E7CDC"/>
    <w:rsid w:val="003E7DDF"/>
    <w:rsid w:val="003F0095"/>
    <w:rsid w:val="003F03D7"/>
    <w:rsid w:val="003F03F4"/>
    <w:rsid w:val="003F0652"/>
    <w:rsid w:val="003F0CAD"/>
    <w:rsid w:val="003F0D0F"/>
    <w:rsid w:val="003F0F0A"/>
    <w:rsid w:val="003F10F1"/>
    <w:rsid w:val="003F1372"/>
    <w:rsid w:val="003F1489"/>
    <w:rsid w:val="003F1D41"/>
    <w:rsid w:val="003F23E9"/>
    <w:rsid w:val="003F29B4"/>
    <w:rsid w:val="003F33FB"/>
    <w:rsid w:val="003F35B3"/>
    <w:rsid w:val="003F38F7"/>
    <w:rsid w:val="003F4E00"/>
    <w:rsid w:val="003F53C1"/>
    <w:rsid w:val="003F596D"/>
    <w:rsid w:val="003F6A7B"/>
    <w:rsid w:val="003F6E63"/>
    <w:rsid w:val="003F7295"/>
    <w:rsid w:val="003F74D1"/>
    <w:rsid w:val="003F7685"/>
    <w:rsid w:val="003F7CF4"/>
    <w:rsid w:val="0040015D"/>
    <w:rsid w:val="0040020B"/>
    <w:rsid w:val="00400CF4"/>
    <w:rsid w:val="00401F1E"/>
    <w:rsid w:val="00402087"/>
    <w:rsid w:val="00402914"/>
    <w:rsid w:val="004029C2"/>
    <w:rsid w:val="00402C04"/>
    <w:rsid w:val="004030AB"/>
    <w:rsid w:val="00403409"/>
    <w:rsid w:val="00403801"/>
    <w:rsid w:val="00404547"/>
    <w:rsid w:val="00404C3C"/>
    <w:rsid w:val="00404CD0"/>
    <w:rsid w:val="00405120"/>
    <w:rsid w:val="00405746"/>
    <w:rsid w:val="00405DDB"/>
    <w:rsid w:val="004066C1"/>
    <w:rsid w:val="00406B07"/>
    <w:rsid w:val="00407711"/>
    <w:rsid w:val="0040794A"/>
    <w:rsid w:val="00407A56"/>
    <w:rsid w:val="00407B1B"/>
    <w:rsid w:val="00407CA1"/>
    <w:rsid w:val="00407F25"/>
    <w:rsid w:val="00410412"/>
    <w:rsid w:val="00410447"/>
    <w:rsid w:val="00410AF2"/>
    <w:rsid w:val="00410F7B"/>
    <w:rsid w:val="00411084"/>
    <w:rsid w:val="00411611"/>
    <w:rsid w:val="0041190C"/>
    <w:rsid w:val="004119D6"/>
    <w:rsid w:val="00411A78"/>
    <w:rsid w:val="00411FED"/>
    <w:rsid w:val="0041202E"/>
    <w:rsid w:val="004120A5"/>
    <w:rsid w:val="004121C0"/>
    <w:rsid w:val="004122DC"/>
    <w:rsid w:val="00412451"/>
    <w:rsid w:val="00412532"/>
    <w:rsid w:val="004128A6"/>
    <w:rsid w:val="00412E24"/>
    <w:rsid w:val="0041351F"/>
    <w:rsid w:val="00413AF0"/>
    <w:rsid w:val="00413B8D"/>
    <w:rsid w:val="00413FB3"/>
    <w:rsid w:val="004173B3"/>
    <w:rsid w:val="00417E67"/>
    <w:rsid w:val="00420122"/>
    <w:rsid w:val="00420316"/>
    <w:rsid w:val="004216B5"/>
    <w:rsid w:val="004216C3"/>
    <w:rsid w:val="00421946"/>
    <w:rsid w:val="00421F33"/>
    <w:rsid w:val="00422096"/>
    <w:rsid w:val="004222DD"/>
    <w:rsid w:val="0042263D"/>
    <w:rsid w:val="00422A4C"/>
    <w:rsid w:val="00422B9A"/>
    <w:rsid w:val="00423FD6"/>
    <w:rsid w:val="004245B0"/>
    <w:rsid w:val="00424B63"/>
    <w:rsid w:val="004250A3"/>
    <w:rsid w:val="00425A13"/>
    <w:rsid w:val="00425BF1"/>
    <w:rsid w:val="00425CD6"/>
    <w:rsid w:val="00426601"/>
    <w:rsid w:val="00426938"/>
    <w:rsid w:val="00426CB3"/>
    <w:rsid w:val="00426FE4"/>
    <w:rsid w:val="00427153"/>
    <w:rsid w:val="00427D7F"/>
    <w:rsid w:val="00430601"/>
    <w:rsid w:val="004307A8"/>
    <w:rsid w:val="00430F16"/>
    <w:rsid w:val="00431FAE"/>
    <w:rsid w:val="004321A4"/>
    <w:rsid w:val="004324A9"/>
    <w:rsid w:val="00433030"/>
    <w:rsid w:val="00433747"/>
    <w:rsid w:val="00433ECF"/>
    <w:rsid w:val="00435248"/>
    <w:rsid w:val="00435CF5"/>
    <w:rsid w:val="00435F93"/>
    <w:rsid w:val="004360AB"/>
    <w:rsid w:val="00436487"/>
    <w:rsid w:val="00437071"/>
    <w:rsid w:val="00437792"/>
    <w:rsid w:val="00440055"/>
    <w:rsid w:val="00440130"/>
    <w:rsid w:val="004408C0"/>
    <w:rsid w:val="004416FF"/>
    <w:rsid w:val="00441A54"/>
    <w:rsid w:val="004436EF"/>
    <w:rsid w:val="0044389D"/>
    <w:rsid w:val="004438BC"/>
    <w:rsid w:val="004438F1"/>
    <w:rsid w:val="00443927"/>
    <w:rsid w:val="004439EA"/>
    <w:rsid w:val="00443BC4"/>
    <w:rsid w:val="00443FDE"/>
    <w:rsid w:val="00444EA3"/>
    <w:rsid w:val="00445303"/>
    <w:rsid w:val="004455B4"/>
    <w:rsid w:val="00445AA6"/>
    <w:rsid w:val="00445B61"/>
    <w:rsid w:val="00445C3D"/>
    <w:rsid w:val="004466CE"/>
    <w:rsid w:val="004469C7"/>
    <w:rsid w:val="00447534"/>
    <w:rsid w:val="004475EE"/>
    <w:rsid w:val="00447E58"/>
    <w:rsid w:val="00447FAA"/>
    <w:rsid w:val="00451280"/>
    <w:rsid w:val="00451CBD"/>
    <w:rsid w:val="00452726"/>
    <w:rsid w:val="00452B6E"/>
    <w:rsid w:val="00453A0E"/>
    <w:rsid w:val="00453FF8"/>
    <w:rsid w:val="0045510C"/>
    <w:rsid w:val="004554F4"/>
    <w:rsid w:val="00455CAA"/>
    <w:rsid w:val="00455D06"/>
    <w:rsid w:val="0045621B"/>
    <w:rsid w:val="00456445"/>
    <w:rsid w:val="00456924"/>
    <w:rsid w:val="00456D98"/>
    <w:rsid w:val="00456E01"/>
    <w:rsid w:val="00457FD8"/>
    <w:rsid w:val="0046000B"/>
    <w:rsid w:val="00460A7C"/>
    <w:rsid w:val="00460BC5"/>
    <w:rsid w:val="00460F02"/>
    <w:rsid w:val="00461035"/>
    <w:rsid w:val="00461070"/>
    <w:rsid w:val="00461407"/>
    <w:rsid w:val="00461A84"/>
    <w:rsid w:val="0046206E"/>
    <w:rsid w:val="00462288"/>
    <w:rsid w:val="0046345F"/>
    <w:rsid w:val="004634F6"/>
    <w:rsid w:val="004635E6"/>
    <w:rsid w:val="0046381C"/>
    <w:rsid w:val="00463FA0"/>
    <w:rsid w:val="00464071"/>
    <w:rsid w:val="00464128"/>
    <w:rsid w:val="00464311"/>
    <w:rsid w:val="004651B8"/>
    <w:rsid w:val="004651E2"/>
    <w:rsid w:val="004657D2"/>
    <w:rsid w:val="00465A56"/>
    <w:rsid w:val="00465CC6"/>
    <w:rsid w:val="00466857"/>
    <w:rsid w:val="00467A3C"/>
    <w:rsid w:val="0047097C"/>
    <w:rsid w:val="0047108B"/>
    <w:rsid w:val="0047181E"/>
    <w:rsid w:val="00472058"/>
    <w:rsid w:val="004733CC"/>
    <w:rsid w:val="00473A8E"/>
    <w:rsid w:val="00473DF0"/>
    <w:rsid w:val="0047400C"/>
    <w:rsid w:val="004744D4"/>
    <w:rsid w:val="004745EA"/>
    <w:rsid w:val="00474A42"/>
    <w:rsid w:val="00475247"/>
    <w:rsid w:val="00475833"/>
    <w:rsid w:val="00475E1C"/>
    <w:rsid w:val="00476316"/>
    <w:rsid w:val="0047634A"/>
    <w:rsid w:val="0047654C"/>
    <w:rsid w:val="00476841"/>
    <w:rsid w:val="00476DFD"/>
    <w:rsid w:val="004772BF"/>
    <w:rsid w:val="00477EE7"/>
    <w:rsid w:val="00480964"/>
    <w:rsid w:val="004809EE"/>
    <w:rsid w:val="00482183"/>
    <w:rsid w:val="00482242"/>
    <w:rsid w:val="004822F6"/>
    <w:rsid w:val="0048270C"/>
    <w:rsid w:val="00482721"/>
    <w:rsid w:val="00482BD3"/>
    <w:rsid w:val="00483594"/>
    <w:rsid w:val="00486B1D"/>
    <w:rsid w:val="00486E55"/>
    <w:rsid w:val="0048704B"/>
    <w:rsid w:val="004875A8"/>
    <w:rsid w:val="00487A35"/>
    <w:rsid w:val="00487DCB"/>
    <w:rsid w:val="00490415"/>
    <w:rsid w:val="00490DE2"/>
    <w:rsid w:val="00490E5D"/>
    <w:rsid w:val="004926D7"/>
    <w:rsid w:val="00494DA4"/>
    <w:rsid w:val="00494E2F"/>
    <w:rsid w:val="00494F4B"/>
    <w:rsid w:val="00495226"/>
    <w:rsid w:val="00495A39"/>
    <w:rsid w:val="00496216"/>
    <w:rsid w:val="004966D3"/>
    <w:rsid w:val="004967FD"/>
    <w:rsid w:val="00496A76"/>
    <w:rsid w:val="004970FD"/>
    <w:rsid w:val="004975A9"/>
    <w:rsid w:val="00497DBC"/>
    <w:rsid w:val="00497F4A"/>
    <w:rsid w:val="004A0531"/>
    <w:rsid w:val="004A0711"/>
    <w:rsid w:val="004A0859"/>
    <w:rsid w:val="004A091B"/>
    <w:rsid w:val="004A17E9"/>
    <w:rsid w:val="004A1BCC"/>
    <w:rsid w:val="004A3A2E"/>
    <w:rsid w:val="004A3D09"/>
    <w:rsid w:val="004A4002"/>
    <w:rsid w:val="004A423F"/>
    <w:rsid w:val="004A4430"/>
    <w:rsid w:val="004A48A7"/>
    <w:rsid w:val="004A48CA"/>
    <w:rsid w:val="004A49D0"/>
    <w:rsid w:val="004A4E2B"/>
    <w:rsid w:val="004A565D"/>
    <w:rsid w:val="004A58F4"/>
    <w:rsid w:val="004A59BF"/>
    <w:rsid w:val="004A5A34"/>
    <w:rsid w:val="004A6843"/>
    <w:rsid w:val="004A6C0A"/>
    <w:rsid w:val="004A73E2"/>
    <w:rsid w:val="004A75BD"/>
    <w:rsid w:val="004A7A6B"/>
    <w:rsid w:val="004A7B74"/>
    <w:rsid w:val="004B06BE"/>
    <w:rsid w:val="004B0C87"/>
    <w:rsid w:val="004B0DC7"/>
    <w:rsid w:val="004B0F4A"/>
    <w:rsid w:val="004B17F1"/>
    <w:rsid w:val="004B2A0F"/>
    <w:rsid w:val="004B2C0E"/>
    <w:rsid w:val="004B3516"/>
    <w:rsid w:val="004B3FB9"/>
    <w:rsid w:val="004B4126"/>
    <w:rsid w:val="004B44E4"/>
    <w:rsid w:val="004B453C"/>
    <w:rsid w:val="004B51E7"/>
    <w:rsid w:val="004B55F7"/>
    <w:rsid w:val="004B5F8D"/>
    <w:rsid w:val="004B6160"/>
    <w:rsid w:val="004B649D"/>
    <w:rsid w:val="004C042D"/>
    <w:rsid w:val="004C0581"/>
    <w:rsid w:val="004C0641"/>
    <w:rsid w:val="004C091F"/>
    <w:rsid w:val="004C0B2E"/>
    <w:rsid w:val="004C1512"/>
    <w:rsid w:val="004C1BC3"/>
    <w:rsid w:val="004C2C59"/>
    <w:rsid w:val="004C2CAC"/>
    <w:rsid w:val="004C3091"/>
    <w:rsid w:val="004C3191"/>
    <w:rsid w:val="004C34AC"/>
    <w:rsid w:val="004C4947"/>
    <w:rsid w:val="004C4B1A"/>
    <w:rsid w:val="004C55C6"/>
    <w:rsid w:val="004C5C13"/>
    <w:rsid w:val="004C5EA6"/>
    <w:rsid w:val="004C6F96"/>
    <w:rsid w:val="004C787B"/>
    <w:rsid w:val="004C78A0"/>
    <w:rsid w:val="004C7E86"/>
    <w:rsid w:val="004C7EB5"/>
    <w:rsid w:val="004D005F"/>
    <w:rsid w:val="004D0656"/>
    <w:rsid w:val="004D067A"/>
    <w:rsid w:val="004D0CAF"/>
    <w:rsid w:val="004D0CF6"/>
    <w:rsid w:val="004D1695"/>
    <w:rsid w:val="004D1833"/>
    <w:rsid w:val="004D1B8D"/>
    <w:rsid w:val="004D250A"/>
    <w:rsid w:val="004D3894"/>
    <w:rsid w:val="004D3991"/>
    <w:rsid w:val="004D4AE5"/>
    <w:rsid w:val="004D4F30"/>
    <w:rsid w:val="004D59AF"/>
    <w:rsid w:val="004D5D6B"/>
    <w:rsid w:val="004D5E79"/>
    <w:rsid w:val="004D69D9"/>
    <w:rsid w:val="004D6F79"/>
    <w:rsid w:val="004D74E8"/>
    <w:rsid w:val="004D7515"/>
    <w:rsid w:val="004D77A3"/>
    <w:rsid w:val="004D7B01"/>
    <w:rsid w:val="004E004F"/>
    <w:rsid w:val="004E019D"/>
    <w:rsid w:val="004E0FD5"/>
    <w:rsid w:val="004E101A"/>
    <w:rsid w:val="004E1B58"/>
    <w:rsid w:val="004E1D11"/>
    <w:rsid w:val="004E1D95"/>
    <w:rsid w:val="004E2524"/>
    <w:rsid w:val="004E25A6"/>
    <w:rsid w:val="004E2721"/>
    <w:rsid w:val="004E2AB4"/>
    <w:rsid w:val="004E2E12"/>
    <w:rsid w:val="004E364C"/>
    <w:rsid w:val="004E4374"/>
    <w:rsid w:val="004E48CA"/>
    <w:rsid w:val="004E4A27"/>
    <w:rsid w:val="004E552A"/>
    <w:rsid w:val="004E5B29"/>
    <w:rsid w:val="004E64A6"/>
    <w:rsid w:val="004E7254"/>
    <w:rsid w:val="004E7304"/>
    <w:rsid w:val="004E75B6"/>
    <w:rsid w:val="004F0368"/>
    <w:rsid w:val="004F0472"/>
    <w:rsid w:val="004F086B"/>
    <w:rsid w:val="004F1328"/>
    <w:rsid w:val="004F218D"/>
    <w:rsid w:val="004F2594"/>
    <w:rsid w:val="004F28B7"/>
    <w:rsid w:val="004F3A45"/>
    <w:rsid w:val="004F3ABC"/>
    <w:rsid w:val="004F3CD1"/>
    <w:rsid w:val="004F3ECA"/>
    <w:rsid w:val="004F44D3"/>
    <w:rsid w:val="004F5115"/>
    <w:rsid w:val="004F5121"/>
    <w:rsid w:val="004F54DD"/>
    <w:rsid w:val="004F5D4D"/>
    <w:rsid w:val="004F5F6D"/>
    <w:rsid w:val="004F6034"/>
    <w:rsid w:val="004F6352"/>
    <w:rsid w:val="004F667E"/>
    <w:rsid w:val="004F683B"/>
    <w:rsid w:val="004F7DE5"/>
    <w:rsid w:val="00500AD8"/>
    <w:rsid w:val="00500F82"/>
    <w:rsid w:val="0050128B"/>
    <w:rsid w:val="00501420"/>
    <w:rsid w:val="00501615"/>
    <w:rsid w:val="0050165B"/>
    <w:rsid w:val="0050170F"/>
    <w:rsid w:val="00501C66"/>
    <w:rsid w:val="00502DA1"/>
    <w:rsid w:val="00502E5C"/>
    <w:rsid w:val="005034AA"/>
    <w:rsid w:val="00503B1A"/>
    <w:rsid w:val="0050438E"/>
    <w:rsid w:val="00504724"/>
    <w:rsid w:val="00504FAF"/>
    <w:rsid w:val="00505CDC"/>
    <w:rsid w:val="00505F60"/>
    <w:rsid w:val="00505F87"/>
    <w:rsid w:val="0050663F"/>
    <w:rsid w:val="00506913"/>
    <w:rsid w:val="0050794F"/>
    <w:rsid w:val="00507F5B"/>
    <w:rsid w:val="00510293"/>
    <w:rsid w:val="00511264"/>
    <w:rsid w:val="0051153B"/>
    <w:rsid w:val="0051211A"/>
    <w:rsid w:val="00512397"/>
    <w:rsid w:val="00513461"/>
    <w:rsid w:val="0051359A"/>
    <w:rsid w:val="0051369B"/>
    <w:rsid w:val="005136FE"/>
    <w:rsid w:val="0051380E"/>
    <w:rsid w:val="00513C08"/>
    <w:rsid w:val="00514A36"/>
    <w:rsid w:val="00514BE3"/>
    <w:rsid w:val="00514E64"/>
    <w:rsid w:val="00515A36"/>
    <w:rsid w:val="00515BBE"/>
    <w:rsid w:val="00515DC4"/>
    <w:rsid w:val="00517001"/>
    <w:rsid w:val="00517753"/>
    <w:rsid w:val="00517AFD"/>
    <w:rsid w:val="005201C9"/>
    <w:rsid w:val="0052058D"/>
    <w:rsid w:val="005205C1"/>
    <w:rsid w:val="005207A9"/>
    <w:rsid w:val="00520B20"/>
    <w:rsid w:val="00520CD4"/>
    <w:rsid w:val="005212E5"/>
    <w:rsid w:val="005212FE"/>
    <w:rsid w:val="0052133B"/>
    <w:rsid w:val="0052193F"/>
    <w:rsid w:val="00521E55"/>
    <w:rsid w:val="0052207D"/>
    <w:rsid w:val="00522AF9"/>
    <w:rsid w:val="00523434"/>
    <w:rsid w:val="00523A54"/>
    <w:rsid w:val="00523FBA"/>
    <w:rsid w:val="005240FE"/>
    <w:rsid w:val="00524648"/>
    <w:rsid w:val="00524893"/>
    <w:rsid w:val="005251BC"/>
    <w:rsid w:val="00526F1B"/>
    <w:rsid w:val="005272EA"/>
    <w:rsid w:val="00527403"/>
    <w:rsid w:val="0052775B"/>
    <w:rsid w:val="005278A8"/>
    <w:rsid w:val="005278BF"/>
    <w:rsid w:val="00530066"/>
    <w:rsid w:val="0053009C"/>
    <w:rsid w:val="00530977"/>
    <w:rsid w:val="00530981"/>
    <w:rsid w:val="005329CF"/>
    <w:rsid w:val="00533429"/>
    <w:rsid w:val="00533FFE"/>
    <w:rsid w:val="005345DB"/>
    <w:rsid w:val="00534679"/>
    <w:rsid w:val="0053498D"/>
    <w:rsid w:val="00534ABF"/>
    <w:rsid w:val="00534D4B"/>
    <w:rsid w:val="00534F2A"/>
    <w:rsid w:val="0053528D"/>
    <w:rsid w:val="005353C0"/>
    <w:rsid w:val="00535C47"/>
    <w:rsid w:val="00535DC8"/>
    <w:rsid w:val="005368F0"/>
    <w:rsid w:val="00536D6B"/>
    <w:rsid w:val="00536D7D"/>
    <w:rsid w:val="00537051"/>
    <w:rsid w:val="005373E7"/>
    <w:rsid w:val="005375EB"/>
    <w:rsid w:val="00540827"/>
    <w:rsid w:val="00540834"/>
    <w:rsid w:val="00541491"/>
    <w:rsid w:val="00541929"/>
    <w:rsid w:val="005429F8"/>
    <w:rsid w:val="00543011"/>
    <w:rsid w:val="00543142"/>
    <w:rsid w:val="005437DD"/>
    <w:rsid w:val="00543832"/>
    <w:rsid w:val="005438FD"/>
    <w:rsid w:val="0054608D"/>
    <w:rsid w:val="00546F78"/>
    <w:rsid w:val="005471F0"/>
    <w:rsid w:val="00547241"/>
    <w:rsid w:val="00547344"/>
    <w:rsid w:val="0054762F"/>
    <w:rsid w:val="00547B2B"/>
    <w:rsid w:val="00547C80"/>
    <w:rsid w:val="0055092C"/>
    <w:rsid w:val="00550B54"/>
    <w:rsid w:val="00550FA8"/>
    <w:rsid w:val="005516A9"/>
    <w:rsid w:val="00551C42"/>
    <w:rsid w:val="00551C74"/>
    <w:rsid w:val="00551F10"/>
    <w:rsid w:val="00552455"/>
    <w:rsid w:val="005538E9"/>
    <w:rsid w:val="00553906"/>
    <w:rsid w:val="0055419F"/>
    <w:rsid w:val="00554637"/>
    <w:rsid w:val="00554AD4"/>
    <w:rsid w:val="00554D31"/>
    <w:rsid w:val="005556F4"/>
    <w:rsid w:val="005563C5"/>
    <w:rsid w:val="00556830"/>
    <w:rsid w:val="00556CA4"/>
    <w:rsid w:val="0055720B"/>
    <w:rsid w:val="00557456"/>
    <w:rsid w:val="005576E3"/>
    <w:rsid w:val="00557A35"/>
    <w:rsid w:val="005602C0"/>
    <w:rsid w:val="005604C1"/>
    <w:rsid w:val="005604FC"/>
    <w:rsid w:val="00560B65"/>
    <w:rsid w:val="00560B8A"/>
    <w:rsid w:val="00560CEB"/>
    <w:rsid w:val="0056135E"/>
    <w:rsid w:val="00561F9C"/>
    <w:rsid w:val="005626E4"/>
    <w:rsid w:val="00562AAF"/>
    <w:rsid w:val="005636F0"/>
    <w:rsid w:val="00564762"/>
    <w:rsid w:val="00564804"/>
    <w:rsid w:val="00564B3C"/>
    <w:rsid w:val="00565347"/>
    <w:rsid w:val="00565A74"/>
    <w:rsid w:val="00565CB5"/>
    <w:rsid w:val="00565D61"/>
    <w:rsid w:val="00565D91"/>
    <w:rsid w:val="0056623E"/>
    <w:rsid w:val="00566D2A"/>
    <w:rsid w:val="00567087"/>
    <w:rsid w:val="00567737"/>
    <w:rsid w:val="00567E90"/>
    <w:rsid w:val="00570395"/>
    <w:rsid w:val="0057040D"/>
    <w:rsid w:val="00570909"/>
    <w:rsid w:val="00570CF5"/>
    <w:rsid w:val="00570DF3"/>
    <w:rsid w:val="00571A09"/>
    <w:rsid w:val="00571E1F"/>
    <w:rsid w:val="005723F9"/>
    <w:rsid w:val="00572B26"/>
    <w:rsid w:val="0057350E"/>
    <w:rsid w:val="00573573"/>
    <w:rsid w:val="005735B8"/>
    <w:rsid w:val="005737E8"/>
    <w:rsid w:val="005742BE"/>
    <w:rsid w:val="005742FB"/>
    <w:rsid w:val="005744AE"/>
    <w:rsid w:val="00574745"/>
    <w:rsid w:val="00574A6E"/>
    <w:rsid w:val="00574B9C"/>
    <w:rsid w:val="0057557E"/>
    <w:rsid w:val="0057607E"/>
    <w:rsid w:val="00576153"/>
    <w:rsid w:val="00576E72"/>
    <w:rsid w:val="00576EC0"/>
    <w:rsid w:val="00580802"/>
    <w:rsid w:val="00580EC1"/>
    <w:rsid w:val="00581504"/>
    <w:rsid w:val="00581890"/>
    <w:rsid w:val="00582DF6"/>
    <w:rsid w:val="005830FE"/>
    <w:rsid w:val="00583226"/>
    <w:rsid w:val="00583995"/>
    <w:rsid w:val="00583A30"/>
    <w:rsid w:val="00583B87"/>
    <w:rsid w:val="00583C2C"/>
    <w:rsid w:val="00583E1F"/>
    <w:rsid w:val="0058456A"/>
    <w:rsid w:val="00584725"/>
    <w:rsid w:val="00584FAB"/>
    <w:rsid w:val="0058585E"/>
    <w:rsid w:val="00585B80"/>
    <w:rsid w:val="00587075"/>
    <w:rsid w:val="005870F9"/>
    <w:rsid w:val="005875A1"/>
    <w:rsid w:val="0059045A"/>
    <w:rsid w:val="00590B00"/>
    <w:rsid w:val="00590D4C"/>
    <w:rsid w:val="00590D88"/>
    <w:rsid w:val="00590DF2"/>
    <w:rsid w:val="00591359"/>
    <w:rsid w:val="00591386"/>
    <w:rsid w:val="00591E9E"/>
    <w:rsid w:val="0059325C"/>
    <w:rsid w:val="00593807"/>
    <w:rsid w:val="00593AB3"/>
    <w:rsid w:val="00593BB2"/>
    <w:rsid w:val="00593C7E"/>
    <w:rsid w:val="00593F2F"/>
    <w:rsid w:val="005942C3"/>
    <w:rsid w:val="005947AD"/>
    <w:rsid w:val="00594B98"/>
    <w:rsid w:val="00595BF8"/>
    <w:rsid w:val="00596367"/>
    <w:rsid w:val="00596876"/>
    <w:rsid w:val="00596AFB"/>
    <w:rsid w:val="00596BD9"/>
    <w:rsid w:val="00597025"/>
    <w:rsid w:val="00597477"/>
    <w:rsid w:val="0059766A"/>
    <w:rsid w:val="00597849"/>
    <w:rsid w:val="00597983"/>
    <w:rsid w:val="005A0A37"/>
    <w:rsid w:val="005A121F"/>
    <w:rsid w:val="005A1CCD"/>
    <w:rsid w:val="005A20D3"/>
    <w:rsid w:val="005A22D8"/>
    <w:rsid w:val="005A2EF2"/>
    <w:rsid w:val="005A2F23"/>
    <w:rsid w:val="005A2FA7"/>
    <w:rsid w:val="005A301C"/>
    <w:rsid w:val="005A38E0"/>
    <w:rsid w:val="005A3B3F"/>
    <w:rsid w:val="005A3C42"/>
    <w:rsid w:val="005A3F5C"/>
    <w:rsid w:val="005A47EE"/>
    <w:rsid w:val="005A5511"/>
    <w:rsid w:val="005A5637"/>
    <w:rsid w:val="005A59B9"/>
    <w:rsid w:val="005A6925"/>
    <w:rsid w:val="005A6D21"/>
    <w:rsid w:val="005A7300"/>
    <w:rsid w:val="005B0D51"/>
    <w:rsid w:val="005B0F0E"/>
    <w:rsid w:val="005B3013"/>
    <w:rsid w:val="005B34EC"/>
    <w:rsid w:val="005B3B4E"/>
    <w:rsid w:val="005B3D67"/>
    <w:rsid w:val="005B3E09"/>
    <w:rsid w:val="005B3EEE"/>
    <w:rsid w:val="005B4337"/>
    <w:rsid w:val="005B434D"/>
    <w:rsid w:val="005B45A7"/>
    <w:rsid w:val="005B4B18"/>
    <w:rsid w:val="005B516B"/>
    <w:rsid w:val="005B5A12"/>
    <w:rsid w:val="005B5BCF"/>
    <w:rsid w:val="005B6977"/>
    <w:rsid w:val="005B6C26"/>
    <w:rsid w:val="005B6D48"/>
    <w:rsid w:val="005B7B6C"/>
    <w:rsid w:val="005C009D"/>
    <w:rsid w:val="005C0A07"/>
    <w:rsid w:val="005C0A7E"/>
    <w:rsid w:val="005C1108"/>
    <w:rsid w:val="005C144A"/>
    <w:rsid w:val="005C1BBE"/>
    <w:rsid w:val="005C2977"/>
    <w:rsid w:val="005C36BC"/>
    <w:rsid w:val="005C3C38"/>
    <w:rsid w:val="005C3C96"/>
    <w:rsid w:val="005C4113"/>
    <w:rsid w:val="005C463B"/>
    <w:rsid w:val="005C4861"/>
    <w:rsid w:val="005C5A2D"/>
    <w:rsid w:val="005C5F1E"/>
    <w:rsid w:val="005C639E"/>
    <w:rsid w:val="005C63BB"/>
    <w:rsid w:val="005C6842"/>
    <w:rsid w:val="005C6DC2"/>
    <w:rsid w:val="005C7213"/>
    <w:rsid w:val="005C779E"/>
    <w:rsid w:val="005C7954"/>
    <w:rsid w:val="005C7F39"/>
    <w:rsid w:val="005D016C"/>
    <w:rsid w:val="005D0283"/>
    <w:rsid w:val="005D0675"/>
    <w:rsid w:val="005D07A5"/>
    <w:rsid w:val="005D0EFE"/>
    <w:rsid w:val="005D10F4"/>
    <w:rsid w:val="005D1818"/>
    <w:rsid w:val="005D1A89"/>
    <w:rsid w:val="005D1CB3"/>
    <w:rsid w:val="005D2599"/>
    <w:rsid w:val="005D3224"/>
    <w:rsid w:val="005D3315"/>
    <w:rsid w:val="005D3B4B"/>
    <w:rsid w:val="005D3EC5"/>
    <w:rsid w:val="005D5843"/>
    <w:rsid w:val="005D5BDD"/>
    <w:rsid w:val="005D5CA3"/>
    <w:rsid w:val="005D5E84"/>
    <w:rsid w:val="005D628A"/>
    <w:rsid w:val="005D69C2"/>
    <w:rsid w:val="005D77C7"/>
    <w:rsid w:val="005D782A"/>
    <w:rsid w:val="005D7BBE"/>
    <w:rsid w:val="005E0153"/>
    <w:rsid w:val="005E01FD"/>
    <w:rsid w:val="005E0A08"/>
    <w:rsid w:val="005E0BE7"/>
    <w:rsid w:val="005E0DE3"/>
    <w:rsid w:val="005E11B2"/>
    <w:rsid w:val="005E14D8"/>
    <w:rsid w:val="005E187A"/>
    <w:rsid w:val="005E2ED4"/>
    <w:rsid w:val="005E316D"/>
    <w:rsid w:val="005E318F"/>
    <w:rsid w:val="005E3636"/>
    <w:rsid w:val="005E3E5D"/>
    <w:rsid w:val="005E4887"/>
    <w:rsid w:val="005E5978"/>
    <w:rsid w:val="005E59C3"/>
    <w:rsid w:val="005E5CA8"/>
    <w:rsid w:val="005E6BEF"/>
    <w:rsid w:val="005E748A"/>
    <w:rsid w:val="005E7FFA"/>
    <w:rsid w:val="005F03AA"/>
    <w:rsid w:val="005F0494"/>
    <w:rsid w:val="005F0596"/>
    <w:rsid w:val="005F06B9"/>
    <w:rsid w:val="005F0F22"/>
    <w:rsid w:val="005F1A2C"/>
    <w:rsid w:val="005F1BF5"/>
    <w:rsid w:val="005F1D41"/>
    <w:rsid w:val="005F25E3"/>
    <w:rsid w:val="005F2611"/>
    <w:rsid w:val="005F2D75"/>
    <w:rsid w:val="005F4527"/>
    <w:rsid w:val="005F5321"/>
    <w:rsid w:val="005F67F6"/>
    <w:rsid w:val="005F6E07"/>
    <w:rsid w:val="005F7643"/>
    <w:rsid w:val="00600235"/>
    <w:rsid w:val="0060048C"/>
    <w:rsid w:val="00601538"/>
    <w:rsid w:val="0060260E"/>
    <w:rsid w:val="00602CD3"/>
    <w:rsid w:val="00603D08"/>
    <w:rsid w:val="00604434"/>
    <w:rsid w:val="00605231"/>
    <w:rsid w:val="00605A6D"/>
    <w:rsid w:val="00606978"/>
    <w:rsid w:val="00606C77"/>
    <w:rsid w:val="00607494"/>
    <w:rsid w:val="00610AA5"/>
    <w:rsid w:val="00610C26"/>
    <w:rsid w:val="00611C44"/>
    <w:rsid w:val="00611C8C"/>
    <w:rsid w:val="006124D3"/>
    <w:rsid w:val="00612A91"/>
    <w:rsid w:val="006135B6"/>
    <w:rsid w:val="0061365B"/>
    <w:rsid w:val="00613AEE"/>
    <w:rsid w:val="00613BC3"/>
    <w:rsid w:val="0061419F"/>
    <w:rsid w:val="006141E7"/>
    <w:rsid w:val="00614E27"/>
    <w:rsid w:val="0061515C"/>
    <w:rsid w:val="00615428"/>
    <w:rsid w:val="00615744"/>
    <w:rsid w:val="00617024"/>
    <w:rsid w:val="0061776C"/>
    <w:rsid w:val="0061784A"/>
    <w:rsid w:val="0061787C"/>
    <w:rsid w:val="00617D34"/>
    <w:rsid w:val="00617D70"/>
    <w:rsid w:val="0062008C"/>
    <w:rsid w:val="006203D4"/>
    <w:rsid w:val="00620F5E"/>
    <w:rsid w:val="00621F95"/>
    <w:rsid w:val="006226AD"/>
    <w:rsid w:val="00623BD0"/>
    <w:rsid w:val="00623CE8"/>
    <w:rsid w:val="00623FD3"/>
    <w:rsid w:val="00624061"/>
    <w:rsid w:val="00624510"/>
    <w:rsid w:val="00625045"/>
    <w:rsid w:val="0062559B"/>
    <w:rsid w:val="006255C2"/>
    <w:rsid w:val="00625910"/>
    <w:rsid w:val="00625AE1"/>
    <w:rsid w:val="00625BEF"/>
    <w:rsid w:val="0062603F"/>
    <w:rsid w:val="00626274"/>
    <w:rsid w:val="00626464"/>
    <w:rsid w:val="00626838"/>
    <w:rsid w:val="00626A95"/>
    <w:rsid w:val="00626CDE"/>
    <w:rsid w:val="00626E06"/>
    <w:rsid w:val="00626EE7"/>
    <w:rsid w:val="0062744F"/>
    <w:rsid w:val="006276F0"/>
    <w:rsid w:val="00627726"/>
    <w:rsid w:val="00627B29"/>
    <w:rsid w:val="00627CA9"/>
    <w:rsid w:val="00627DAE"/>
    <w:rsid w:val="0063066A"/>
    <w:rsid w:val="0063088B"/>
    <w:rsid w:val="00630B8A"/>
    <w:rsid w:val="00630E98"/>
    <w:rsid w:val="006314E2"/>
    <w:rsid w:val="0063162A"/>
    <w:rsid w:val="00632002"/>
    <w:rsid w:val="00632356"/>
    <w:rsid w:val="00632D89"/>
    <w:rsid w:val="006336A8"/>
    <w:rsid w:val="00633B38"/>
    <w:rsid w:val="00634306"/>
    <w:rsid w:val="00634CC5"/>
    <w:rsid w:val="00635309"/>
    <w:rsid w:val="00635F9F"/>
    <w:rsid w:val="006361F8"/>
    <w:rsid w:val="00636E53"/>
    <w:rsid w:val="00637301"/>
    <w:rsid w:val="006377DE"/>
    <w:rsid w:val="00637C58"/>
    <w:rsid w:val="00637D87"/>
    <w:rsid w:val="006403EF"/>
    <w:rsid w:val="0064058B"/>
    <w:rsid w:val="00640B07"/>
    <w:rsid w:val="00640DB1"/>
    <w:rsid w:val="00641073"/>
    <w:rsid w:val="00641A2B"/>
    <w:rsid w:val="006431A1"/>
    <w:rsid w:val="0064364C"/>
    <w:rsid w:val="00644545"/>
    <w:rsid w:val="0064479D"/>
    <w:rsid w:val="0064515C"/>
    <w:rsid w:val="00645689"/>
    <w:rsid w:val="00646197"/>
    <w:rsid w:val="0064649C"/>
    <w:rsid w:val="006469D3"/>
    <w:rsid w:val="00647793"/>
    <w:rsid w:val="006479A3"/>
    <w:rsid w:val="00650596"/>
    <w:rsid w:val="00651962"/>
    <w:rsid w:val="006523A7"/>
    <w:rsid w:val="006528E6"/>
    <w:rsid w:val="00652B9E"/>
    <w:rsid w:val="00653459"/>
    <w:rsid w:val="006536E8"/>
    <w:rsid w:val="006538FC"/>
    <w:rsid w:val="00653994"/>
    <w:rsid w:val="00653FDF"/>
    <w:rsid w:val="006547D3"/>
    <w:rsid w:val="00654B94"/>
    <w:rsid w:val="00656270"/>
    <w:rsid w:val="0065664D"/>
    <w:rsid w:val="006574EE"/>
    <w:rsid w:val="006578F1"/>
    <w:rsid w:val="00657CB6"/>
    <w:rsid w:val="00660294"/>
    <w:rsid w:val="006602AC"/>
    <w:rsid w:val="0066056C"/>
    <w:rsid w:val="00660C71"/>
    <w:rsid w:val="0066163B"/>
    <w:rsid w:val="006617C7"/>
    <w:rsid w:val="00661D05"/>
    <w:rsid w:val="0066234E"/>
    <w:rsid w:val="00662519"/>
    <w:rsid w:val="00662D1F"/>
    <w:rsid w:val="00663365"/>
    <w:rsid w:val="006634C7"/>
    <w:rsid w:val="00663619"/>
    <w:rsid w:val="00663857"/>
    <w:rsid w:val="00663A74"/>
    <w:rsid w:val="00663F0D"/>
    <w:rsid w:val="006641BF"/>
    <w:rsid w:val="00664FEA"/>
    <w:rsid w:val="00665A47"/>
    <w:rsid w:val="00665D28"/>
    <w:rsid w:val="00666120"/>
    <w:rsid w:val="006675A3"/>
    <w:rsid w:val="00667CA3"/>
    <w:rsid w:val="006701CE"/>
    <w:rsid w:val="006703A5"/>
    <w:rsid w:val="00670D51"/>
    <w:rsid w:val="00670EB6"/>
    <w:rsid w:val="0067131A"/>
    <w:rsid w:val="00671D33"/>
    <w:rsid w:val="006724D4"/>
    <w:rsid w:val="00672A86"/>
    <w:rsid w:val="00672FF8"/>
    <w:rsid w:val="00672FFB"/>
    <w:rsid w:val="006730B9"/>
    <w:rsid w:val="00673391"/>
    <w:rsid w:val="00673651"/>
    <w:rsid w:val="00673D7D"/>
    <w:rsid w:val="00674265"/>
    <w:rsid w:val="006746F0"/>
    <w:rsid w:val="00674B3E"/>
    <w:rsid w:val="00674C3D"/>
    <w:rsid w:val="00675468"/>
    <w:rsid w:val="00675864"/>
    <w:rsid w:val="00675B6C"/>
    <w:rsid w:val="00675D8A"/>
    <w:rsid w:val="00676689"/>
    <w:rsid w:val="00677811"/>
    <w:rsid w:val="006778EF"/>
    <w:rsid w:val="00677BEF"/>
    <w:rsid w:val="00677C84"/>
    <w:rsid w:val="00677D01"/>
    <w:rsid w:val="00677DD2"/>
    <w:rsid w:val="00677EAD"/>
    <w:rsid w:val="00677EDD"/>
    <w:rsid w:val="00680C6F"/>
    <w:rsid w:val="00681C8C"/>
    <w:rsid w:val="0068308F"/>
    <w:rsid w:val="0068337F"/>
    <w:rsid w:val="006835B3"/>
    <w:rsid w:val="00685290"/>
    <w:rsid w:val="006856E7"/>
    <w:rsid w:val="0068573A"/>
    <w:rsid w:val="00685BED"/>
    <w:rsid w:val="00685FC1"/>
    <w:rsid w:val="00685FFF"/>
    <w:rsid w:val="0068701F"/>
    <w:rsid w:val="0068764D"/>
    <w:rsid w:val="00687D5F"/>
    <w:rsid w:val="00687F84"/>
    <w:rsid w:val="00690056"/>
    <w:rsid w:val="0069141E"/>
    <w:rsid w:val="00691671"/>
    <w:rsid w:val="00691704"/>
    <w:rsid w:val="00691BE1"/>
    <w:rsid w:val="006927D1"/>
    <w:rsid w:val="006941F6"/>
    <w:rsid w:val="00694514"/>
    <w:rsid w:val="00694805"/>
    <w:rsid w:val="0069482B"/>
    <w:rsid w:val="006948E9"/>
    <w:rsid w:val="00694DF6"/>
    <w:rsid w:val="006955FD"/>
    <w:rsid w:val="00695CFA"/>
    <w:rsid w:val="00695D99"/>
    <w:rsid w:val="00696556"/>
    <w:rsid w:val="00696E90"/>
    <w:rsid w:val="0069702E"/>
    <w:rsid w:val="006975D1"/>
    <w:rsid w:val="00697F08"/>
    <w:rsid w:val="006A08A0"/>
    <w:rsid w:val="006A163B"/>
    <w:rsid w:val="006A1DE8"/>
    <w:rsid w:val="006A2110"/>
    <w:rsid w:val="006A2A92"/>
    <w:rsid w:val="006A302E"/>
    <w:rsid w:val="006A3545"/>
    <w:rsid w:val="006A355D"/>
    <w:rsid w:val="006A35A5"/>
    <w:rsid w:val="006A3921"/>
    <w:rsid w:val="006A4984"/>
    <w:rsid w:val="006A54E3"/>
    <w:rsid w:val="006A561E"/>
    <w:rsid w:val="006A61C6"/>
    <w:rsid w:val="006A6DBF"/>
    <w:rsid w:val="006A71B5"/>
    <w:rsid w:val="006A7618"/>
    <w:rsid w:val="006A7E67"/>
    <w:rsid w:val="006B052B"/>
    <w:rsid w:val="006B07A6"/>
    <w:rsid w:val="006B1108"/>
    <w:rsid w:val="006B1759"/>
    <w:rsid w:val="006B191E"/>
    <w:rsid w:val="006B1AC6"/>
    <w:rsid w:val="006B1D3E"/>
    <w:rsid w:val="006B258D"/>
    <w:rsid w:val="006B396B"/>
    <w:rsid w:val="006B3A14"/>
    <w:rsid w:val="006B3B84"/>
    <w:rsid w:val="006B4396"/>
    <w:rsid w:val="006B4A12"/>
    <w:rsid w:val="006B5A7F"/>
    <w:rsid w:val="006B5ECB"/>
    <w:rsid w:val="006B68CC"/>
    <w:rsid w:val="006B7FCB"/>
    <w:rsid w:val="006C03C7"/>
    <w:rsid w:val="006C0BFC"/>
    <w:rsid w:val="006C1384"/>
    <w:rsid w:val="006C1781"/>
    <w:rsid w:val="006C179A"/>
    <w:rsid w:val="006C17C9"/>
    <w:rsid w:val="006C1C67"/>
    <w:rsid w:val="006C2269"/>
    <w:rsid w:val="006C2A3F"/>
    <w:rsid w:val="006C2BEC"/>
    <w:rsid w:val="006C3144"/>
    <w:rsid w:val="006C3AB1"/>
    <w:rsid w:val="006C3EAA"/>
    <w:rsid w:val="006C3FC0"/>
    <w:rsid w:val="006C3FE3"/>
    <w:rsid w:val="006C402E"/>
    <w:rsid w:val="006C4A7E"/>
    <w:rsid w:val="006C4F3C"/>
    <w:rsid w:val="006C5169"/>
    <w:rsid w:val="006C5495"/>
    <w:rsid w:val="006C68DF"/>
    <w:rsid w:val="006C6D58"/>
    <w:rsid w:val="006C7186"/>
    <w:rsid w:val="006C7BB0"/>
    <w:rsid w:val="006D096C"/>
    <w:rsid w:val="006D09F0"/>
    <w:rsid w:val="006D0CBA"/>
    <w:rsid w:val="006D0EA9"/>
    <w:rsid w:val="006D1969"/>
    <w:rsid w:val="006D23C5"/>
    <w:rsid w:val="006D2DF4"/>
    <w:rsid w:val="006D32D3"/>
    <w:rsid w:val="006D3828"/>
    <w:rsid w:val="006D423B"/>
    <w:rsid w:val="006D4500"/>
    <w:rsid w:val="006D4617"/>
    <w:rsid w:val="006D4A73"/>
    <w:rsid w:val="006D4B72"/>
    <w:rsid w:val="006D4B83"/>
    <w:rsid w:val="006D4F5D"/>
    <w:rsid w:val="006D5088"/>
    <w:rsid w:val="006D50B1"/>
    <w:rsid w:val="006D5188"/>
    <w:rsid w:val="006D5957"/>
    <w:rsid w:val="006D609E"/>
    <w:rsid w:val="006D6108"/>
    <w:rsid w:val="006D6A81"/>
    <w:rsid w:val="006D6E53"/>
    <w:rsid w:val="006E035D"/>
    <w:rsid w:val="006E0419"/>
    <w:rsid w:val="006E06EA"/>
    <w:rsid w:val="006E0AA3"/>
    <w:rsid w:val="006E0E14"/>
    <w:rsid w:val="006E1194"/>
    <w:rsid w:val="006E11AE"/>
    <w:rsid w:val="006E11FE"/>
    <w:rsid w:val="006E1274"/>
    <w:rsid w:val="006E14BB"/>
    <w:rsid w:val="006E195F"/>
    <w:rsid w:val="006E1ADC"/>
    <w:rsid w:val="006E2323"/>
    <w:rsid w:val="006E23A7"/>
    <w:rsid w:val="006E2DD1"/>
    <w:rsid w:val="006E340B"/>
    <w:rsid w:val="006E4063"/>
    <w:rsid w:val="006E466F"/>
    <w:rsid w:val="006E4A83"/>
    <w:rsid w:val="006E4DB3"/>
    <w:rsid w:val="006E59D5"/>
    <w:rsid w:val="006E66BD"/>
    <w:rsid w:val="006E6D91"/>
    <w:rsid w:val="006E7270"/>
    <w:rsid w:val="006E72CF"/>
    <w:rsid w:val="006E7568"/>
    <w:rsid w:val="006E76F7"/>
    <w:rsid w:val="006E7C47"/>
    <w:rsid w:val="006E7E1C"/>
    <w:rsid w:val="006E7F29"/>
    <w:rsid w:val="006F006C"/>
    <w:rsid w:val="006F0FE3"/>
    <w:rsid w:val="006F1852"/>
    <w:rsid w:val="006F2494"/>
    <w:rsid w:val="006F283B"/>
    <w:rsid w:val="006F3822"/>
    <w:rsid w:val="006F3F49"/>
    <w:rsid w:val="006F47DA"/>
    <w:rsid w:val="006F5235"/>
    <w:rsid w:val="006F53CA"/>
    <w:rsid w:val="006F5A2B"/>
    <w:rsid w:val="006F5DC0"/>
    <w:rsid w:val="006F6580"/>
    <w:rsid w:val="006F7DD6"/>
    <w:rsid w:val="007005D2"/>
    <w:rsid w:val="00700C50"/>
    <w:rsid w:val="007010BC"/>
    <w:rsid w:val="00701370"/>
    <w:rsid w:val="007013CD"/>
    <w:rsid w:val="007017C6"/>
    <w:rsid w:val="00701937"/>
    <w:rsid w:val="007019A7"/>
    <w:rsid w:val="00701FA0"/>
    <w:rsid w:val="007021E9"/>
    <w:rsid w:val="0070244D"/>
    <w:rsid w:val="0070333A"/>
    <w:rsid w:val="00703AFB"/>
    <w:rsid w:val="007041A9"/>
    <w:rsid w:val="007051BF"/>
    <w:rsid w:val="0070556C"/>
    <w:rsid w:val="00705597"/>
    <w:rsid w:val="00705652"/>
    <w:rsid w:val="0070589E"/>
    <w:rsid w:val="00705B1E"/>
    <w:rsid w:val="0070653E"/>
    <w:rsid w:val="0070683D"/>
    <w:rsid w:val="0070684A"/>
    <w:rsid w:val="00707E66"/>
    <w:rsid w:val="00707F78"/>
    <w:rsid w:val="00710FD3"/>
    <w:rsid w:val="0071111B"/>
    <w:rsid w:val="007112DE"/>
    <w:rsid w:val="007116F8"/>
    <w:rsid w:val="00711868"/>
    <w:rsid w:val="00711928"/>
    <w:rsid w:val="007119E8"/>
    <w:rsid w:val="0071209A"/>
    <w:rsid w:val="0071329D"/>
    <w:rsid w:val="0071354E"/>
    <w:rsid w:val="00713731"/>
    <w:rsid w:val="00714072"/>
    <w:rsid w:val="007144D4"/>
    <w:rsid w:val="00714A89"/>
    <w:rsid w:val="00714C0F"/>
    <w:rsid w:val="00714E00"/>
    <w:rsid w:val="00715E81"/>
    <w:rsid w:val="00716CF0"/>
    <w:rsid w:val="0071737F"/>
    <w:rsid w:val="007203BC"/>
    <w:rsid w:val="00720842"/>
    <w:rsid w:val="00720AE3"/>
    <w:rsid w:val="00720D1E"/>
    <w:rsid w:val="00722970"/>
    <w:rsid w:val="00722B16"/>
    <w:rsid w:val="00722F40"/>
    <w:rsid w:val="0072305F"/>
    <w:rsid w:val="0072371E"/>
    <w:rsid w:val="0072434B"/>
    <w:rsid w:val="007266B5"/>
    <w:rsid w:val="00726C47"/>
    <w:rsid w:val="00727F8F"/>
    <w:rsid w:val="007301D8"/>
    <w:rsid w:val="00730790"/>
    <w:rsid w:val="00730CCB"/>
    <w:rsid w:val="0073107E"/>
    <w:rsid w:val="00731541"/>
    <w:rsid w:val="00732543"/>
    <w:rsid w:val="0073271D"/>
    <w:rsid w:val="00732D29"/>
    <w:rsid w:val="0073339C"/>
    <w:rsid w:val="00733684"/>
    <w:rsid w:val="007337C2"/>
    <w:rsid w:val="00733E3D"/>
    <w:rsid w:val="007346BF"/>
    <w:rsid w:val="00734F25"/>
    <w:rsid w:val="00734F42"/>
    <w:rsid w:val="00735BDF"/>
    <w:rsid w:val="00735D86"/>
    <w:rsid w:val="007369F7"/>
    <w:rsid w:val="00736A14"/>
    <w:rsid w:val="00736C2B"/>
    <w:rsid w:val="00736E5C"/>
    <w:rsid w:val="007371A3"/>
    <w:rsid w:val="00737B6A"/>
    <w:rsid w:val="00737BE3"/>
    <w:rsid w:val="00737F05"/>
    <w:rsid w:val="00737F61"/>
    <w:rsid w:val="00740792"/>
    <w:rsid w:val="00740889"/>
    <w:rsid w:val="0074091A"/>
    <w:rsid w:val="007411EF"/>
    <w:rsid w:val="0074155D"/>
    <w:rsid w:val="00741DC0"/>
    <w:rsid w:val="00741EFE"/>
    <w:rsid w:val="00742852"/>
    <w:rsid w:val="00743270"/>
    <w:rsid w:val="00743551"/>
    <w:rsid w:val="0074372D"/>
    <w:rsid w:val="00743E3F"/>
    <w:rsid w:val="00744717"/>
    <w:rsid w:val="0074490A"/>
    <w:rsid w:val="00744F1C"/>
    <w:rsid w:val="00745557"/>
    <w:rsid w:val="0074618A"/>
    <w:rsid w:val="00746299"/>
    <w:rsid w:val="007479DC"/>
    <w:rsid w:val="00747BA5"/>
    <w:rsid w:val="00750294"/>
    <w:rsid w:val="0075096F"/>
    <w:rsid w:val="00751063"/>
    <w:rsid w:val="007510E2"/>
    <w:rsid w:val="007514A8"/>
    <w:rsid w:val="00752546"/>
    <w:rsid w:val="00752669"/>
    <w:rsid w:val="007526B5"/>
    <w:rsid w:val="00752950"/>
    <w:rsid w:val="00752FF1"/>
    <w:rsid w:val="00753564"/>
    <w:rsid w:val="0075373B"/>
    <w:rsid w:val="00753E33"/>
    <w:rsid w:val="00754686"/>
    <w:rsid w:val="00755157"/>
    <w:rsid w:val="00755377"/>
    <w:rsid w:val="00756842"/>
    <w:rsid w:val="00756D3A"/>
    <w:rsid w:val="007570CA"/>
    <w:rsid w:val="007571E7"/>
    <w:rsid w:val="007575F1"/>
    <w:rsid w:val="00757861"/>
    <w:rsid w:val="00757D2C"/>
    <w:rsid w:val="007605A4"/>
    <w:rsid w:val="00760E43"/>
    <w:rsid w:val="00760EDE"/>
    <w:rsid w:val="00760F8A"/>
    <w:rsid w:val="00761EFD"/>
    <w:rsid w:val="0076203B"/>
    <w:rsid w:val="00762386"/>
    <w:rsid w:val="007625CA"/>
    <w:rsid w:val="0076313A"/>
    <w:rsid w:val="00763217"/>
    <w:rsid w:val="00763D8D"/>
    <w:rsid w:val="00764109"/>
    <w:rsid w:val="0076467B"/>
    <w:rsid w:val="0076477C"/>
    <w:rsid w:val="007647AD"/>
    <w:rsid w:val="007651FB"/>
    <w:rsid w:val="00765226"/>
    <w:rsid w:val="00765331"/>
    <w:rsid w:val="007653D7"/>
    <w:rsid w:val="00765785"/>
    <w:rsid w:val="00765F37"/>
    <w:rsid w:val="00766054"/>
    <w:rsid w:val="00766AEA"/>
    <w:rsid w:val="00766BF4"/>
    <w:rsid w:val="00766CB6"/>
    <w:rsid w:val="007671B3"/>
    <w:rsid w:val="0076743A"/>
    <w:rsid w:val="00767631"/>
    <w:rsid w:val="0076764D"/>
    <w:rsid w:val="00767663"/>
    <w:rsid w:val="0076787F"/>
    <w:rsid w:val="00767A9E"/>
    <w:rsid w:val="00767E06"/>
    <w:rsid w:val="007705E5"/>
    <w:rsid w:val="0077094D"/>
    <w:rsid w:val="00770AEF"/>
    <w:rsid w:val="00771451"/>
    <w:rsid w:val="00771D19"/>
    <w:rsid w:val="00772A93"/>
    <w:rsid w:val="007740C5"/>
    <w:rsid w:val="0077465F"/>
    <w:rsid w:val="0077566B"/>
    <w:rsid w:val="00776014"/>
    <w:rsid w:val="007762F6"/>
    <w:rsid w:val="00776C0F"/>
    <w:rsid w:val="0077785F"/>
    <w:rsid w:val="00777995"/>
    <w:rsid w:val="00780F3E"/>
    <w:rsid w:val="00781127"/>
    <w:rsid w:val="00782597"/>
    <w:rsid w:val="00782E94"/>
    <w:rsid w:val="00784171"/>
    <w:rsid w:val="00784614"/>
    <w:rsid w:val="00784632"/>
    <w:rsid w:val="00784D52"/>
    <w:rsid w:val="00784D6A"/>
    <w:rsid w:val="00785568"/>
    <w:rsid w:val="00785D7D"/>
    <w:rsid w:val="00786070"/>
    <w:rsid w:val="0078624D"/>
    <w:rsid w:val="00786288"/>
    <w:rsid w:val="007867BA"/>
    <w:rsid w:val="00787112"/>
    <w:rsid w:val="00787197"/>
    <w:rsid w:val="007873DA"/>
    <w:rsid w:val="00787519"/>
    <w:rsid w:val="00787F64"/>
    <w:rsid w:val="00787F6E"/>
    <w:rsid w:val="00790119"/>
    <w:rsid w:val="00790880"/>
    <w:rsid w:val="00790B11"/>
    <w:rsid w:val="00790F02"/>
    <w:rsid w:val="0079159B"/>
    <w:rsid w:val="0079171B"/>
    <w:rsid w:val="00792893"/>
    <w:rsid w:val="00793433"/>
    <w:rsid w:val="00794421"/>
    <w:rsid w:val="0079454C"/>
    <w:rsid w:val="00794955"/>
    <w:rsid w:val="007957F1"/>
    <w:rsid w:val="0079638B"/>
    <w:rsid w:val="0079653D"/>
    <w:rsid w:val="0079661F"/>
    <w:rsid w:val="007967B9"/>
    <w:rsid w:val="007971E7"/>
    <w:rsid w:val="007A00FD"/>
    <w:rsid w:val="007A01A0"/>
    <w:rsid w:val="007A066A"/>
    <w:rsid w:val="007A1AEB"/>
    <w:rsid w:val="007A1D5E"/>
    <w:rsid w:val="007A298C"/>
    <w:rsid w:val="007A2FDD"/>
    <w:rsid w:val="007A362A"/>
    <w:rsid w:val="007A488D"/>
    <w:rsid w:val="007A5075"/>
    <w:rsid w:val="007A5932"/>
    <w:rsid w:val="007A6421"/>
    <w:rsid w:val="007A6539"/>
    <w:rsid w:val="007A74E7"/>
    <w:rsid w:val="007A76BE"/>
    <w:rsid w:val="007A787D"/>
    <w:rsid w:val="007A7974"/>
    <w:rsid w:val="007B0280"/>
    <w:rsid w:val="007B0365"/>
    <w:rsid w:val="007B0378"/>
    <w:rsid w:val="007B0526"/>
    <w:rsid w:val="007B0BF3"/>
    <w:rsid w:val="007B0C7D"/>
    <w:rsid w:val="007B1004"/>
    <w:rsid w:val="007B13FD"/>
    <w:rsid w:val="007B148F"/>
    <w:rsid w:val="007B1914"/>
    <w:rsid w:val="007B1FDC"/>
    <w:rsid w:val="007B25FF"/>
    <w:rsid w:val="007B2616"/>
    <w:rsid w:val="007B2760"/>
    <w:rsid w:val="007B2B3D"/>
    <w:rsid w:val="007B34A5"/>
    <w:rsid w:val="007B3647"/>
    <w:rsid w:val="007B3B13"/>
    <w:rsid w:val="007B3D44"/>
    <w:rsid w:val="007B3DF9"/>
    <w:rsid w:val="007B41E6"/>
    <w:rsid w:val="007B45DF"/>
    <w:rsid w:val="007B4904"/>
    <w:rsid w:val="007B4BD8"/>
    <w:rsid w:val="007B4C73"/>
    <w:rsid w:val="007B4EB7"/>
    <w:rsid w:val="007B4EE6"/>
    <w:rsid w:val="007B5AA1"/>
    <w:rsid w:val="007B5B86"/>
    <w:rsid w:val="007B5D16"/>
    <w:rsid w:val="007B5FAD"/>
    <w:rsid w:val="007B602E"/>
    <w:rsid w:val="007B6143"/>
    <w:rsid w:val="007B6BCF"/>
    <w:rsid w:val="007B72CB"/>
    <w:rsid w:val="007B7517"/>
    <w:rsid w:val="007B76A0"/>
    <w:rsid w:val="007B76E5"/>
    <w:rsid w:val="007C054B"/>
    <w:rsid w:val="007C070E"/>
    <w:rsid w:val="007C0E60"/>
    <w:rsid w:val="007C0F21"/>
    <w:rsid w:val="007C157D"/>
    <w:rsid w:val="007C1EEB"/>
    <w:rsid w:val="007C250A"/>
    <w:rsid w:val="007C2520"/>
    <w:rsid w:val="007C258E"/>
    <w:rsid w:val="007C2D80"/>
    <w:rsid w:val="007C331E"/>
    <w:rsid w:val="007C37DD"/>
    <w:rsid w:val="007C3AD8"/>
    <w:rsid w:val="007C436B"/>
    <w:rsid w:val="007C4988"/>
    <w:rsid w:val="007C57E9"/>
    <w:rsid w:val="007C5E54"/>
    <w:rsid w:val="007C6838"/>
    <w:rsid w:val="007C79B8"/>
    <w:rsid w:val="007C7C61"/>
    <w:rsid w:val="007C7DC2"/>
    <w:rsid w:val="007C7E2B"/>
    <w:rsid w:val="007D09FE"/>
    <w:rsid w:val="007D0C45"/>
    <w:rsid w:val="007D1640"/>
    <w:rsid w:val="007D1774"/>
    <w:rsid w:val="007D17F4"/>
    <w:rsid w:val="007D1EFE"/>
    <w:rsid w:val="007D3058"/>
    <w:rsid w:val="007D3B29"/>
    <w:rsid w:val="007D44C6"/>
    <w:rsid w:val="007D51C3"/>
    <w:rsid w:val="007D5B0D"/>
    <w:rsid w:val="007D64FE"/>
    <w:rsid w:val="007D78BD"/>
    <w:rsid w:val="007D7ADD"/>
    <w:rsid w:val="007D7CF0"/>
    <w:rsid w:val="007E0F83"/>
    <w:rsid w:val="007E14B8"/>
    <w:rsid w:val="007E1A86"/>
    <w:rsid w:val="007E2089"/>
    <w:rsid w:val="007E2223"/>
    <w:rsid w:val="007E23BB"/>
    <w:rsid w:val="007E2433"/>
    <w:rsid w:val="007E2E4F"/>
    <w:rsid w:val="007E3378"/>
    <w:rsid w:val="007E37F1"/>
    <w:rsid w:val="007E3AEB"/>
    <w:rsid w:val="007E40CC"/>
    <w:rsid w:val="007E41A0"/>
    <w:rsid w:val="007E4486"/>
    <w:rsid w:val="007E4F75"/>
    <w:rsid w:val="007E5845"/>
    <w:rsid w:val="007E66CD"/>
    <w:rsid w:val="007E6B41"/>
    <w:rsid w:val="007E6E5B"/>
    <w:rsid w:val="007E719F"/>
    <w:rsid w:val="007E7373"/>
    <w:rsid w:val="007E73C1"/>
    <w:rsid w:val="007F055B"/>
    <w:rsid w:val="007F1576"/>
    <w:rsid w:val="007F192C"/>
    <w:rsid w:val="007F1D94"/>
    <w:rsid w:val="007F2432"/>
    <w:rsid w:val="007F305D"/>
    <w:rsid w:val="007F37A4"/>
    <w:rsid w:val="007F3B92"/>
    <w:rsid w:val="007F3C53"/>
    <w:rsid w:val="007F49C9"/>
    <w:rsid w:val="007F50A3"/>
    <w:rsid w:val="007F52C9"/>
    <w:rsid w:val="007F55F3"/>
    <w:rsid w:val="007F5BA7"/>
    <w:rsid w:val="007F725B"/>
    <w:rsid w:val="00800554"/>
    <w:rsid w:val="008009D0"/>
    <w:rsid w:val="00801241"/>
    <w:rsid w:val="00801259"/>
    <w:rsid w:val="008013FA"/>
    <w:rsid w:val="0080173C"/>
    <w:rsid w:val="00801D55"/>
    <w:rsid w:val="00801F15"/>
    <w:rsid w:val="008021BB"/>
    <w:rsid w:val="00802567"/>
    <w:rsid w:val="00802BD4"/>
    <w:rsid w:val="00803D1D"/>
    <w:rsid w:val="00804150"/>
    <w:rsid w:val="0080430A"/>
    <w:rsid w:val="00804FCF"/>
    <w:rsid w:val="00805E53"/>
    <w:rsid w:val="008061D8"/>
    <w:rsid w:val="00806587"/>
    <w:rsid w:val="00806F6E"/>
    <w:rsid w:val="00807177"/>
    <w:rsid w:val="00807417"/>
    <w:rsid w:val="008100B0"/>
    <w:rsid w:val="008102EE"/>
    <w:rsid w:val="00810AED"/>
    <w:rsid w:val="00810D70"/>
    <w:rsid w:val="00810E48"/>
    <w:rsid w:val="00810EDF"/>
    <w:rsid w:val="008114ED"/>
    <w:rsid w:val="008117FB"/>
    <w:rsid w:val="00811AAF"/>
    <w:rsid w:val="008133D3"/>
    <w:rsid w:val="00813639"/>
    <w:rsid w:val="00813655"/>
    <w:rsid w:val="00813827"/>
    <w:rsid w:val="008139ED"/>
    <w:rsid w:val="00813A1A"/>
    <w:rsid w:val="008141DD"/>
    <w:rsid w:val="00814208"/>
    <w:rsid w:val="008146CB"/>
    <w:rsid w:val="00814AAD"/>
    <w:rsid w:val="0081505B"/>
    <w:rsid w:val="008151B5"/>
    <w:rsid w:val="00816912"/>
    <w:rsid w:val="00817678"/>
    <w:rsid w:val="008177B1"/>
    <w:rsid w:val="00820E43"/>
    <w:rsid w:val="00821C58"/>
    <w:rsid w:val="00821EFF"/>
    <w:rsid w:val="00822137"/>
    <w:rsid w:val="008221A9"/>
    <w:rsid w:val="00822A92"/>
    <w:rsid w:val="00823257"/>
    <w:rsid w:val="00823D31"/>
    <w:rsid w:val="008241E2"/>
    <w:rsid w:val="008249B4"/>
    <w:rsid w:val="00824E2C"/>
    <w:rsid w:val="00824E90"/>
    <w:rsid w:val="008255D5"/>
    <w:rsid w:val="0082579D"/>
    <w:rsid w:val="00825943"/>
    <w:rsid w:val="00825C47"/>
    <w:rsid w:val="00825DAF"/>
    <w:rsid w:val="008265A6"/>
    <w:rsid w:val="0082672D"/>
    <w:rsid w:val="008270C0"/>
    <w:rsid w:val="00827464"/>
    <w:rsid w:val="00827F6A"/>
    <w:rsid w:val="00830052"/>
    <w:rsid w:val="00830C89"/>
    <w:rsid w:val="00831762"/>
    <w:rsid w:val="0083186D"/>
    <w:rsid w:val="00831B06"/>
    <w:rsid w:val="00832035"/>
    <w:rsid w:val="0083316E"/>
    <w:rsid w:val="00833C6A"/>
    <w:rsid w:val="00834527"/>
    <w:rsid w:val="00834ADB"/>
    <w:rsid w:val="008367EF"/>
    <w:rsid w:val="008368C2"/>
    <w:rsid w:val="00837EA7"/>
    <w:rsid w:val="0084002E"/>
    <w:rsid w:val="008407F7"/>
    <w:rsid w:val="00840955"/>
    <w:rsid w:val="00840FD7"/>
    <w:rsid w:val="00841344"/>
    <w:rsid w:val="008417C6"/>
    <w:rsid w:val="0084202A"/>
    <w:rsid w:val="00842802"/>
    <w:rsid w:val="00842A73"/>
    <w:rsid w:val="0084350A"/>
    <w:rsid w:val="00843518"/>
    <w:rsid w:val="0084364A"/>
    <w:rsid w:val="00843C93"/>
    <w:rsid w:val="00843FA0"/>
    <w:rsid w:val="0084405D"/>
    <w:rsid w:val="008448F1"/>
    <w:rsid w:val="00844A8A"/>
    <w:rsid w:val="00844EE1"/>
    <w:rsid w:val="00845027"/>
    <w:rsid w:val="008450C3"/>
    <w:rsid w:val="00845561"/>
    <w:rsid w:val="008458A6"/>
    <w:rsid w:val="00845DD8"/>
    <w:rsid w:val="00845F54"/>
    <w:rsid w:val="00845FA4"/>
    <w:rsid w:val="0084627D"/>
    <w:rsid w:val="00846699"/>
    <w:rsid w:val="008468C6"/>
    <w:rsid w:val="00846911"/>
    <w:rsid w:val="0084733D"/>
    <w:rsid w:val="008474D2"/>
    <w:rsid w:val="00850367"/>
    <w:rsid w:val="00850847"/>
    <w:rsid w:val="00851C34"/>
    <w:rsid w:val="008522A5"/>
    <w:rsid w:val="0085286E"/>
    <w:rsid w:val="00852A26"/>
    <w:rsid w:val="00852F18"/>
    <w:rsid w:val="0085307B"/>
    <w:rsid w:val="00853416"/>
    <w:rsid w:val="0085423D"/>
    <w:rsid w:val="00854342"/>
    <w:rsid w:val="0085498F"/>
    <w:rsid w:val="008552FB"/>
    <w:rsid w:val="008555C3"/>
    <w:rsid w:val="00856414"/>
    <w:rsid w:val="0085700B"/>
    <w:rsid w:val="00860AA6"/>
    <w:rsid w:val="008618FC"/>
    <w:rsid w:val="00861CA1"/>
    <w:rsid w:val="00861CFF"/>
    <w:rsid w:val="00861DE5"/>
    <w:rsid w:val="00862364"/>
    <w:rsid w:val="00862740"/>
    <w:rsid w:val="008633D1"/>
    <w:rsid w:val="0086348D"/>
    <w:rsid w:val="008634D3"/>
    <w:rsid w:val="008638E1"/>
    <w:rsid w:val="0086393F"/>
    <w:rsid w:val="00863BE7"/>
    <w:rsid w:val="00863C0F"/>
    <w:rsid w:val="00863D5B"/>
    <w:rsid w:val="00864D55"/>
    <w:rsid w:val="008651CC"/>
    <w:rsid w:val="008660E7"/>
    <w:rsid w:val="00866B88"/>
    <w:rsid w:val="00866C1C"/>
    <w:rsid w:val="00866C35"/>
    <w:rsid w:val="00866CE4"/>
    <w:rsid w:val="00866D3F"/>
    <w:rsid w:val="00866FD7"/>
    <w:rsid w:val="008671D1"/>
    <w:rsid w:val="00867E12"/>
    <w:rsid w:val="0087063F"/>
    <w:rsid w:val="00870B5E"/>
    <w:rsid w:val="00871497"/>
    <w:rsid w:val="00871A0F"/>
    <w:rsid w:val="008721DA"/>
    <w:rsid w:val="008731DF"/>
    <w:rsid w:val="008746D8"/>
    <w:rsid w:val="0087616C"/>
    <w:rsid w:val="008764A4"/>
    <w:rsid w:val="00877924"/>
    <w:rsid w:val="0087798D"/>
    <w:rsid w:val="00877CFA"/>
    <w:rsid w:val="00877D73"/>
    <w:rsid w:val="00880F44"/>
    <w:rsid w:val="0088100E"/>
    <w:rsid w:val="00881839"/>
    <w:rsid w:val="008820B1"/>
    <w:rsid w:val="0088213E"/>
    <w:rsid w:val="00882160"/>
    <w:rsid w:val="00882FFA"/>
    <w:rsid w:val="008835EF"/>
    <w:rsid w:val="00883AE6"/>
    <w:rsid w:val="0088412B"/>
    <w:rsid w:val="0088455A"/>
    <w:rsid w:val="00884D98"/>
    <w:rsid w:val="00884EAA"/>
    <w:rsid w:val="00884F76"/>
    <w:rsid w:val="008857D8"/>
    <w:rsid w:val="008864D4"/>
    <w:rsid w:val="00886C04"/>
    <w:rsid w:val="00890678"/>
    <w:rsid w:val="008908F7"/>
    <w:rsid w:val="00891771"/>
    <w:rsid w:val="008918E6"/>
    <w:rsid w:val="00891AD3"/>
    <w:rsid w:val="008921C4"/>
    <w:rsid w:val="008921F7"/>
    <w:rsid w:val="0089244C"/>
    <w:rsid w:val="00892EB8"/>
    <w:rsid w:val="00893025"/>
    <w:rsid w:val="008930C2"/>
    <w:rsid w:val="00893557"/>
    <w:rsid w:val="00893BDC"/>
    <w:rsid w:val="0089436E"/>
    <w:rsid w:val="00894815"/>
    <w:rsid w:val="00894920"/>
    <w:rsid w:val="008949DB"/>
    <w:rsid w:val="00894BB0"/>
    <w:rsid w:val="00894E71"/>
    <w:rsid w:val="008953E7"/>
    <w:rsid w:val="00895425"/>
    <w:rsid w:val="00895D65"/>
    <w:rsid w:val="00896271"/>
    <w:rsid w:val="0089643A"/>
    <w:rsid w:val="008966BD"/>
    <w:rsid w:val="00896721"/>
    <w:rsid w:val="00896FD7"/>
    <w:rsid w:val="008975AA"/>
    <w:rsid w:val="008976F3"/>
    <w:rsid w:val="00897762"/>
    <w:rsid w:val="008978C9"/>
    <w:rsid w:val="00897A90"/>
    <w:rsid w:val="00897F01"/>
    <w:rsid w:val="008A0964"/>
    <w:rsid w:val="008A0C40"/>
    <w:rsid w:val="008A0C91"/>
    <w:rsid w:val="008A2040"/>
    <w:rsid w:val="008A4397"/>
    <w:rsid w:val="008A4FD7"/>
    <w:rsid w:val="008A5402"/>
    <w:rsid w:val="008A55BB"/>
    <w:rsid w:val="008A6108"/>
    <w:rsid w:val="008A6679"/>
    <w:rsid w:val="008A67D7"/>
    <w:rsid w:val="008A7A3C"/>
    <w:rsid w:val="008B0260"/>
    <w:rsid w:val="008B1169"/>
    <w:rsid w:val="008B1DC1"/>
    <w:rsid w:val="008B25BC"/>
    <w:rsid w:val="008B2CCA"/>
    <w:rsid w:val="008B2E75"/>
    <w:rsid w:val="008B319A"/>
    <w:rsid w:val="008B3B6C"/>
    <w:rsid w:val="008B416A"/>
    <w:rsid w:val="008B473C"/>
    <w:rsid w:val="008B51E4"/>
    <w:rsid w:val="008B51FF"/>
    <w:rsid w:val="008B54EF"/>
    <w:rsid w:val="008B566E"/>
    <w:rsid w:val="008B5F99"/>
    <w:rsid w:val="008B787A"/>
    <w:rsid w:val="008B7D9C"/>
    <w:rsid w:val="008C00EA"/>
    <w:rsid w:val="008C0320"/>
    <w:rsid w:val="008C0816"/>
    <w:rsid w:val="008C12AB"/>
    <w:rsid w:val="008C1392"/>
    <w:rsid w:val="008C1973"/>
    <w:rsid w:val="008C1A82"/>
    <w:rsid w:val="008C2208"/>
    <w:rsid w:val="008C2E0A"/>
    <w:rsid w:val="008C2FCA"/>
    <w:rsid w:val="008C33D7"/>
    <w:rsid w:val="008C3AC9"/>
    <w:rsid w:val="008C3D7E"/>
    <w:rsid w:val="008C3F4A"/>
    <w:rsid w:val="008C578B"/>
    <w:rsid w:val="008C5A06"/>
    <w:rsid w:val="008C60D8"/>
    <w:rsid w:val="008C64A1"/>
    <w:rsid w:val="008C6787"/>
    <w:rsid w:val="008C6814"/>
    <w:rsid w:val="008C6835"/>
    <w:rsid w:val="008C696D"/>
    <w:rsid w:val="008C701C"/>
    <w:rsid w:val="008C720D"/>
    <w:rsid w:val="008C73BE"/>
    <w:rsid w:val="008C741D"/>
    <w:rsid w:val="008C742D"/>
    <w:rsid w:val="008C75A1"/>
    <w:rsid w:val="008C77F2"/>
    <w:rsid w:val="008C7EDD"/>
    <w:rsid w:val="008C7F83"/>
    <w:rsid w:val="008C7FA5"/>
    <w:rsid w:val="008D01FC"/>
    <w:rsid w:val="008D0576"/>
    <w:rsid w:val="008D068B"/>
    <w:rsid w:val="008D0C6B"/>
    <w:rsid w:val="008D11E1"/>
    <w:rsid w:val="008D1EEF"/>
    <w:rsid w:val="008D2669"/>
    <w:rsid w:val="008D2C02"/>
    <w:rsid w:val="008D2E95"/>
    <w:rsid w:val="008D3B05"/>
    <w:rsid w:val="008D4443"/>
    <w:rsid w:val="008D45D5"/>
    <w:rsid w:val="008D491E"/>
    <w:rsid w:val="008D4A0E"/>
    <w:rsid w:val="008D4B4B"/>
    <w:rsid w:val="008D5657"/>
    <w:rsid w:val="008D6A0C"/>
    <w:rsid w:val="008D703D"/>
    <w:rsid w:val="008D73E6"/>
    <w:rsid w:val="008D7DF6"/>
    <w:rsid w:val="008E02CD"/>
    <w:rsid w:val="008E0782"/>
    <w:rsid w:val="008E0F1E"/>
    <w:rsid w:val="008E123B"/>
    <w:rsid w:val="008E1570"/>
    <w:rsid w:val="008E2D30"/>
    <w:rsid w:val="008E4086"/>
    <w:rsid w:val="008E4842"/>
    <w:rsid w:val="008E4914"/>
    <w:rsid w:val="008E4BEA"/>
    <w:rsid w:val="008E58EF"/>
    <w:rsid w:val="008E62E0"/>
    <w:rsid w:val="008E6944"/>
    <w:rsid w:val="008E6B92"/>
    <w:rsid w:val="008E708F"/>
    <w:rsid w:val="008E7559"/>
    <w:rsid w:val="008E7A5B"/>
    <w:rsid w:val="008F01CF"/>
    <w:rsid w:val="008F0755"/>
    <w:rsid w:val="008F0970"/>
    <w:rsid w:val="008F1BEE"/>
    <w:rsid w:val="008F1FC7"/>
    <w:rsid w:val="008F2026"/>
    <w:rsid w:val="008F226B"/>
    <w:rsid w:val="008F2656"/>
    <w:rsid w:val="008F2C7D"/>
    <w:rsid w:val="008F2E36"/>
    <w:rsid w:val="008F33B0"/>
    <w:rsid w:val="008F3A68"/>
    <w:rsid w:val="008F3B22"/>
    <w:rsid w:val="008F3CDA"/>
    <w:rsid w:val="008F4452"/>
    <w:rsid w:val="008F4C88"/>
    <w:rsid w:val="008F4F7B"/>
    <w:rsid w:val="008F62D2"/>
    <w:rsid w:val="008F6910"/>
    <w:rsid w:val="008F6C2A"/>
    <w:rsid w:val="008F6CBA"/>
    <w:rsid w:val="008F6D4B"/>
    <w:rsid w:val="008F6D85"/>
    <w:rsid w:val="008F6FD5"/>
    <w:rsid w:val="008F73F5"/>
    <w:rsid w:val="008F7B4D"/>
    <w:rsid w:val="008F7D2F"/>
    <w:rsid w:val="009004AE"/>
    <w:rsid w:val="009005F6"/>
    <w:rsid w:val="00901651"/>
    <w:rsid w:val="00901655"/>
    <w:rsid w:val="009023BD"/>
    <w:rsid w:val="009023D8"/>
    <w:rsid w:val="009026E0"/>
    <w:rsid w:val="00902878"/>
    <w:rsid w:val="00902A5E"/>
    <w:rsid w:val="0090307A"/>
    <w:rsid w:val="00903497"/>
    <w:rsid w:val="00904501"/>
    <w:rsid w:val="00904C52"/>
    <w:rsid w:val="0090549B"/>
    <w:rsid w:val="009058C1"/>
    <w:rsid w:val="00905BDA"/>
    <w:rsid w:val="00905C88"/>
    <w:rsid w:val="00905FB4"/>
    <w:rsid w:val="009061D9"/>
    <w:rsid w:val="009066F3"/>
    <w:rsid w:val="00907987"/>
    <w:rsid w:val="009105FF"/>
    <w:rsid w:val="00911359"/>
    <w:rsid w:val="00911D06"/>
    <w:rsid w:val="00912EB5"/>
    <w:rsid w:val="00913481"/>
    <w:rsid w:val="00915029"/>
    <w:rsid w:val="0091528E"/>
    <w:rsid w:val="009152D0"/>
    <w:rsid w:val="00915671"/>
    <w:rsid w:val="009160C8"/>
    <w:rsid w:val="009173B4"/>
    <w:rsid w:val="00917476"/>
    <w:rsid w:val="009179E6"/>
    <w:rsid w:val="00917AFA"/>
    <w:rsid w:val="00917B3A"/>
    <w:rsid w:val="00917B65"/>
    <w:rsid w:val="00917BDF"/>
    <w:rsid w:val="0092072B"/>
    <w:rsid w:val="009207F6"/>
    <w:rsid w:val="0092115F"/>
    <w:rsid w:val="009213AF"/>
    <w:rsid w:val="00922310"/>
    <w:rsid w:val="0092245E"/>
    <w:rsid w:val="009224CC"/>
    <w:rsid w:val="009229A0"/>
    <w:rsid w:val="00922A1C"/>
    <w:rsid w:val="00923191"/>
    <w:rsid w:val="009234C1"/>
    <w:rsid w:val="009237A6"/>
    <w:rsid w:val="0092392B"/>
    <w:rsid w:val="00924197"/>
    <w:rsid w:val="00924213"/>
    <w:rsid w:val="00924DEF"/>
    <w:rsid w:val="00924FE7"/>
    <w:rsid w:val="00925133"/>
    <w:rsid w:val="00926238"/>
    <w:rsid w:val="00926249"/>
    <w:rsid w:val="0092682F"/>
    <w:rsid w:val="009276E4"/>
    <w:rsid w:val="00927A29"/>
    <w:rsid w:val="00930079"/>
    <w:rsid w:val="009306E5"/>
    <w:rsid w:val="00930AF5"/>
    <w:rsid w:val="00930BD5"/>
    <w:rsid w:val="00931766"/>
    <w:rsid w:val="00931802"/>
    <w:rsid w:val="00931CAF"/>
    <w:rsid w:val="00931E55"/>
    <w:rsid w:val="00931EEB"/>
    <w:rsid w:val="00932724"/>
    <w:rsid w:val="00932A64"/>
    <w:rsid w:val="009335C5"/>
    <w:rsid w:val="00933761"/>
    <w:rsid w:val="00933F2F"/>
    <w:rsid w:val="009346DC"/>
    <w:rsid w:val="0093488B"/>
    <w:rsid w:val="00934D96"/>
    <w:rsid w:val="00935DEF"/>
    <w:rsid w:val="00935F6C"/>
    <w:rsid w:val="00935FF9"/>
    <w:rsid w:val="009367CB"/>
    <w:rsid w:val="00936A87"/>
    <w:rsid w:val="0093744D"/>
    <w:rsid w:val="009375D6"/>
    <w:rsid w:val="00937F92"/>
    <w:rsid w:val="00940D4D"/>
    <w:rsid w:val="00940EEC"/>
    <w:rsid w:val="00941441"/>
    <w:rsid w:val="00941536"/>
    <w:rsid w:val="0094190B"/>
    <w:rsid w:val="00941B32"/>
    <w:rsid w:val="00941EDC"/>
    <w:rsid w:val="009423CB"/>
    <w:rsid w:val="00943582"/>
    <w:rsid w:val="0094387C"/>
    <w:rsid w:val="00943A66"/>
    <w:rsid w:val="009445D4"/>
    <w:rsid w:val="00945C64"/>
    <w:rsid w:val="00946518"/>
    <w:rsid w:val="00947AE8"/>
    <w:rsid w:val="00947B06"/>
    <w:rsid w:val="0095081A"/>
    <w:rsid w:val="00950C7E"/>
    <w:rsid w:val="00950C8C"/>
    <w:rsid w:val="0095109F"/>
    <w:rsid w:val="009515C9"/>
    <w:rsid w:val="009516DA"/>
    <w:rsid w:val="0095188A"/>
    <w:rsid w:val="00951B62"/>
    <w:rsid w:val="00952404"/>
    <w:rsid w:val="00953130"/>
    <w:rsid w:val="0095331A"/>
    <w:rsid w:val="0095399A"/>
    <w:rsid w:val="009543CC"/>
    <w:rsid w:val="00954A2B"/>
    <w:rsid w:val="00954F1D"/>
    <w:rsid w:val="00955990"/>
    <w:rsid w:val="00956656"/>
    <w:rsid w:val="009567D4"/>
    <w:rsid w:val="00956F76"/>
    <w:rsid w:val="00957172"/>
    <w:rsid w:val="00957899"/>
    <w:rsid w:val="00957F61"/>
    <w:rsid w:val="00960948"/>
    <w:rsid w:val="00960B37"/>
    <w:rsid w:val="00960BF8"/>
    <w:rsid w:val="009614FE"/>
    <w:rsid w:val="00961C27"/>
    <w:rsid w:val="00961D05"/>
    <w:rsid w:val="00961E87"/>
    <w:rsid w:val="0096230F"/>
    <w:rsid w:val="0096270C"/>
    <w:rsid w:val="00963700"/>
    <w:rsid w:val="00963F51"/>
    <w:rsid w:val="00964AD1"/>
    <w:rsid w:val="00964B8C"/>
    <w:rsid w:val="00964E89"/>
    <w:rsid w:val="009653E5"/>
    <w:rsid w:val="00965472"/>
    <w:rsid w:val="00965F4A"/>
    <w:rsid w:val="00966ADE"/>
    <w:rsid w:val="0096729D"/>
    <w:rsid w:val="00970201"/>
    <w:rsid w:val="00970A83"/>
    <w:rsid w:val="00971E7B"/>
    <w:rsid w:val="009725B1"/>
    <w:rsid w:val="00972666"/>
    <w:rsid w:val="00972914"/>
    <w:rsid w:val="009735EB"/>
    <w:rsid w:val="0097376E"/>
    <w:rsid w:val="009739B8"/>
    <w:rsid w:val="00973A7A"/>
    <w:rsid w:val="00973AC2"/>
    <w:rsid w:val="00973F5C"/>
    <w:rsid w:val="0097447F"/>
    <w:rsid w:val="00974694"/>
    <w:rsid w:val="00974730"/>
    <w:rsid w:val="0097475D"/>
    <w:rsid w:val="00974883"/>
    <w:rsid w:val="0097512E"/>
    <w:rsid w:val="0097558B"/>
    <w:rsid w:val="0097666E"/>
    <w:rsid w:val="009766C0"/>
    <w:rsid w:val="00976880"/>
    <w:rsid w:val="00977148"/>
    <w:rsid w:val="009771CC"/>
    <w:rsid w:val="00977C75"/>
    <w:rsid w:val="00980109"/>
    <w:rsid w:val="009802C9"/>
    <w:rsid w:val="00980373"/>
    <w:rsid w:val="00980620"/>
    <w:rsid w:val="009806A6"/>
    <w:rsid w:val="00980EE1"/>
    <w:rsid w:val="0098112F"/>
    <w:rsid w:val="0098135B"/>
    <w:rsid w:val="0098158F"/>
    <w:rsid w:val="00982308"/>
    <w:rsid w:val="00982AA3"/>
    <w:rsid w:val="00982F4B"/>
    <w:rsid w:val="00982FDF"/>
    <w:rsid w:val="0098384E"/>
    <w:rsid w:val="00984B78"/>
    <w:rsid w:val="0098511D"/>
    <w:rsid w:val="00985FEF"/>
    <w:rsid w:val="00986386"/>
    <w:rsid w:val="00986672"/>
    <w:rsid w:val="00986A3A"/>
    <w:rsid w:val="00986D49"/>
    <w:rsid w:val="00986ECD"/>
    <w:rsid w:val="0098789F"/>
    <w:rsid w:val="00987B71"/>
    <w:rsid w:val="0099059A"/>
    <w:rsid w:val="00990814"/>
    <w:rsid w:val="00990B9D"/>
    <w:rsid w:val="0099134A"/>
    <w:rsid w:val="0099149B"/>
    <w:rsid w:val="00991AE4"/>
    <w:rsid w:val="00992C9F"/>
    <w:rsid w:val="00992D73"/>
    <w:rsid w:val="009930CA"/>
    <w:rsid w:val="009931DF"/>
    <w:rsid w:val="0099365E"/>
    <w:rsid w:val="00993916"/>
    <w:rsid w:val="00993F27"/>
    <w:rsid w:val="00994681"/>
    <w:rsid w:val="00994795"/>
    <w:rsid w:val="0099495D"/>
    <w:rsid w:val="00994E5C"/>
    <w:rsid w:val="00995A11"/>
    <w:rsid w:val="00995B4F"/>
    <w:rsid w:val="009964F2"/>
    <w:rsid w:val="00996EC0"/>
    <w:rsid w:val="009A10D7"/>
    <w:rsid w:val="009A17D2"/>
    <w:rsid w:val="009A1E17"/>
    <w:rsid w:val="009A23CF"/>
    <w:rsid w:val="009A2C5E"/>
    <w:rsid w:val="009A31A3"/>
    <w:rsid w:val="009A3BD3"/>
    <w:rsid w:val="009A3C08"/>
    <w:rsid w:val="009A42BA"/>
    <w:rsid w:val="009A50F4"/>
    <w:rsid w:val="009A5717"/>
    <w:rsid w:val="009A5AA8"/>
    <w:rsid w:val="009A739A"/>
    <w:rsid w:val="009A77C9"/>
    <w:rsid w:val="009A7F59"/>
    <w:rsid w:val="009B0F97"/>
    <w:rsid w:val="009B1116"/>
    <w:rsid w:val="009B123F"/>
    <w:rsid w:val="009B153E"/>
    <w:rsid w:val="009B2A70"/>
    <w:rsid w:val="009B30EC"/>
    <w:rsid w:val="009B34EE"/>
    <w:rsid w:val="009B37ED"/>
    <w:rsid w:val="009B3852"/>
    <w:rsid w:val="009B3B88"/>
    <w:rsid w:val="009B41AD"/>
    <w:rsid w:val="009B42DE"/>
    <w:rsid w:val="009B4710"/>
    <w:rsid w:val="009B4DAF"/>
    <w:rsid w:val="009B4DDF"/>
    <w:rsid w:val="009B4FB2"/>
    <w:rsid w:val="009B52A4"/>
    <w:rsid w:val="009B52B1"/>
    <w:rsid w:val="009B5D5F"/>
    <w:rsid w:val="009B6279"/>
    <w:rsid w:val="009B648F"/>
    <w:rsid w:val="009B73EB"/>
    <w:rsid w:val="009B7831"/>
    <w:rsid w:val="009C0CA8"/>
    <w:rsid w:val="009C0D92"/>
    <w:rsid w:val="009C1CFE"/>
    <w:rsid w:val="009C1E31"/>
    <w:rsid w:val="009C24FB"/>
    <w:rsid w:val="009C40AD"/>
    <w:rsid w:val="009C4191"/>
    <w:rsid w:val="009C53F6"/>
    <w:rsid w:val="009C680C"/>
    <w:rsid w:val="009C6ADC"/>
    <w:rsid w:val="009C7047"/>
    <w:rsid w:val="009C7127"/>
    <w:rsid w:val="009C7494"/>
    <w:rsid w:val="009D0262"/>
    <w:rsid w:val="009D0356"/>
    <w:rsid w:val="009D1D70"/>
    <w:rsid w:val="009D2323"/>
    <w:rsid w:val="009D2D47"/>
    <w:rsid w:val="009D32A2"/>
    <w:rsid w:val="009D35AA"/>
    <w:rsid w:val="009D3B76"/>
    <w:rsid w:val="009D3B86"/>
    <w:rsid w:val="009D4780"/>
    <w:rsid w:val="009D4817"/>
    <w:rsid w:val="009D4E8F"/>
    <w:rsid w:val="009D5448"/>
    <w:rsid w:val="009D5C6B"/>
    <w:rsid w:val="009D6781"/>
    <w:rsid w:val="009D7387"/>
    <w:rsid w:val="009D73B4"/>
    <w:rsid w:val="009D7463"/>
    <w:rsid w:val="009D7746"/>
    <w:rsid w:val="009E01F3"/>
    <w:rsid w:val="009E02A0"/>
    <w:rsid w:val="009E043E"/>
    <w:rsid w:val="009E0F7D"/>
    <w:rsid w:val="009E1F66"/>
    <w:rsid w:val="009E225D"/>
    <w:rsid w:val="009E2C43"/>
    <w:rsid w:val="009E2ED0"/>
    <w:rsid w:val="009E3218"/>
    <w:rsid w:val="009E34E4"/>
    <w:rsid w:val="009E3F0C"/>
    <w:rsid w:val="009E3FCB"/>
    <w:rsid w:val="009E4B63"/>
    <w:rsid w:val="009E51FE"/>
    <w:rsid w:val="009E5E33"/>
    <w:rsid w:val="009E6259"/>
    <w:rsid w:val="009E637E"/>
    <w:rsid w:val="009E68F2"/>
    <w:rsid w:val="009E6A86"/>
    <w:rsid w:val="009E6EF9"/>
    <w:rsid w:val="009E7625"/>
    <w:rsid w:val="009E77F4"/>
    <w:rsid w:val="009F0775"/>
    <w:rsid w:val="009F0A10"/>
    <w:rsid w:val="009F1BF2"/>
    <w:rsid w:val="009F1C0A"/>
    <w:rsid w:val="009F29E8"/>
    <w:rsid w:val="009F2EB9"/>
    <w:rsid w:val="009F3733"/>
    <w:rsid w:val="009F375F"/>
    <w:rsid w:val="009F3A9A"/>
    <w:rsid w:val="009F3C4F"/>
    <w:rsid w:val="009F41C4"/>
    <w:rsid w:val="009F52D6"/>
    <w:rsid w:val="009F550B"/>
    <w:rsid w:val="009F6797"/>
    <w:rsid w:val="009F67A6"/>
    <w:rsid w:val="009F6A69"/>
    <w:rsid w:val="009F6E82"/>
    <w:rsid w:val="00A00000"/>
    <w:rsid w:val="00A00F5B"/>
    <w:rsid w:val="00A01634"/>
    <w:rsid w:val="00A01FD0"/>
    <w:rsid w:val="00A02876"/>
    <w:rsid w:val="00A02A7A"/>
    <w:rsid w:val="00A03085"/>
    <w:rsid w:val="00A0387F"/>
    <w:rsid w:val="00A038E3"/>
    <w:rsid w:val="00A03ABC"/>
    <w:rsid w:val="00A05970"/>
    <w:rsid w:val="00A07537"/>
    <w:rsid w:val="00A078E9"/>
    <w:rsid w:val="00A10471"/>
    <w:rsid w:val="00A105EF"/>
    <w:rsid w:val="00A1096E"/>
    <w:rsid w:val="00A10D0C"/>
    <w:rsid w:val="00A113B6"/>
    <w:rsid w:val="00A11E4D"/>
    <w:rsid w:val="00A12409"/>
    <w:rsid w:val="00A126D1"/>
    <w:rsid w:val="00A12966"/>
    <w:rsid w:val="00A12BDB"/>
    <w:rsid w:val="00A12CF6"/>
    <w:rsid w:val="00A13868"/>
    <w:rsid w:val="00A143BC"/>
    <w:rsid w:val="00A14FB9"/>
    <w:rsid w:val="00A155D6"/>
    <w:rsid w:val="00A15B09"/>
    <w:rsid w:val="00A15CAF"/>
    <w:rsid w:val="00A160C4"/>
    <w:rsid w:val="00A1675E"/>
    <w:rsid w:val="00A167EE"/>
    <w:rsid w:val="00A17665"/>
    <w:rsid w:val="00A178C5"/>
    <w:rsid w:val="00A20074"/>
    <w:rsid w:val="00A2008C"/>
    <w:rsid w:val="00A20792"/>
    <w:rsid w:val="00A20FA9"/>
    <w:rsid w:val="00A2190F"/>
    <w:rsid w:val="00A22090"/>
    <w:rsid w:val="00A222CF"/>
    <w:rsid w:val="00A2258C"/>
    <w:rsid w:val="00A22CAA"/>
    <w:rsid w:val="00A22FA2"/>
    <w:rsid w:val="00A2332E"/>
    <w:rsid w:val="00A23434"/>
    <w:rsid w:val="00A2376E"/>
    <w:rsid w:val="00A23978"/>
    <w:rsid w:val="00A24298"/>
    <w:rsid w:val="00A24754"/>
    <w:rsid w:val="00A27255"/>
    <w:rsid w:val="00A2727D"/>
    <w:rsid w:val="00A275D7"/>
    <w:rsid w:val="00A27ADB"/>
    <w:rsid w:val="00A300FB"/>
    <w:rsid w:val="00A3134B"/>
    <w:rsid w:val="00A315E7"/>
    <w:rsid w:val="00A31A6C"/>
    <w:rsid w:val="00A31BE4"/>
    <w:rsid w:val="00A31CE2"/>
    <w:rsid w:val="00A3204D"/>
    <w:rsid w:val="00A322D7"/>
    <w:rsid w:val="00A325AD"/>
    <w:rsid w:val="00A32866"/>
    <w:rsid w:val="00A32BCC"/>
    <w:rsid w:val="00A32EFB"/>
    <w:rsid w:val="00A33209"/>
    <w:rsid w:val="00A335CC"/>
    <w:rsid w:val="00A335FC"/>
    <w:rsid w:val="00A3405E"/>
    <w:rsid w:val="00A34734"/>
    <w:rsid w:val="00A34817"/>
    <w:rsid w:val="00A34ED9"/>
    <w:rsid w:val="00A35801"/>
    <w:rsid w:val="00A3590C"/>
    <w:rsid w:val="00A359FB"/>
    <w:rsid w:val="00A35BCE"/>
    <w:rsid w:val="00A362E5"/>
    <w:rsid w:val="00A3642A"/>
    <w:rsid w:val="00A36B8F"/>
    <w:rsid w:val="00A3724E"/>
    <w:rsid w:val="00A400CE"/>
    <w:rsid w:val="00A40333"/>
    <w:rsid w:val="00A406F0"/>
    <w:rsid w:val="00A408C5"/>
    <w:rsid w:val="00A40B55"/>
    <w:rsid w:val="00A40D37"/>
    <w:rsid w:val="00A4112B"/>
    <w:rsid w:val="00A4146A"/>
    <w:rsid w:val="00A420C5"/>
    <w:rsid w:val="00A423AF"/>
    <w:rsid w:val="00A4253D"/>
    <w:rsid w:val="00A436AB"/>
    <w:rsid w:val="00A43A99"/>
    <w:rsid w:val="00A44571"/>
    <w:rsid w:val="00A445F4"/>
    <w:rsid w:val="00A44C0D"/>
    <w:rsid w:val="00A4500D"/>
    <w:rsid w:val="00A45660"/>
    <w:rsid w:val="00A46535"/>
    <w:rsid w:val="00A46666"/>
    <w:rsid w:val="00A47484"/>
    <w:rsid w:val="00A47683"/>
    <w:rsid w:val="00A4783F"/>
    <w:rsid w:val="00A47D94"/>
    <w:rsid w:val="00A503F3"/>
    <w:rsid w:val="00A50671"/>
    <w:rsid w:val="00A50B22"/>
    <w:rsid w:val="00A5141E"/>
    <w:rsid w:val="00A51611"/>
    <w:rsid w:val="00A516B3"/>
    <w:rsid w:val="00A5174E"/>
    <w:rsid w:val="00A5178B"/>
    <w:rsid w:val="00A5220C"/>
    <w:rsid w:val="00A529F0"/>
    <w:rsid w:val="00A52CF1"/>
    <w:rsid w:val="00A52D0F"/>
    <w:rsid w:val="00A53851"/>
    <w:rsid w:val="00A53C10"/>
    <w:rsid w:val="00A53CA6"/>
    <w:rsid w:val="00A540E0"/>
    <w:rsid w:val="00A546AD"/>
    <w:rsid w:val="00A54D37"/>
    <w:rsid w:val="00A54DA2"/>
    <w:rsid w:val="00A5569F"/>
    <w:rsid w:val="00A56170"/>
    <w:rsid w:val="00A56C72"/>
    <w:rsid w:val="00A56F93"/>
    <w:rsid w:val="00A56FA6"/>
    <w:rsid w:val="00A57643"/>
    <w:rsid w:val="00A57650"/>
    <w:rsid w:val="00A61049"/>
    <w:rsid w:val="00A635DF"/>
    <w:rsid w:val="00A636D8"/>
    <w:rsid w:val="00A63AAE"/>
    <w:rsid w:val="00A64261"/>
    <w:rsid w:val="00A64723"/>
    <w:rsid w:val="00A64F81"/>
    <w:rsid w:val="00A65ABD"/>
    <w:rsid w:val="00A65CB1"/>
    <w:rsid w:val="00A667E9"/>
    <w:rsid w:val="00A66914"/>
    <w:rsid w:val="00A676D4"/>
    <w:rsid w:val="00A67793"/>
    <w:rsid w:val="00A678EB"/>
    <w:rsid w:val="00A67ABD"/>
    <w:rsid w:val="00A67EE7"/>
    <w:rsid w:val="00A70FC1"/>
    <w:rsid w:val="00A71331"/>
    <w:rsid w:val="00A7173E"/>
    <w:rsid w:val="00A7368E"/>
    <w:rsid w:val="00A739EC"/>
    <w:rsid w:val="00A73C3C"/>
    <w:rsid w:val="00A74370"/>
    <w:rsid w:val="00A7438F"/>
    <w:rsid w:val="00A7467A"/>
    <w:rsid w:val="00A748CA"/>
    <w:rsid w:val="00A74983"/>
    <w:rsid w:val="00A769A2"/>
    <w:rsid w:val="00A77A8F"/>
    <w:rsid w:val="00A80D6D"/>
    <w:rsid w:val="00A8138E"/>
    <w:rsid w:val="00A813F3"/>
    <w:rsid w:val="00A818BB"/>
    <w:rsid w:val="00A824AD"/>
    <w:rsid w:val="00A82E5E"/>
    <w:rsid w:val="00A833DE"/>
    <w:rsid w:val="00A851F2"/>
    <w:rsid w:val="00A85427"/>
    <w:rsid w:val="00A85439"/>
    <w:rsid w:val="00A85671"/>
    <w:rsid w:val="00A856BC"/>
    <w:rsid w:val="00A85A20"/>
    <w:rsid w:val="00A86295"/>
    <w:rsid w:val="00A8698F"/>
    <w:rsid w:val="00A87484"/>
    <w:rsid w:val="00A8772A"/>
    <w:rsid w:val="00A9106C"/>
    <w:rsid w:val="00A91D82"/>
    <w:rsid w:val="00A9263C"/>
    <w:rsid w:val="00A927BF"/>
    <w:rsid w:val="00A93BB3"/>
    <w:rsid w:val="00A9420A"/>
    <w:rsid w:val="00A9438F"/>
    <w:rsid w:val="00A94B28"/>
    <w:rsid w:val="00A94FB8"/>
    <w:rsid w:val="00A94FCB"/>
    <w:rsid w:val="00A95A9F"/>
    <w:rsid w:val="00A96325"/>
    <w:rsid w:val="00A9646F"/>
    <w:rsid w:val="00A964D1"/>
    <w:rsid w:val="00A973C6"/>
    <w:rsid w:val="00A9787D"/>
    <w:rsid w:val="00AA059B"/>
    <w:rsid w:val="00AA072A"/>
    <w:rsid w:val="00AA20AA"/>
    <w:rsid w:val="00AA28C9"/>
    <w:rsid w:val="00AA33CE"/>
    <w:rsid w:val="00AA4013"/>
    <w:rsid w:val="00AA40BA"/>
    <w:rsid w:val="00AA4159"/>
    <w:rsid w:val="00AA493C"/>
    <w:rsid w:val="00AA52D6"/>
    <w:rsid w:val="00AA585E"/>
    <w:rsid w:val="00AA5866"/>
    <w:rsid w:val="00AA591F"/>
    <w:rsid w:val="00AA65BC"/>
    <w:rsid w:val="00AA7903"/>
    <w:rsid w:val="00AB02D0"/>
    <w:rsid w:val="00AB0576"/>
    <w:rsid w:val="00AB099D"/>
    <w:rsid w:val="00AB12D8"/>
    <w:rsid w:val="00AB1848"/>
    <w:rsid w:val="00AB19D3"/>
    <w:rsid w:val="00AB3878"/>
    <w:rsid w:val="00AB3E2D"/>
    <w:rsid w:val="00AB41BD"/>
    <w:rsid w:val="00AB4687"/>
    <w:rsid w:val="00AB4944"/>
    <w:rsid w:val="00AB6069"/>
    <w:rsid w:val="00AB643F"/>
    <w:rsid w:val="00AB656F"/>
    <w:rsid w:val="00AB6652"/>
    <w:rsid w:val="00AB6870"/>
    <w:rsid w:val="00AB6E43"/>
    <w:rsid w:val="00AB74B3"/>
    <w:rsid w:val="00AB7B8E"/>
    <w:rsid w:val="00AC0273"/>
    <w:rsid w:val="00AC0A7C"/>
    <w:rsid w:val="00AC1091"/>
    <w:rsid w:val="00AC10DA"/>
    <w:rsid w:val="00AC1627"/>
    <w:rsid w:val="00AC1738"/>
    <w:rsid w:val="00AC1871"/>
    <w:rsid w:val="00AC199C"/>
    <w:rsid w:val="00AC1F1C"/>
    <w:rsid w:val="00AC23D1"/>
    <w:rsid w:val="00AC2714"/>
    <w:rsid w:val="00AC27A6"/>
    <w:rsid w:val="00AC2A6D"/>
    <w:rsid w:val="00AC2F23"/>
    <w:rsid w:val="00AC2F92"/>
    <w:rsid w:val="00AC4702"/>
    <w:rsid w:val="00AC47A8"/>
    <w:rsid w:val="00AC4B38"/>
    <w:rsid w:val="00AC590E"/>
    <w:rsid w:val="00AC5F5F"/>
    <w:rsid w:val="00AC64AC"/>
    <w:rsid w:val="00AC66AC"/>
    <w:rsid w:val="00AC6818"/>
    <w:rsid w:val="00AC6DC1"/>
    <w:rsid w:val="00AC74B6"/>
    <w:rsid w:val="00AC77E2"/>
    <w:rsid w:val="00AC7957"/>
    <w:rsid w:val="00AD0D38"/>
    <w:rsid w:val="00AD0FAE"/>
    <w:rsid w:val="00AD178A"/>
    <w:rsid w:val="00AD17F7"/>
    <w:rsid w:val="00AD1AAC"/>
    <w:rsid w:val="00AD2530"/>
    <w:rsid w:val="00AD26FF"/>
    <w:rsid w:val="00AD365A"/>
    <w:rsid w:val="00AD38D5"/>
    <w:rsid w:val="00AD3BA6"/>
    <w:rsid w:val="00AD3E88"/>
    <w:rsid w:val="00AD41E9"/>
    <w:rsid w:val="00AD45BF"/>
    <w:rsid w:val="00AD5A99"/>
    <w:rsid w:val="00AD5BC8"/>
    <w:rsid w:val="00AD5F09"/>
    <w:rsid w:val="00AD5F73"/>
    <w:rsid w:val="00AD6C0C"/>
    <w:rsid w:val="00AD6CEB"/>
    <w:rsid w:val="00AD6EBD"/>
    <w:rsid w:val="00AD7A66"/>
    <w:rsid w:val="00AE0443"/>
    <w:rsid w:val="00AE04D0"/>
    <w:rsid w:val="00AE0D14"/>
    <w:rsid w:val="00AE2681"/>
    <w:rsid w:val="00AE2D53"/>
    <w:rsid w:val="00AE3084"/>
    <w:rsid w:val="00AE3306"/>
    <w:rsid w:val="00AE3531"/>
    <w:rsid w:val="00AE3E62"/>
    <w:rsid w:val="00AE3FC6"/>
    <w:rsid w:val="00AE4092"/>
    <w:rsid w:val="00AE51F6"/>
    <w:rsid w:val="00AE57E1"/>
    <w:rsid w:val="00AE5984"/>
    <w:rsid w:val="00AE6699"/>
    <w:rsid w:val="00AE709F"/>
    <w:rsid w:val="00AE720C"/>
    <w:rsid w:val="00AE7652"/>
    <w:rsid w:val="00AE778F"/>
    <w:rsid w:val="00AE7B53"/>
    <w:rsid w:val="00AE7CAA"/>
    <w:rsid w:val="00AF00CC"/>
    <w:rsid w:val="00AF03BD"/>
    <w:rsid w:val="00AF0F2A"/>
    <w:rsid w:val="00AF14AC"/>
    <w:rsid w:val="00AF1D02"/>
    <w:rsid w:val="00AF2A71"/>
    <w:rsid w:val="00AF2B64"/>
    <w:rsid w:val="00AF3252"/>
    <w:rsid w:val="00AF326B"/>
    <w:rsid w:val="00AF3A22"/>
    <w:rsid w:val="00AF3D61"/>
    <w:rsid w:val="00AF3EFA"/>
    <w:rsid w:val="00AF472C"/>
    <w:rsid w:val="00AF594D"/>
    <w:rsid w:val="00AF5E2E"/>
    <w:rsid w:val="00AF74E4"/>
    <w:rsid w:val="00AF7629"/>
    <w:rsid w:val="00AF7E03"/>
    <w:rsid w:val="00B00591"/>
    <w:rsid w:val="00B00735"/>
    <w:rsid w:val="00B0141C"/>
    <w:rsid w:val="00B016E5"/>
    <w:rsid w:val="00B019A5"/>
    <w:rsid w:val="00B02292"/>
    <w:rsid w:val="00B02765"/>
    <w:rsid w:val="00B02848"/>
    <w:rsid w:val="00B034BB"/>
    <w:rsid w:val="00B04134"/>
    <w:rsid w:val="00B0427F"/>
    <w:rsid w:val="00B044D6"/>
    <w:rsid w:val="00B055E9"/>
    <w:rsid w:val="00B0609C"/>
    <w:rsid w:val="00B10BA0"/>
    <w:rsid w:val="00B10CE4"/>
    <w:rsid w:val="00B10E9A"/>
    <w:rsid w:val="00B11635"/>
    <w:rsid w:val="00B116A5"/>
    <w:rsid w:val="00B118C0"/>
    <w:rsid w:val="00B11AC5"/>
    <w:rsid w:val="00B11B07"/>
    <w:rsid w:val="00B11DC9"/>
    <w:rsid w:val="00B11F0D"/>
    <w:rsid w:val="00B12931"/>
    <w:rsid w:val="00B12BCD"/>
    <w:rsid w:val="00B12F5E"/>
    <w:rsid w:val="00B13458"/>
    <w:rsid w:val="00B146AA"/>
    <w:rsid w:val="00B14E55"/>
    <w:rsid w:val="00B15100"/>
    <w:rsid w:val="00B154AD"/>
    <w:rsid w:val="00B15879"/>
    <w:rsid w:val="00B15E24"/>
    <w:rsid w:val="00B16329"/>
    <w:rsid w:val="00B16514"/>
    <w:rsid w:val="00B16659"/>
    <w:rsid w:val="00B16AAC"/>
    <w:rsid w:val="00B16CA7"/>
    <w:rsid w:val="00B16D19"/>
    <w:rsid w:val="00B16F39"/>
    <w:rsid w:val="00B1720F"/>
    <w:rsid w:val="00B17361"/>
    <w:rsid w:val="00B17689"/>
    <w:rsid w:val="00B17BC4"/>
    <w:rsid w:val="00B20B53"/>
    <w:rsid w:val="00B2102D"/>
    <w:rsid w:val="00B218E8"/>
    <w:rsid w:val="00B2233C"/>
    <w:rsid w:val="00B225A1"/>
    <w:rsid w:val="00B23C45"/>
    <w:rsid w:val="00B23EB8"/>
    <w:rsid w:val="00B241CB"/>
    <w:rsid w:val="00B242AF"/>
    <w:rsid w:val="00B257E3"/>
    <w:rsid w:val="00B2583F"/>
    <w:rsid w:val="00B25F01"/>
    <w:rsid w:val="00B2630C"/>
    <w:rsid w:val="00B26C91"/>
    <w:rsid w:val="00B270FF"/>
    <w:rsid w:val="00B27CC5"/>
    <w:rsid w:val="00B307CD"/>
    <w:rsid w:val="00B307D2"/>
    <w:rsid w:val="00B311AA"/>
    <w:rsid w:val="00B31821"/>
    <w:rsid w:val="00B31FEB"/>
    <w:rsid w:val="00B3234A"/>
    <w:rsid w:val="00B32379"/>
    <w:rsid w:val="00B32910"/>
    <w:rsid w:val="00B32AD9"/>
    <w:rsid w:val="00B32CDD"/>
    <w:rsid w:val="00B33132"/>
    <w:rsid w:val="00B33904"/>
    <w:rsid w:val="00B33BBF"/>
    <w:rsid w:val="00B34297"/>
    <w:rsid w:val="00B34CBC"/>
    <w:rsid w:val="00B34D9E"/>
    <w:rsid w:val="00B352AD"/>
    <w:rsid w:val="00B3546B"/>
    <w:rsid w:val="00B360F7"/>
    <w:rsid w:val="00B361F3"/>
    <w:rsid w:val="00B36C41"/>
    <w:rsid w:val="00B36EC1"/>
    <w:rsid w:val="00B36F1E"/>
    <w:rsid w:val="00B36F70"/>
    <w:rsid w:val="00B370E5"/>
    <w:rsid w:val="00B373AC"/>
    <w:rsid w:val="00B37727"/>
    <w:rsid w:val="00B378C5"/>
    <w:rsid w:val="00B37927"/>
    <w:rsid w:val="00B40088"/>
    <w:rsid w:val="00B41507"/>
    <w:rsid w:val="00B41764"/>
    <w:rsid w:val="00B41DB3"/>
    <w:rsid w:val="00B41DB7"/>
    <w:rsid w:val="00B4210A"/>
    <w:rsid w:val="00B42D8F"/>
    <w:rsid w:val="00B430C4"/>
    <w:rsid w:val="00B4318C"/>
    <w:rsid w:val="00B4361F"/>
    <w:rsid w:val="00B44C50"/>
    <w:rsid w:val="00B4523C"/>
    <w:rsid w:val="00B452B0"/>
    <w:rsid w:val="00B452D2"/>
    <w:rsid w:val="00B45359"/>
    <w:rsid w:val="00B455DF"/>
    <w:rsid w:val="00B459D1"/>
    <w:rsid w:val="00B4603E"/>
    <w:rsid w:val="00B4661C"/>
    <w:rsid w:val="00B466D4"/>
    <w:rsid w:val="00B50128"/>
    <w:rsid w:val="00B50BC8"/>
    <w:rsid w:val="00B50D9C"/>
    <w:rsid w:val="00B547C0"/>
    <w:rsid w:val="00B54E52"/>
    <w:rsid w:val="00B55696"/>
    <w:rsid w:val="00B5576B"/>
    <w:rsid w:val="00B557DB"/>
    <w:rsid w:val="00B55A8F"/>
    <w:rsid w:val="00B55E60"/>
    <w:rsid w:val="00B573A2"/>
    <w:rsid w:val="00B57AF8"/>
    <w:rsid w:val="00B57D69"/>
    <w:rsid w:val="00B57D9B"/>
    <w:rsid w:val="00B600E1"/>
    <w:rsid w:val="00B603CC"/>
    <w:rsid w:val="00B60E63"/>
    <w:rsid w:val="00B6110F"/>
    <w:rsid w:val="00B61217"/>
    <w:rsid w:val="00B61B36"/>
    <w:rsid w:val="00B6259F"/>
    <w:rsid w:val="00B62945"/>
    <w:rsid w:val="00B6381B"/>
    <w:rsid w:val="00B63AE5"/>
    <w:rsid w:val="00B63C4F"/>
    <w:rsid w:val="00B643C8"/>
    <w:rsid w:val="00B64FC1"/>
    <w:rsid w:val="00B65101"/>
    <w:rsid w:val="00B65623"/>
    <w:rsid w:val="00B65953"/>
    <w:rsid w:val="00B65AA5"/>
    <w:rsid w:val="00B65D03"/>
    <w:rsid w:val="00B66C7F"/>
    <w:rsid w:val="00B66CD1"/>
    <w:rsid w:val="00B66D3E"/>
    <w:rsid w:val="00B67032"/>
    <w:rsid w:val="00B67AE9"/>
    <w:rsid w:val="00B708FD"/>
    <w:rsid w:val="00B70BEF"/>
    <w:rsid w:val="00B73111"/>
    <w:rsid w:val="00B73208"/>
    <w:rsid w:val="00B732B0"/>
    <w:rsid w:val="00B73353"/>
    <w:rsid w:val="00B734CA"/>
    <w:rsid w:val="00B739FB"/>
    <w:rsid w:val="00B7647A"/>
    <w:rsid w:val="00B774D3"/>
    <w:rsid w:val="00B77D5C"/>
    <w:rsid w:val="00B77D72"/>
    <w:rsid w:val="00B8057D"/>
    <w:rsid w:val="00B80584"/>
    <w:rsid w:val="00B80955"/>
    <w:rsid w:val="00B80EB3"/>
    <w:rsid w:val="00B80F4B"/>
    <w:rsid w:val="00B81083"/>
    <w:rsid w:val="00B81B3D"/>
    <w:rsid w:val="00B81BBA"/>
    <w:rsid w:val="00B81DF4"/>
    <w:rsid w:val="00B81E67"/>
    <w:rsid w:val="00B821A4"/>
    <w:rsid w:val="00B823A8"/>
    <w:rsid w:val="00B825B8"/>
    <w:rsid w:val="00B825DA"/>
    <w:rsid w:val="00B840DC"/>
    <w:rsid w:val="00B84AF5"/>
    <w:rsid w:val="00B84E19"/>
    <w:rsid w:val="00B85A62"/>
    <w:rsid w:val="00B8634B"/>
    <w:rsid w:val="00B868F2"/>
    <w:rsid w:val="00B874E7"/>
    <w:rsid w:val="00B87E43"/>
    <w:rsid w:val="00B87F33"/>
    <w:rsid w:val="00B9008A"/>
    <w:rsid w:val="00B90B26"/>
    <w:rsid w:val="00B92034"/>
    <w:rsid w:val="00B926AB"/>
    <w:rsid w:val="00B9348F"/>
    <w:rsid w:val="00B942AE"/>
    <w:rsid w:val="00B943D5"/>
    <w:rsid w:val="00B94857"/>
    <w:rsid w:val="00B94933"/>
    <w:rsid w:val="00B94C5E"/>
    <w:rsid w:val="00B94CD0"/>
    <w:rsid w:val="00B954AB"/>
    <w:rsid w:val="00B95E4A"/>
    <w:rsid w:val="00B96523"/>
    <w:rsid w:val="00B96DF2"/>
    <w:rsid w:val="00B96FCB"/>
    <w:rsid w:val="00B97507"/>
    <w:rsid w:val="00B97559"/>
    <w:rsid w:val="00B97B8A"/>
    <w:rsid w:val="00BA08C8"/>
    <w:rsid w:val="00BA08F9"/>
    <w:rsid w:val="00BA0C6E"/>
    <w:rsid w:val="00BA1173"/>
    <w:rsid w:val="00BA1DF4"/>
    <w:rsid w:val="00BA203B"/>
    <w:rsid w:val="00BA239A"/>
    <w:rsid w:val="00BA281A"/>
    <w:rsid w:val="00BA2A2F"/>
    <w:rsid w:val="00BA2DD9"/>
    <w:rsid w:val="00BA2EE0"/>
    <w:rsid w:val="00BA34BC"/>
    <w:rsid w:val="00BA3571"/>
    <w:rsid w:val="00BA3681"/>
    <w:rsid w:val="00BA3919"/>
    <w:rsid w:val="00BA3D87"/>
    <w:rsid w:val="00BA42DC"/>
    <w:rsid w:val="00BA4A90"/>
    <w:rsid w:val="00BA4B0C"/>
    <w:rsid w:val="00BA5121"/>
    <w:rsid w:val="00BA52DF"/>
    <w:rsid w:val="00BA5C99"/>
    <w:rsid w:val="00BA5CD1"/>
    <w:rsid w:val="00BA5FDF"/>
    <w:rsid w:val="00BA6928"/>
    <w:rsid w:val="00BA698D"/>
    <w:rsid w:val="00BA6B96"/>
    <w:rsid w:val="00BA6D13"/>
    <w:rsid w:val="00BA6E6C"/>
    <w:rsid w:val="00BA704C"/>
    <w:rsid w:val="00BA738D"/>
    <w:rsid w:val="00BA7534"/>
    <w:rsid w:val="00BA77DF"/>
    <w:rsid w:val="00BA787D"/>
    <w:rsid w:val="00BA7923"/>
    <w:rsid w:val="00BB0367"/>
    <w:rsid w:val="00BB0EE3"/>
    <w:rsid w:val="00BB1172"/>
    <w:rsid w:val="00BB12D5"/>
    <w:rsid w:val="00BB1DA1"/>
    <w:rsid w:val="00BB2752"/>
    <w:rsid w:val="00BB2785"/>
    <w:rsid w:val="00BB3EBF"/>
    <w:rsid w:val="00BB4EBE"/>
    <w:rsid w:val="00BB54FC"/>
    <w:rsid w:val="00BB5B94"/>
    <w:rsid w:val="00BB5C35"/>
    <w:rsid w:val="00BB6160"/>
    <w:rsid w:val="00BB6509"/>
    <w:rsid w:val="00BB6A05"/>
    <w:rsid w:val="00BB7100"/>
    <w:rsid w:val="00BB7CB9"/>
    <w:rsid w:val="00BC07DD"/>
    <w:rsid w:val="00BC1466"/>
    <w:rsid w:val="00BC163F"/>
    <w:rsid w:val="00BC1704"/>
    <w:rsid w:val="00BC21B8"/>
    <w:rsid w:val="00BC2344"/>
    <w:rsid w:val="00BC2EAF"/>
    <w:rsid w:val="00BC3656"/>
    <w:rsid w:val="00BC3F1A"/>
    <w:rsid w:val="00BC5111"/>
    <w:rsid w:val="00BC5527"/>
    <w:rsid w:val="00BC5870"/>
    <w:rsid w:val="00BC5C68"/>
    <w:rsid w:val="00BC65F0"/>
    <w:rsid w:val="00BC6BE5"/>
    <w:rsid w:val="00BC731F"/>
    <w:rsid w:val="00BC7AA3"/>
    <w:rsid w:val="00BC7D17"/>
    <w:rsid w:val="00BD0CBA"/>
    <w:rsid w:val="00BD14E2"/>
    <w:rsid w:val="00BD1702"/>
    <w:rsid w:val="00BD1F34"/>
    <w:rsid w:val="00BD256B"/>
    <w:rsid w:val="00BD28B4"/>
    <w:rsid w:val="00BD34FF"/>
    <w:rsid w:val="00BD3CB1"/>
    <w:rsid w:val="00BD3DA4"/>
    <w:rsid w:val="00BD3F8F"/>
    <w:rsid w:val="00BD41F6"/>
    <w:rsid w:val="00BD4E20"/>
    <w:rsid w:val="00BD4E6E"/>
    <w:rsid w:val="00BD54FB"/>
    <w:rsid w:val="00BD5B2A"/>
    <w:rsid w:val="00BD6C0A"/>
    <w:rsid w:val="00BD7817"/>
    <w:rsid w:val="00BD7B29"/>
    <w:rsid w:val="00BD7F99"/>
    <w:rsid w:val="00BE00CD"/>
    <w:rsid w:val="00BE088D"/>
    <w:rsid w:val="00BE0C0B"/>
    <w:rsid w:val="00BE18CC"/>
    <w:rsid w:val="00BE1A10"/>
    <w:rsid w:val="00BE1D9D"/>
    <w:rsid w:val="00BE1F74"/>
    <w:rsid w:val="00BE2097"/>
    <w:rsid w:val="00BE2F80"/>
    <w:rsid w:val="00BE332B"/>
    <w:rsid w:val="00BE3384"/>
    <w:rsid w:val="00BE3DED"/>
    <w:rsid w:val="00BE4BBA"/>
    <w:rsid w:val="00BE66C6"/>
    <w:rsid w:val="00BE6B79"/>
    <w:rsid w:val="00BE7204"/>
    <w:rsid w:val="00BE77DD"/>
    <w:rsid w:val="00BE79CB"/>
    <w:rsid w:val="00BE7C5E"/>
    <w:rsid w:val="00BE7D98"/>
    <w:rsid w:val="00BE7FE4"/>
    <w:rsid w:val="00BF019D"/>
    <w:rsid w:val="00BF0CE5"/>
    <w:rsid w:val="00BF0F7B"/>
    <w:rsid w:val="00BF1197"/>
    <w:rsid w:val="00BF1B31"/>
    <w:rsid w:val="00BF1DD0"/>
    <w:rsid w:val="00BF1EDB"/>
    <w:rsid w:val="00BF218A"/>
    <w:rsid w:val="00BF2257"/>
    <w:rsid w:val="00BF2283"/>
    <w:rsid w:val="00BF2F7D"/>
    <w:rsid w:val="00BF342D"/>
    <w:rsid w:val="00BF3743"/>
    <w:rsid w:val="00BF3849"/>
    <w:rsid w:val="00BF393B"/>
    <w:rsid w:val="00BF3E31"/>
    <w:rsid w:val="00BF506A"/>
    <w:rsid w:val="00BF5719"/>
    <w:rsid w:val="00BF5EC5"/>
    <w:rsid w:val="00BF6E34"/>
    <w:rsid w:val="00BF706A"/>
    <w:rsid w:val="00BF74CE"/>
    <w:rsid w:val="00BF79A7"/>
    <w:rsid w:val="00BF7F93"/>
    <w:rsid w:val="00C00C51"/>
    <w:rsid w:val="00C02BA3"/>
    <w:rsid w:val="00C02EE8"/>
    <w:rsid w:val="00C034DC"/>
    <w:rsid w:val="00C04016"/>
    <w:rsid w:val="00C04093"/>
    <w:rsid w:val="00C040AE"/>
    <w:rsid w:val="00C042D7"/>
    <w:rsid w:val="00C04A7A"/>
    <w:rsid w:val="00C0529A"/>
    <w:rsid w:val="00C05E30"/>
    <w:rsid w:val="00C065B1"/>
    <w:rsid w:val="00C06681"/>
    <w:rsid w:val="00C0719F"/>
    <w:rsid w:val="00C07299"/>
    <w:rsid w:val="00C074F6"/>
    <w:rsid w:val="00C076FB"/>
    <w:rsid w:val="00C07B26"/>
    <w:rsid w:val="00C07E6D"/>
    <w:rsid w:val="00C10096"/>
    <w:rsid w:val="00C100D3"/>
    <w:rsid w:val="00C10FF4"/>
    <w:rsid w:val="00C111A2"/>
    <w:rsid w:val="00C11227"/>
    <w:rsid w:val="00C11766"/>
    <w:rsid w:val="00C11816"/>
    <w:rsid w:val="00C11A12"/>
    <w:rsid w:val="00C11A3F"/>
    <w:rsid w:val="00C11A89"/>
    <w:rsid w:val="00C11B14"/>
    <w:rsid w:val="00C11D13"/>
    <w:rsid w:val="00C12118"/>
    <w:rsid w:val="00C123A1"/>
    <w:rsid w:val="00C1251C"/>
    <w:rsid w:val="00C1264A"/>
    <w:rsid w:val="00C1291A"/>
    <w:rsid w:val="00C13590"/>
    <w:rsid w:val="00C13992"/>
    <w:rsid w:val="00C13A1C"/>
    <w:rsid w:val="00C14416"/>
    <w:rsid w:val="00C14D56"/>
    <w:rsid w:val="00C152C8"/>
    <w:rsid w:val="00C15459"/>
    <w:rsid w:val="00C1569D"/>
    <w:rsid w:val="00C15C37"/>
    <w:rsid w:val="00C1623F"/>
    <w:rsid w:val="00C1645B"/>
    <w:rsid w:val="00C16BB5"/>
    <w:rsid w:val="00C16E8E"/>
    <w:rsid w:val="00C171BF"/>
    <w:rsid w:val="00C17967"/>
    <w:rsid w:val="00C179C3"/>
    <w:rsid w:val="00C17E2C"/>
    <w:rsid w:val="00C202FC"/>
    <w:rsid w:val="00C20353"/>
    <w:rsid w:val="00C21052"/>
    <w:rsid w:val="00C21153"/>
    <w:rsid w:val="00C21470"/>
    <w:rsid w:val="00C218D1"/>
    <w:rsid w:val="00C219D5"/>
    <w:rsid w:val="00C21AA4"/>
    <w:rsid w:val="00C21C30"/>
    <w:rsid w:val="00C220A5"/>
    <w:rsid w:val="00C221E5"/>
    <w:rsid w:val="00C2241F"/>
    <w:rsid w:val="00C22953"/>
    <w:rsid w:val="00C2301C"/>
    <w:rsid w:val="00C2306C"/>
    <w:rsid w:val="00C231EA"/>
    <w:rsid w:val="00C23A78"/>
    <w:rsid w:val="00C2423D"/>
    <w:rsid w:val="00C24304"/>
    <w:rsid w:val="00C24AE6"/>
    <w:rsid w:val="00C24DE5"/>
    <w:rsid w:val="00C25329"/>
    <w:rsid w:val="00C255ED"/>
    <w:rsid w:val="00C25641"/>
    <w:rsid w:val="00C256A6"/>
    <w:rsid w:val="00C25A4A"/>
    <w:rsid w:val="00C25E8A"/>
    <w:rsid w:val="00C25EE7"/>
    <w:rsid w:val="00C25F06"/>
    <w:rsid w:val="00C25F66"/>
    <w:rsid w:val="00C26076"/>
    <w:rsid w:val="00C272B3"/>
    <w:rsid w:val="00C27BDE"/>
    <w:rsid w:val="00C30216"/>
    <w:rsid w:val="00C30245"/>
    <w:rsid w:val="00C30B79"/>
    <w:rsid w:val="00C30EC7"/>
    <w:rsid w:val="00C310BF"/>
    <w:rsid w:val="00C31EBB"/>
    <w:rsid w:val="00C31FB2"/>
    <w:rsid w:val="00C32159"/>
    <w:rsid w:val="00C325F9"/>
    <w:rsid w:val="00C326D8"/>
    <w:rsid w:val="00C326DF"/>
    <w:rsid w:val="00C3276C"/>
    <w:rsid w:val="00C32C71"/>
    <w:rsid w:val="00C32E9E"/>
    <w:rsid w:val="00C33035"/>
    <w:rsid w:val="00C3350A"/>
    <w:rsid w:val="00C33CFA"/>
    <w:rsid w:val="00C3449B"/>
    <w:rsid w:val="00C3465A"/>
    <w:rsid w:val="00C34951"/>
    <w:rsid w:val="00C369CA"/>
    <w:rsid w:val="00C371F9"/>
    <w:rsid w:val="00C3726C"/>
    <w:rsid w:val="00C37434"/>
    <w:rsid w:val="00C3781D"/>
    <w:rsid w:val="00C379FB"/>
    <w:rsid w:val="00C37B89"/>
    <w:rsid w:val="00C37D67"/>
    <w:rsid w:val="00C37E51"/>
    <w:rsid w:val="00C40371"/>
    <w:rsid w:val="00C40900"/>
    <w:rsid w:val="00C40D64"/>
    <w:rsid w:val="00C4106D"/>
    <w:rsid w:val="00C41257"/>
    <w:rsid w:val="00C41445"/>
    <w:rsid w:val="00C42A7D"/>
    <w:rsid w:val="00C42F9A"/>
    <w:rsid w:val="00C43014"/>
    <w:rsid w:val="00C43287"/>
    <w:rsid w:val="00C433CB"/>
    <w:rsid w:val="00C43FFB"/>
    <w:rsid w:val="00C444ED"/>
    <w:rsid w:val="00C44787"/>
    <w:rsid w:val="00C45094"/>
    <w:rsid w:val="00C45494"/>
    <w:rsid w:val="00C456AC"/>
    <w:rsid w:val="00C459CE"/>
    <w:rsid w:val="00C46859"/>
    <w:rsid w:val="00C46CC4"/>
    <w:rsid w:val="00C4703F"/>
    <w:rsid w:val="00C47430"/>
    <w:rsid w:val="00C47542"/>
    <w:rsid w:val="00C47A7A"/>
    <w:rsid w:val="00C5003B"/>
    <w:rsid w:val="00C50DED"/>
    <w:rsid w:val="00C51596"/>
    <w:rsid w:val="00C51B76"/>
    <w:rsid w:val="00C51ECE"/>
    <w:rsid w:val="00C52935"/>
    <w:rsid w:val="00C52C61"/>
    <w:rsid w:val="00C53269"/>
    <w:rsid w:val="00C537C2"/>
    <w:rsid w:val="00C53B96"/>
    <w:rsid w:val="00C53CAD"/>
    <w:rsid w:val="00C5422E"/>
    <w:rsid w:val="00C5491A"/>
    <w:rsid w:val="00C54DA4"/>
    <w:rsid w:val="00C555CB"/>
    <w:rsid w:val="00C55627"/>
    <w:rsid w:val="00C55901"/>
    <w:rsid w:val="00C55D12"/>
    <w:rsid w:val="00C55E99"/>
    <w:rsid w:val="00C562C3"/>
    <w:rsid w:val="00C5657A"/>
    <w:rsid w:val="00C57404"/>
    <w:rsid w:val="00C579C5"/>
    <w:rsid w:val="00C57B42"/>
    <w:rsid w:val="00C57CE7"/>
    <w:rsid w:val="00C601CB"/>
    <w:rsid w:val="00C615E8"/>
    <w:rsid w:val="00C61A10"/>
    <w:rsid w:val="00C62801"/>
    <w:rsid w:val="00C62FAD"/>
    <w:rsid w:val="00C63D3A"/>
    <w:rsid w:val="00C641C7"/>
    <w:rsid w:val="00C64408"/>
    <w:rsid w:val="00C6490A"/>
    <w:rsid w:val="00C6574C"/>
    <w:rsid w:val="00C65D2E"/>
    <w:rsid w:val="00C6603F"/>
    <w:rsid w:val="00C665B9"/>
    <w:rsid w:val="00C66E7F"/>
    <w:rsid w:val="00C67A45"/>
    <w:rsid w:val="00C67C72"/>
    <w:rsid w:val="00C67F69"/>
    <w:rsid w:val="00C703A0"/>
    <w:rsid w:val="00C70A33"/>
    <w:rsid w:val="00C7124F"/>
    <w:rsid w:val="00C716C2"/>
    <w:rsid w:val="00C71BE6"/>
    <w:rsid w:val="00C71F7A"/>
    <w:rsid w:val="00C72699"/>
    <w:rsid w:val="00C73300"/>
    <w:rsid w:val="00C73479"/>
    <w:rsid w:val="00C73A5B"/>
    <w:rsid w:val="00C73E33"/>
    <w:rsid w:val="00C73ED6"/>
    <w:rsid w:val="00C74302"/>
    <w:rsid w:val="00C74A75"/>
    <w:rsid w:val="00C74A9A"/>
    <w:rsid w:val="00C75223"/>
    <w:rsid w:val="00C756B0"/>
    <w:rsid w:val="00C75E6A"/>
    <w:rsid w:val="00C75F9C"/>
    <w:rsid w:val="00C7603E"/>
    <w:rsid w:val="00C768A1"/>
    <w:rsid w:val="00C768E2"/>
    <w:rsid w:val="00C76919"/>
    <w:rsid w:val="00C7691A"/>
    <w:rsid w:val="00C76DD1"/>
    <w:rsid w:val="00C77A19"/>
    <w:rsid w:val="00C81001"/>
    <w:rsid w:val="00C81D4F"/>
    <w:rsid w:val="00C8255D"/>
    <w:rsid w:val="00C83164"/>
    <w:rsid w:val="00C83B7B"/>
    <w:rsid w:val="00C83DF1"/>
    <w:rsid w:val="00C84144"/>
    <w:rsid w:val="00C85B17"/>
    <w:rsid w:val="00C85EA8"/>
    <w:rsid w:val="00C8633B"/>
    <w:rsid w:val="00C87101"/>
    <w:rsid w:val="00C87606"/>
    <w:rsid w:val="00C9057B"/>
    <w:rsid w:val="00C91214"/>
    <w:rsid w:val="00C918C4"/>
    <w:rsid w:val="00C91FBC"/>
    <w:rsid w:val="00C92651"/>
    <w:rsid w:val="00C92DA0"/>
    <w:rsid w:val="00C93A92"/>
    <w:rsid w:val="00C940E8"/>
    <w:rsid w:val="00C942CC"/>
    <w:rsid w:val="00C9489A"/>
    <w:rsid w:val="00C95BD1"/>
    <w:rsid w:val="00C96BA0"/>
    <w:rsid w:val="00C96CB5"/>
    <w:rsid w:val="00C972BA"/>
    <w:rsid w:val="00C97A31"/>
    <w:rsid w:val="00CA0EEA"/>
    <w:rsid w:val="00CA11E0"/>
    <w:rsid w:val="00CA154A"/>
    <w:rsid w:val="00CA177D"/>
    <w:rsid w:val="00CA1A9D"/>
    <w:rsid w:val="00CA2217"/>
    <w:rsid w:val="00CA2B5A"/>
    <w:rsid w:val="00CA2E41"/>
    <w:rsid w:val="00CA35A9"/>
    <w:rsid w:val="00CA3779"/>
    <w:rsid w:val="00CA3ABA"/>
    <w:rsid w:val="00CA3CD0"/>
    <w:rsid w:val="00CA41B9"/>
    <w:rsid w:val="00CA422F"/>
    <w:rsid w:val="00CA43AC"/>
    <w:rsid w:val="00CA4B95"/>
    <w:rsid w:val="00CA4E81"/>
    <w:rsid w:val="00CA58F7"/>
    <w:rsid w:val="00CA5AA6"/>
    <w:rsid w:val="00CA6198"/>
    <w:rsid w:val="00CA682E"/>
    <w:rsid w:val="00CA68E8"/>
    <w:rsid w:val="00CA6C95"/>
    <w:rsid w:val="00CA6F5C"/>
    <w:rsid w:val="00CA7E61"/>
    <w:rsid w:val="00CB036F"/>
    <w:rsid w:val="00CB0478"/>
    <w:rsid w:val="00CB139F"/>
    <w:rsid w:val="00CB146C"/>
    <w:rsid w:val="00CB1F79"/>
    <w:rsid w:val="00CB2495"/>
    <w:rsid w:val="00CB2AC9"/>
    <w:rsid w:val="00CB3199"/>
    <w:rsid w:val="00CB3714"/>
    <w:rsid w:val="00CB3AB1"/>
    <w:rsid w:val="00CB40A2"/>
    <w:rsid w:val="00CB4169"/>
    <w:rsid w:val="00CB43A3"/>
    <w:rsid w:val="00CB44C3"/>
    <w:rsid w:val="00CB487F"/>
    <w:rsid w:val="00CB682F"/>
    <w:rsid w:val="00CB7AC8"/>
    <w:rsid w:val="00CB7E60"/>
    <w:rsid w:val="00CC0222"/>
    <w:rsid w:val="00CC0CBA"/>
    <w:rsid w:val="00CC10A5"/>
    <w:rsid w:val="00CC1E8B"/>
    <w:rsid w:val="00CC1F6F"/>
    <w:rsid w:val="00CC206F"/>
    <w:rsid w:val="00CC3311"/>
    <w:rsid w:val="00CC35FB"/>
    <w:rsid w:val="00CC3AC2"/>
    <w:rsid w:val="00CC3EF2"/>
    <w:rsid w:val="00CC44F7"/>
    <w:rsid w:val="00CC46AC"/>
    <w:rsid w:val="00CC4BF8"/>
    <w:rsid w:val="00CC59D5"/>
    <w:rsid w:val="00CC5F5A"/>
    <w:rsid w:val="00CC6652"/>
    <w:rsid w:val="00CC6657"/>
    <w:rsid w:val="00CC66F0"/>
    <w:rsid w:val="00CC68B4"/>
    <w:rsid w:val="00CC7711"/>
    <w:rsid w:val="00CC7921"/>
    <w:rsid w:val="00CC7BFF"/>
    <w:rsid w:val="00CD0452"/>
    <w:rsid w:val="00CD1229"/>
    <w:rsid w:val="00CD194F"/>
    <w:rsid w:val="00CD20AE"/>
    <w:rsid w:val="00CD2985"/>
    <w:rsid w:val="00CD2C27"/>
    <w:rsid w:val="00CD3100"/>
    <w:rsid w:val="00CD32A8"/>
    <w:rsid w:val="00CD3AFB"/>
    <w:rsid w:val="00CD4244"/>
    <w:rsid w:val="00CD452E"/>
    <w:rsid w:val="00CD532A"/>
    <w:rsid w:val="00CD56F7"/>
    <w:rsid w:val="00CD5865"/>
    <w:rsid w:val="00CD67C7"/>
    <w:rsid w:val="00CD6830"/>
    <w:rsid w:val="00CD7321"/>
    <w:rsid w:val="00CD75D7"/>
    <w:rsid w:val="00CE03E0"/>
    <w:rsid w:val="00CE090F"/>
    <w:rsid w:val="00CE0D98"/>
    <w:rsid w:val="00CE17A8"/>
    <w:rsid w:val="00CE312F"/>
    <w:rsid w:val="00CE4076"/>
    <w:rsid w:val="00CE4BE1"/>
    <w:rsid w:val="00CE4D06"/>
    <w:rsid w:val="00CE505C"/>
    <w:rsid w:val="00CE53CB"/>
    <w:rsid w:val="00CE55DD"/>
    <w:rsid w:val="00CE59ED"/>
    <w:rsid w:val="00CE59F8"/>
    <w:rsid w:val="00CE5A1A"/>
    <w:rsid w:val="00CE5A32"/>
    <w:rsid w:val="00CE5D83"/>
    <w:rsid w:val="00CE5E90"/>
    <w:rsid w:val="00CE6242"/>
    <w:rsid w:val="00CE6B29"/>
    <w:rsid w:val="00CE6CA2"/>
    <w:rsid w:val="00CE6D35"/>
    <w:rsid w:val="00CE759D"/>
    <w:rsid w:val="00CE76D3"/>
    <w:rsid w:val="00CF0305"/>
    <w:rsid w:val="00CF0583"/>
    <w:rsid w:val="00CF0727"/>
    <w:rsid w:val="00CF090F"/>
    <w:rsid w:val="00CF0C01"/>
    <w:rsid w:val="00CF0D4F"/>
    <w:rsid w:val="00CF1162"/>
    <w:rsid w:val="00CF12B2"/>
    <w:rsid w:val="00CF1BEF"/>
    <w:rsid w:val="00CF2325"/>
    <w:rsid w:val="00CF27A7"/>
    <w:rsid w:val="00CF2EBE"/>
    <w:rsid w:val="00CF310B"/>
    <w:rsid w:val="00CF3300"/>
    <w:rsid w:val="00CF387F"/>
    <w:rsid w:val="00CF4464"/>
    <w:rsid w:val="00CF495A"/>
    <w:rsid w:val="00CF4C01"/>
    <w:rsid w:val="00CF6633"/>
    <w:rsid w:val="00CF6BB8"/>
    <w:rsid w:val="00CF7F35"/>
    <w:rsid w:val="00D0095E"/>
    <w:rsid w:val="00D009DF"/>
    <w:rsid w:val="00D00AD5"/>
    <w:rsid w:val="00D00C05"/>
    <w:rsid w:val="00D0142A"/>
    <w:rsid w:val="00D01CA1"/>
    <w:rsid w:val="00D02027"/>
    <w:rsid w:val="00D02A81"/>
    <w:rsid w:val="00D02B48"/>
    <w:rsid w:val="00D03173"/>
    <w:rsid w:val="00D03259"/>
    <w:rsid w:val="00D03892"/>
    <w:rsid w:val="00D03F73"/>
    <w:rsid w:val="00D041EF"/>
    <w:rsid w:val="00D04F8E"/>
    <w:rsid w:val="00D05B40"/>
    <w:rsid w:val="00D05C07"/>
    <w:rsid w:val="00D062D6"/>
    <w:rsid w:val="00D06FF1"/>
    <w:rsid w:val="00D071BB"/>
    <w:rsid w:val="00D07DA5"/>
    <w:rsid w:val="00D10CBE"/>
    <w:rsid w:val="00D10DE5"/>
    <w:rsid w:val="00D12824"/>
    <w:rsid w:val="00D129DB"/>
    <w:rsid w:val="00D12BCB"/>
    <w:rsid w:val="00D14795"/>
    <w:rsid w:val="00D149D3"/>
    <w:rsid w:val="00D14A86"/>
    <w:rsid w:val="00D14C89"/>
    <w:rsid w:val="00D14CE5"/>
    <w:rsid w:val="00D15838"/>
    <w:rsid w:val="00D15D9B"/>
    <w:rsid w:val="00D169DC"/>
    <w:rsid w:val="00D1753B"/>
    <w:rsid w:val="00D177CB"/>
    <w:rsid w:val="00D17B87"/>
    <w:rsid w:val="00D17EEC"/>
    <w:rsid w:val="00D201EF"/>
    <w:rsid w:val="00D20A69"/>
    <w:rsid w:val="00D20DA3"/>
    <w:rsid w:val="00D20F35"/>
    <w:rsid w:val="00D21395"/>
    <w:rsid w:val="00D219B0"/>
    <w:rsid w:val="00D21EA6"/>
    <w:rsid w:val="00D220B1"/>
    <w:rsid w:val="00D2215F"/>
    <w:rsid w:val="00D22F14"/>
    <w:rsid w:val="00D23702"/>
    <w:rsid w:val="00D239CA"/>
    <w:rsid w:val="00D23F36"/>
    <w:rsid w:val="00D24B6C"/>
    <w:rsid w:val="00D26196"/>
    <w:rsid w:val="00D269AF"/>
    <w:rsid w:val="00D26E43"/>
    <w:rsid w:val="00D27B4E"/>
    <w:rsid w:val="00D30873"/>
    <w:rsid w:val="00D30CF2"/>
    <w:rsid w:val="00D31131"/>
    <w:rsid w:val="00D31266"/>
    <w:rsid w:val="00D31D08"/>
    <w:rsid w:val="00D327D7"/>
    <w:rsid w:val="00D3284F"/>
    <w:rsid w:val="00D3302C"/>
    <w:rsid w:val="00D33624"/>
    <w:rsid w:val="00D339C0"/>
    <w:rsid w:val="00D33BBB"/>
    <w:rsid w:val="00D33E46"/>
    <w:rsid w:val="00D35A30"/>
    <w:rsid w:val="00D35D3A"/>
    <w:rsid w:val="00D35F79"/>
    <w:rsid w:val="00D3644C"/>
    <w:rsid w:val="00D36AAA"/>
    <w:rsid w:val="00D36DF2"/>
    <w:rsid w:val="00D36EB2"/>
    <w:rsid w:val="00D375F1"/>
    <w:rsid w:val="00D40F89"/>
    <w:rsid w:val="00D417FD"/>
    <w:rsid w:val="00D4186D"/>
    <w:rsid w:val="00D430FD"/>
    <w:rsid w:val="00D4329F"/>
    <w:rsid w:val="00D4392A"/>
    <w:rsid w:val="00D4398C"/>
    <w:rsid w:val="00D43A3C"/>
    <w:rsid w:val="00D43A44"/>
    <w:rsid w:val="00D43B0C"/>
    <w:rsid w:val="00D44212"/>
    <w:rsid w:val="00D444BC"/>
    <w:rsid w:val="00D44CB8"/>
    <w:rsid w:val="00D45272"/>
    <w:rsid w:val="00D4571B"/>
    <w:rsid w:val="00D45F17"/>
    <w:rsid w:val="00D464CA"/>
    <w:rsid w:val="00D46FC1"/>
    <w:rsid w:val="00D50376"/>
    <w:rsid w:val="00D51052"/>
    <w:rsid w:val="00D524C7"/>
    <w:rsid w:val="00D528E0"/>
    <w:rsid w:val="00D52D44"/>
    <w:rsid w:val="00D539C8"/>
    <w:rsid w:val="00D53A44"/>
    <w:rsid w:val="00D53B41"/>
    <w:rsid w:val="00D53EA3"/>
    <w:rsid w:val="00D54472"/>
    <w:rsid w:val="00D549ED"/>
    <w:rsid w:val="00D54B59"/>
    <w:rsid w:val="00D54EA8"/>
    <w:rsid w:val="00D54EF5"/>
    <w:rsid w:val="00D5505D"/>
    <w:rsid w:val="00D55155"/>
    <w:rsid w:val="00D55702"/>
    <w:rsid w:val="00D558A4"/>
    <w:rsid w:val="00D55C2B"/>
    <w:rsid w:val="00D55DC5"/>
    <w:rsid w:val="00D56F2A"/>
    <w:rsid w:val="00D6060D"/>
    <w:rsid w:val="00D60775"/>
    <w:rsid w:val="00D60A95"/>
    <w:rsid w:val="00D60ABD"/>
    <w:rsid w:val="00D614A2"/>
    <w:rsid w:val="00D61CD2"/>
    <w:rsid w:val="00D627F0"/>
    <w:rsid w:val="00D62AAD"/>
    <w:rsid w:val="00D62DCD"/>
    <w:rsid w:val="00D63108"/>
    <w:rsid w:val="00D6365E"/>
    <w:rsid w:val="00D63FEA"/>
    <w:rsid w:val="00D6435B"/>
    <w:rsid w:val="00D64388"/>
    <w:rsid w:val="00D64626"/>
    <w:rsid w:val="00D64766"/>
    <w:rsid w:val="00D647DF"/>
    <w:rsid w:val="00D648D3"/>
    <w:rsid w:val="00D64992"/>
    <w:rsid w:val="00D66322"/>
    <w:rsid w:val="00D663F6"/>
    <w:rsid w:val="00D66BD5"/>
    <w:rsid w:val="00D66FC6"/>
    <w:rsid w:val="00D677E6"/>
    <w:rsid w:val="00D67BE2"/>
    <w:rsid w:val="00D700B1"/>
    <w:rsid w:val="00D7229D"/>
    <w:rsid w:val="00D72C49"/>
    <w:rsid w:val="00D72C93"/>
    <w:rsid w:val="00D73456"/>
    <w:rsid w:val="00D74003"/>
    <w:rsid w:val="00D74F9D"/>
    <w:rsid w:val="00D7517C"/>
    <w:rsid w:val="00D75196"/>
    <w:rsid w:val="00D75743"/>
    <w:rsid w:val="00D75B9B"/>
    <w:rsid w:val="00D765E6"/>
    <w:rsid w:val="00D772BD"/>
    <w:rsid w:val="00D77440"/>
    <w:rsid w:val="00D77ABE"/>
    <w:rsid w:val="00D77F7B"/>
    <w:rsid w:val="00D801E7"/>
    <w:rsid w:val="00D80E0F"/>
    <w:rsid w:val="00D81079"/>
    <w:rsid w:val="00D817D2"/>
    <w:rsid w:val="00D8210C"/>
    <w:rsid w:val="00D82580"/>
    <w:rsid w:val="00D842F4"/>
    <w:rsid w:val="00D84452"/>
    <w:rsid w:val="00D848FC"/>
    <w:rsid w:val="00D84CA6"/>
    <w:rsid w:val="00D84DE7"/>
    <w:rsid w:val="00D84EC8"/>
    <w:rsid w:val="00D85987"/>
    <w:rsid w:val="00D8602A"/>
    <w:rsid w:val="00D86087"/>
    <w:rsid w:val="00D8608E"/>
    <w:rsid w:val="00D86A55"/>
    <w:rsid w:val="00D86A9C"/>
    <w:rsid w:val="00D86B7E"/>
    <w:rsid w:val="00D875F2"/>
    <w:rsid w:val="00D87CE8"/>
    <w:rsid w:val="00D9050D"/>
    <w:rsid w:val="00D9089F"/>
    <w:rsid w:val="00D90F1A"/>
    <w:rsid w:val="00D91770"/>
    <w:rsid w:val="00D92CA1"/>
    <w:rsid w:val="00D93458"/>
    <w:rsid w:val="00D939A9"/>
    <w:rsid w:val="00D93F25"/>
    <w:rsid w:val="00D942D9"/>
    <w:rsid w:val="00D94C97"/>
    <w:rsid w:val="00D95095"/>
    <w:rsid w:val="00D966C6"/>
    <w:rsid w:val="00D96D4F"/>
    <w:rsid w:val="00D9760F"/>
    <w:rsid w:val="00D97A1B"/>
    <w:rsid w:val="00DA03FE"/>
    <w:rsid w:val="00DA0A8C"/>
    <w:rsid w:val="00DA12E9"/>
    <w:rsid w:val="00DA13AC"/>
    <w:rsid w:val="00DA13E3"/>
    <w:rsid w:val="00DA159B"/>
    <w:rsid w:val="00DA278E"/>
    <w:rsid w:val="00DA28CB"/>
    <w:rsid w:val="00DA2FE7"/>
    <w:rsid w:val="00DA3158"/>
    <w:rsid w:val="00DA3B38"/>
    <w:rsid w:val="00DA4F93"/>
    <w:rsid w:val="00DA4F95"/>
    <w:rsid w:val="00DA5002"/>
    <w:rsid w:val="00DA6C68"/>
    <w:rsid w:val="00DA6CCE"/>
    <w:rsid w:val="00DA738B"/>
    <w:rsid w:val="00DA7507"/>
    <w:rsid w:val="00DA7802"/>
    <w:rsid w:val="00DA7A51"/>
    <w:rsid w:val="00DA7A59"/>
    <w:rsid w:val="00DB00F9"/>
    <w:rsid w:val="00DB018D"/>
    <w:rsid w:val="00DB1297"/>
    <w:rsid w:val="00DB18B0"/>
    <w:rsid w:val="00DB209E"/>
    <w:rsid w:val="00DB2A38"/>
    <w:rsid w:val="00DB3765"/>
    <w:rsid w:val="00DB42FE"/>
    <w:rsid w:val="00DB49A2"/>
    <w:rsid w:val="00DB4D5E"/>
    <w:rsid w:val="00DB5280"/>
    <w:rsid w:val="00DB60B4"/>
    <w:rsid w:val="00DB64BB"/>
    <w:rsid w:val="00DB6540"/>
    <w:rsid w:val="00DB6E5A"/>
    <w:rsid w:val="00DB712B"/>
    <w:rsid w:val="00DB7595"/>
    <w:rsid w:val="00DB7C1D"/>
    <w:rsid w:val="00DB7D8D"/>
    <w:rsid w:val="00DC0B1A"/>
    <w:rsid w:val="00DC0F59"/>
    <w:rsid w:val="00DC180D"/>
    <w:rsid w:val="00DC1BEB"/>
    <w:rsid w:val="00DC2AF2"/>
    <w:rsid w:val="00DC2C7F"/>
    <w:rsid w:val="00DC2F66"/>
    <w:rsid w:val="00DC307B"/>
    <w:rsid w:val="00DC39F6"/>
    <w:rsid w:val="00DC3A04"/>
    <w:rsid w:val="00DC472D"/>
    <w:rsid w:val="00DC4817"/>
    <w:rsid w:val="00DC48AC"/>
    <w:rsid w:val="00DC4F93"/>
    <w:rsid w:val="00DC50CE"/>
    <w:rsid w:val="00DC5690"/>
    <w:rsid w:val="00DC59AA"/>
    <w:rsid w:val="00DC5E18"/>
    <w:rsid w:val="00DC5ED1"/>
    <w:rsid w:val="00DC61D9"/>
    <w:rsid w:val="00DC64A4"/>
    <w:rsid w:val="00DC64E6"/>
    <w:rsid w:val="00DD107A"/>
    <w:rsid w:val="00DD1E81"/>
    <w:rsid w:val="00DD20C3"/>
    <w:rsid w:val="00DD26E8"/>
    <w:rsid w:val="00DD2DA8"/>
    <w:rsid w:val="00DD3418"/>
    <w:rsid w:val="00DD4466"/>
    <w:rsid w:val="00DD4584"/>
    <w:rsid w:val="00DD47DB"/>
    <w:rsid w:val="00DD4D3E"/>
    <w:rsid w:val="00DD4E3E"/>
    <w:rsid w:val="00DD4EC0"/>
    <w:rsid w:val="00DD4F05"/>
    <w:rsid w:val="00DD592D"/>
    <w:rsid w:val="00DD59B8"/>
    <w:rsid w:val="00DD5A04"/>
    <w:rsid w:val="00DD5F5C"/>
    <w:rsid w:val="00DD665D"/>
    <w:rsid w:val="00DD6F3D"/>
    <w:rsid w:val="00DD7020"/>
    <w:rsid w:val="00DD776D"/>
    <w:rsid w:val="00DD7AFE"/>
    <w:rsid w:val="00DD7ED3"/>
    <w:rsid w:val="00DE06B1"/>
    <w:rsid w:val="00DE0D3A"/>
    <w:rsid w:val="00DE104F"/>
    <w:rsid w:val="00DE22B1"/>
    <w:rsid w:val="00DE2379"/>
    <w:rsid w:val="00DE25B5"/>
    <w:rsid w:val="00DE2C8F"/>
    <w:rsid w:val="00DE33F8"/>
    <w:rsid w:val="00DE378C"/>
    <w:rsid w:val="00DE468A"/>
    <w:rsid w:val="00DE4F95"/>
    <w:rsid w:val="00DE51B1"/>
    <w:rsid w:val="00DE5621"/>
    <w:rsid w:val="00DE5ACE"/>
    <w:rsid w:val="00DE67B6"/>
    <w:rsid w:val="00DE743C"/>
    <w:rsid w:val="00DE78ED"/>
    <w:rsid w:val="00DE7E99"/>
    <w:rsid w:val="00DF0464"/>
    <w:rsid w:val="00DF07C5"/>
    <w:rsid w:val="00DF0A44"/>
    <w:rsid w:val="00DF104D"/>
    <w:rsid w:val="00DF12D9"/>
    <w:rsid w:val="00DF17A6"/>
    <w:rsid w:val="00DF1F35"/>
    <w:rsid w:val="00DF26D3"/>
    <w:rsid w:val="00DF33CA"/>
    <w:rsid w:val="00DF42E7"/>
    <w:rsid w:val="00DF4DDD"/>
    <w:rsid w:val="00DF51AD"/>
    <w:rsid w:val="00DF544C"/>
    <w:rsid w:val="00DF69EF"/>
    <w:rsid w:val="00DF6D87"/>
    <w:rsid w:val="00DF73FA"/>
    <w:rsid w:val="00DF7780"/>
    <w:rsid w:val="00DF7DCA"/>
    <w:rsid w:val="00E0041F"/>
    <w:rsid w:val="00E004B7"/>
    <w:rsid w:val="00E01565"/>
    <w:rsid w:val="00E01BD0"/>
    <w:rsid w:val="00E020B4"/>
    <w:rsid w:val="00E02188"/>
    <w:rsid w:val="00E023D7"/>
    <w:rsid w:val="00E02832"/>
    <w:rsid w:val="00E03160"/>
    <w:rsid w:val="00E03EED"/>
    <w:rsid w:val="00E04006"/>
    <w:rsid w:val="00E04911"/>
    <w:rsid w:val="00E04AD3"/>
    <w:rsid w:val="00E0515B"/>
    <w:rsid w:val="00E05616"/>
    <w:rsid w:val="00E05D25"/>
    <w:rsid w:val="00E062C2"/>
    <w:rsid w:val="00E0683E"/>
    <w:rsid w:val="00E06A18"/>
    <w:rsid w:val="00E07611"/>
    <w:rsid w:val="00E07651"/>
    <w:rsid w:val="00E104D9"/>
    <w:rsid w:val="00E10502"/>
    <w:rsid w:val="00E107C9"/>
    <w:rsid w:val="00E10EB3"/>
    <w:rsid w:val="00E11058"/>
    <w:rsid w:val="00E11CD3"/>
    <w:rsid w:val="00E12339"/>
    <w:rsid w:val="00E132A4"/>
    <w:rsid w:val="00E135A7"/>
    <w:rsid w:val="00E14A3E"/>
    <w:rsid w:val="00E14DF9"/>
    <w:rsid w:val="00E14E22"/>
    <w:rsid w:val="00E153D0"/>
    <w:rsid w:val="00E15677"/>
    <w:rsid w:val="00E15996"/>
    <w:rsid w:val="00E15C71"/>
    <w:rsid w:val="00E1629B"/>
    <w:rsid w:val="00E16E84"/>
    <w:rsid w:val="00E174D5"/>
    <w:rsid w:val="00E17EFF"/>
    <w:rsid w:val="00E20D13"/>
    <w:rsid w:val="00E2116E"/>
    <w:rsid w:val="00E21D3C"/>
    <w:rsid w:val="00E22A8A"/>
    <w:rsid w:val="00E23677"/>
    <w:rsid w:val="00E24957"/>
    <w:rsid w:val="00E249C4"/>
    <w:rsid w:val="00E24ED6"/>
    <w:rsid w:val="00E25519"/>
    <w:rsid w:val="00E25BE8"/>
    <w:rsid w:val="00E2608A"/>
    <w:rsid w:val="00E2617A"/>
    <w:rsid w:val="00E2637D"/>
    <w:rsid w:val="00E263E7"/>
    <w:rsid w:val="00E26594"/>
    <w:rsid w:val="00E26CD1"/>
    <w:rsid w:val="00E2707D"/>
    <w:rsid w:val="00E27A0E"/>
    <w:rsid w:val="00E27C41"/>
    <w:rsid w:val="00E27CEF"/>
    <w:rsid w:val="00E300F5"/>
    <w:rsid w:val="00E30570"/>
    <w:rsid w:val="00E3139F"/>
    <w:rsid w:val="00E31614"/>
    <w:rsid w:val="00E31A8E"/>
    <w:rsid w:val="00E31E49"/>
    <w:rsid w:val="00E325EE"/>
    <w:rsid w:val="00E32C2F"/>
    <w:rsid w:val="00E3321E"/>
    <w:rsid w:val="00E334DC"/>
    <w:rsid w:val="00E335EB"/>
    <w:rsid w:val="00E33B43"/>
    <w:rsid w:val="00E33C51"/>
    <w:rsid w:val="00E33C6F"/>
    <w:rsid w:val="00E33F3F"/>
    <w:rsid w:val="00E34240"/>
    <w:rsid w:val="00E342EA"/>
    <w:rsid w:val="00E34336"/>
    <w:rsid w:val="00E344D7"/>
    <w:rsid w:val="00E34B9C"/>
    <w:rsid w:val="00E35A1B"/>
    <w:rsid w:val="00E35BD5"/>
    <w:rsid w:val="00E36135"/>
    <w:rsid w:val="00E36247"/>
    <w:rsid w:val="00E36454"/>
    <w:rsid w:val="00E36EA8"/>
    <w:rsid w:val="00E36F52"/>
    <w:rsid w:val="00E370FE"/>
    <w:rsid w:val="00E37CDA"/>
    <w:rsid w:val="00E37D7E"/>
    <w:rsid w:val="00E37EEE"/>
    <w:rsid w:val="00E40142"/>
    <w:rsid w:val="00E40CF5"/>
    <w:rsid w:val="00E413F7"/>
    <w:rsid w:val="00E43B95"/>
    <w:rsid w:val="00E43BC0"/>
    <w:rsid w:val="00E442ED"/>
    <w:rsid w:val="00E44390"/>
    <w:rsid w:val="00E44A0A"/>
    <w:rsid w:val="00E44D22"/>
    <w:rsid w:val="00E44EC7"/>
    <w:rsid w:val="00E45E01"/>
    <w:rsid w:val="00E45F8C"/>
    <w:rsid w:val="00E461A2"/>
    <w:rsid w:val="00E4654B"/>
    <w:rsid w:val="00E47379"/>
    <w:rsid w:val="00E47C4A"/>
    <w:rsid w:val="00E47DD1"/>
    <w:rsid w:val="00E47F73"/>
    <w:rsid w:val="00E506DC"/>
    <w:rsid w:val="00E513A5"/>
    <w:rsid w:val="00E514A8"/>
    <w:rsid w:val="00E5185A"/>
    <w:rsid w:val="00E51A2F"/>
    <w:rsid w:val="00E52E10"/>
    <w:rsid w:val="00E53196"/>
    <w:rsid w:val="00E5364E"/>
    <w:rsid w:val="00E55846"/>
    <w:rsid w:val="00E55851"/>
    <w:rsid w:val="00E558E4"/>
    <w:rsid w:val="00E55A69"/>
    <w:rsid w:val="00E55E1E"/>
    <w:rsid w:val="00E55E90"/>
    <w:rsid w:val="00E55EE9"/>
    <w:rsid w:val="00E562B9"/>
    <w:rsid w:val="00E56404"/>
    <w:rsid w:val="00E57709"/>
    <w:rsid w:val="00E57D5E"/>
    <w:rsid w:val="00E57E86"/>
    <w:rsid w:val="00E6074C"/>
    <w:rsid w:val="00E60E95"/>
    <w:rsid w:val="00E610DC"/>
    <w:rsid w:val="00E61215"/>
    <w:rsid w:val="00E61392"/>
    <w:rsid w:val="00E615F6"/>
    <w:rsid w:val="00E61E3B"/>
    <w:rsid w:val="00E6265D"/>
    <w:rsid w:val="00E628F9"/>
    <w:rsid w:val="00E62EDE"/>
    <w:rsid w:val="00E6300F"/>
    <w:rsid w:val="00E63330"/>
    <w:rsid w:val="00E63453"/>
    <w:rsid w:val="00E63721"/>
    <w:rsid w:val="00E638C0"/>
    <w:rsid w:val="00E63ED2"/>
    <w:rsid w:val="00E63F51"/>
    <w:rsid w:val="00E64759"/>
    <w:rsid w:val="00E6482A"/>
    <w:rsid w:val="00E64B89"/>
    <w:rsid w:val="00E65600"/>
    <w:rsid w:val="00E65630"/>
    <w:rsid w:val="00E67163"/>
    <w:rsid w:val="00E67375"/>
    <w:rsid w:val="00E6738C"/>
    <w:rsid w:val="00E70411"/>
    <w:rsid w:val="00E705FF"/>
    <w:rsid w:val="00E706EC"/>
    <w:rsid w:val="00E70790"/>
    <w:rsid w:val="00E70FF1"/>
    <w:rsid w:val="00E71458"/>
    <w:rsid w:val="00E71652"/>
    <w:rsid w:val="00E7168C"/>
    <w:rsid w:val="00E71B20"/>
    <w:rsid w:val="00E71EC6"/>
    <w:rsid w:val="00E72793"/>
    <w:rsid w:val="00E73204"/>
    <w:rsid w:val="00E736BB"/>
    <w:rsid w:val="00E73920"/>
    <w:rsid w:val="00E73970"/>
    <w:rsid w:val="00E73EB4"/>
    <w:rsid w:val="00E741AA"/>
    <w:rsid w:val="00E7458C"/>
    <w:rsid w:val="00E7478D"/>
    <w:rsid w:val="00E756F8"/>
    <w:rsid w:val="00E763FC"/>
    <w:rsid w:val="00E77C8F"/>
    <w:rsid w:val="00E80B6B"/>
    <w:rsid w:val="00E81374"/>
    <w:rsid w:val="00E81CEB"/>
    <w:rsid w:val="00E827CE"/>
    <w:rsid w:val="00E82DBE"/>
    <w:rsid w:val="00E83798"/>
    <w:rsid w:val="00E83A9D"/>
    <w:rsid w:val="00E83B89"/>
    <w:rsid w:val="00E83C62"/>
    <w:rsid w:val="00E83F99"/>
    <w:rsid w:val="00E845CB"/>
    <w:rsid w:val="00E849D4"/>
    <w:rsid w:val="00E8549A"/>
    <w:rsid w:val="00E860AC"/>
    <w:rsid w:val="00E86E5C"/>
    <w:rsid w:val="00E8720F"/>
    <w:rsid w:val="00E8763B"/>
    <w:rsid w:val="00E87B86"/>
    <w:rsid w:val="00E87C5D"/>
    <w:rsid w:val="00E90372"/>
    <w:rsid w:val="00E90735"/>
    <w:rsid w:val="00E90AA3"/>
    <w:rsid w:val="00E90DBA"/>
    <w:rsid w:val="00E90E73"/>
    <w:rsid w:val="00E9100B"/>
    <w:rsid w:val="00E911C4"/>
    <w:rsid w:val="00E919CC"/>
    <w:rsid w:val="00E93317"/>
    <w:rsid w:val="00E935EE"/>
    <w:rsid w:val="00E93D6A"/>
    <w:rsid w:val="00E93FC1"/>
    <w:rsid w:val="00E94041"/>
    <w:rsid w:val="00E942D3"/>
    <w:rsid w:val="00E94FFB"/>
    <w:rsid w:val="00E953D1"/>
    <w:rsid w:val="00E95C9C"/>
    <w:rsid w:val="00E966F2"/>
    <w:rsid w:val="00E96D6B"/>
    <w:rsid w:val="00E97139"/>
    <w:rsid w:val="00E974B9"/>
    <w:rsid w:val="00E9784D"/>
    <w:rsid w:val="00E97860"/>
    <w:rsid w:val="00E97C7C"/>
    <w:rsid w:val="00EA0052"/>
    <w:rsid w:val="00EA05D3"/>
    <w:rsid w:val="00EA12A2"/>
    <w:rsid w:val="00EA15EA"/>
    <w:rsid w:val="00EA16DD"/>
    <w:rsid w:val="00EA190E"/>
    <w:rsid w:val="00EA2539"/>
    <w:rsid w:val="00EA2B3B"/>
    <w:rsid w:val="00EA3C0E"/>
    <w:rsid w:val="00EA5240"/>
    <w:rsid w:val="00EA5556"/>
    <w:rsid w:val="00EA5E19"/>
    <w:rsid w:val="00EA620A"/>
    <w:rsid w:val="00EA63D0"/>
    <w:rsid w:val="00EA719C"/>
    <w:rsid w:val="00EA7F9D"/>
    <w:rsid w:val="00EB01C6"/>
    <w:rsid w:val="00EB0270"/>
    <w:rsid w:val="00EB04EF"/>
    <w:rsid w:val="00EB097C"/>
    <w:rsid w:val="00EB0F02"/>
    <w:rsid w:val="00EB0F08"/>
    <w:rsid w:val="00EB12C2"/>
    <w:rsid w:val="00EB1BD0"/>
    <w:rsid w:val="00EB22E4"/>
    <w:rsid w:val="00EB2445"/>
    <w:rsid w:val="00EB3E1B"/>
    <w:rsid w:val="00EB4513"/>
    <w:rsid w:val="00EB49ED"/>
    <w:rsid w:val="00EB506A"/>
    <w:rsid w:val="00EB5525"/>
    <w:rsid w:val="00EB566C"/>
    <w:rsid w:val="00EB5CEF"/>
    <w:rsid w:val="00EB6713"/>
    <w:rsid w:val="00EB76C4"/>
    <w:rsid w:val="00EB77B5"/>
    <w:rsid w:val="00EB7F81"/>
    <w:rsid w:val="00EC154F"/>
    <w:rsid w:val="00EC183E"/>
    <w:rsid w:val="00EC19E4"/>
    <w:rsid w:val="00EC2B25"/>
    <w:rsid w:val="00EC2FE7"/>
    <w:rsid w:val="00EC334B"/>
    <w:rsid w:val="00EC35E9"/>
    <w:rsid w:val="00EC3C07"/>
    <w:rsid w:val="00EC3D0C"/>
    <w:rsid w:val="00EC4190"/>
    <w:rsid w:val="00EC46F4"/>
    <w:rsid w:val="00EC4A5D"/>
    <w:rsid w:val="00EC4C15"/>
    <w:rsid w:val="00EC4FDA"/>
    <w:rsid w:val="00EC5A25"/>
    <w:rsid w:val="00EC5E4A"/>
    <w:rsid w:val="00EC61B3"/>
    <w:rsid w:val="00EC6912"/>
    <w:rsid w:val="00EC6D6A"/>
    <w:rsid w:val="00ED0A53"/>
    <w:rsid w:val="00ED0A6D"/>
    <w:rsid w:val="00ED1580"/>
    <w:rsid w:val="00ED20A4"/>
    <w:rsid w:val="00ED4322"/>
    <w:rsid w:val="00ED43C2"/>
    <w:rsid w:val="00ED455B"/>
    <w:rsid w:val="00ED49B7"/>
    <w:rsid w:val="00ED49E6"/>
    <w:rsid w:val="00ED4E11"/>
    <w:rsid w:val="00ED5011"/>
    <w:rsid w:val="00ED5032"/>
    <w:rsid w:val="00ED575C"/>
    <w:rsid w:val="00ED690A"/>
    <w:rsid w:val="00ED6C76"/>
    <w:rsid w:val="00ED7D18"/>
    <w:rsid w:val="00ED7FDE"/>
    <w:rsid w:val="00EE0025"/>
    <w:rsid w:val="00EE0E1D"/>
    <w:rsid w:val="00EE212E"/>
    <w:rsid w:val="00EE2234"/>
    <w:rsid w:val="00EE256E"/>
    <w:rsid w:val="00EE2903"/>
    <w:rsid w:val="00EE2B2B"/>
    <w:rsid w:val="00EE327B"/>
    <w:rsid w:val="00EE3573"/>
    <w:rsid w:val="00EE3661"/>
    <w:rsid w:val="00EE38F1"/>
    <w:rsid w:val="00EE3BE6"/>
    <w:rsid w:val="00EE3DAB"/>
    <w:rsid w:val="00EE3FEB"/>
    <w:rsid w:val="00EE45E1"/>
    <w:rsid w:val="00EE4B56"/>
    <w:rsid w:val="00EE5543"/>
    <w:rsid w:val="00EE6249"/>
    <w:rsid w:val="00EE645D"/>
    <w:rsid w:val="00EE732A"/>
    <w:rsid w:val="00EE7E2A"/>
    <w:rsid w:val="00EF02F9"/>
    <w:rsid w:val="00EF0A24"/>
    <w:rsid w:val="00EF0DED"/>
    <w:rsid w:val="00EF1329"/>
    <w:rsid w:val="00EF164C"/>
    <w:rsid w:val="00EF1AA0"/>
    <w:rsid w:val="00EF20E9"/>
    <w:rsid w:val="00EF2B3F"/>
    <w:rsid w:val="00EF2C74"/>
    <w:rsid w:val="00EF32BC"/>
    <w:rsid w:val="00EF36A8"/>
    <w:rsid w:val="00EF3792"/>
    <w:rsid w:val="00EF3943"/>
    <w:rsid w:val="00EF3DD3"/>
    <w:rsid w:val="00EF5194"/>
    <w:rsid w:val="00EF5C2B"/>
    <w:rsid w:val="00EF609A"/>
    <w:rsid w:val="00EF64DD"/>
    <w:rsid w:val="00EF69A5"/>
    <w:rsid w:val="00EF6CEC"/>
    <w:rsid w:val="00EF6D1E"/>
    <w:rsid w:val="00EF704C"/>
    <w:rsid w:val="00EF732D"/>
    <w:rsid w:val="00EF7EF5"/>
    <w:rsid w:val="00F00619"/>
    <w:rsid w:val="00F0067C"/>
    <w:rsid w:val="00F00CFA"/>
    <w:rsid w:val="00F012E0"/>
    <w:rsid w:val="00F0136F"/>
    <w:rsid w:val="00F0200B"/>
    <w:rsid w:val="00F0255A"/>
    <w:rsid w:val="00F0260D"/>
    <w:rsid w:val="00F0276A"/>
    <w:rsid w:val="00F04111"/>
    <w:rsid w:val="00F0433B"/>
    <w:rsid w:val="00F04576"/>
    <w:rsid w:val="00F048C2"/>
    <w:rsid w:val="00F048F5"/>
    <w:rsid w:val="00F04DAE"/>
    <w:rsid w:val="00F0538A"/>
    <w:rsid w:val="00F05396"/>
    <w:rsid w:val="00F0541A"/>
    <w:rsid w:val="00F0546B"/>
    <w:rsid w:val="00F055D0"/>
    <w:rsid w:val="00F05EC0"/>
    <w:rsid w:val="00F06FAF"/>
    <w:rsid w:val="00F071AF"/>
    <w:rsid w:val="00F07412"/>
    <w:rsid w:val="00F076C1"/>
    <w:rsid w:val="00F07F47"/>
    <w:rsid w:val="00F07FF8"/>
    <w:rsid w:val="00F1013B"/>
    <w:rsid w:val="00F101D5"/>
    <w:rsid w:val="00F1041B"/>
    <w:rsid w:val="00F110AB"/>
    <w:rsid w:val="00F11118"/>
    <w:rsid w:val="00F1191D"/>
    <w:rsid w:val="00F12A45"/>
    <w:rsid w:val="00F12ABB"/>
    <w:rsid w:val="00F12C12"/>
    <w:rsid w:val="00F12C99"/>
    <w:rsid w:val="00F133D3"/>
    <w:rsid w:val="00F13DCC"/>
    <w:rsid w:val="00F140DF"/>
    <w:rsid w:val="00F143B9"/>
    <w:rsid w:val="00F14CDB"/>
    <w:rsid w:val="00F15089"/>
    <w:rsid w:val="00F154D4"/>
    <w:rsid w:val="00F15514"/>
    <w:rsid w:val="00F155B9"/>
    <w:rsid w:val="00F158EB"/>
    <w:rsid w:val="00F16738"/>
    <w:rsid w:val="00F177B1"/>
    <w:rsid w:val="00F17A09"/>
    <w:rsid w:val="00F17AAB"/>
    <w:rsid w:val="00F17E1B"/>
    <w:rsid w:val="00F17F52"/>
    <w:rsid w:val="00F17FAF"/>
    <w:rsid w:val="00F203F1"/>
    <w:rsid w:val="00F206BC"/>
    <w:rsid w:val="00F20E0C"/>
    <w:rsid w:val="00F211BC"/>
    <w:rsid w:val="00F218E6"/>
    <w:rsid w:val="00F21E5F"/>
    <w:rsid w:val="00F222DB"/>
    <w:rsid w:val="00F2241C"/>
    <w:rsid w:val="00F226AC"/>
    <w:rsid w:val="00F226B5"/>
    <w:rsid w:val="00F23095"/>
    <w:rsid w:val="00F234D9"/>
    <w:rsid w:val="00F2391C"/>
    <w:rsid w:val="00F242EA"/>
    <w:rsid w:val="00F2441E"/>
    <w:rsid w:val="00F2493E"/>
    <w:rsid w:val="00F25247"/>
    <w:rsid w:val="00F2631F"/>
    <w:rsid w:val="00F26704"/>
    <w:rsid w:val="00F267C9"/>
    <w:rsid w:val="00F26AA2"/>
    <w:rsid w:val="00F26C6C"/>
    <w:rsid w:val="00F30336"/>
    <w:rsid w:val="00F304F4"/>
    <w:rsid w:val="00F30C7C"/>
    <w:rsid w:val="00F312F6"/>
    <w:rsid w:val="00F313AB"/>
    <w:rsid w:val="00F317D4"/>
    <w:rsid w:val="00F322EF"/>
    <w:rsid w:val="00F328D8"/>
    <w:rsid w:val="00F32970"/>
    <w:rsid w:val="00F32A04"/>
    <w:rsid w:val="00F32D6F"/>
    <w:rsid w:val="00F336BE"/>
    <w:rsid w:val="00F3372B"/>
    <w:rsid w:val="00F33CBB"/>
    <w:rsid w:val="00F33D05"/>
    <w:rsid w:val="00F342C5"/>
    <w:rsid w:val="00F34889"/>
    <w:rsid w:val="00F35256"/>
    <w:rsid w:val="00F356AB"/>
    <w:rsid w:val="00F35C94"/>
    <w:rsid w:val="00F36167"/>
    <w:rsid w:val="00F368F2"/>
    <w:rsid w:val="00F36AD2"/>
    <w:rsid w:val="00F37299"/>
    <w:rsid w:val="00F37621"/>
    <w:rsid w:val="00F37ABF"/>
    <w:rsid w:val="00F37EBC"/>
    <w:rsid w:val="00F37EDE"/>
    <w:rsid w:val="00F40AFB"/>
    <w:rsid w:val="00F40B31"/>
    <w:rsid w:val="00F40EAD"/>
    <w:rsid w:val="00F41869"/>
    <w:rsid w:val="00F41D6B"/>
    <w:rsid w:val="00F41F4E"/>
    <w:rsid w:val="00F4217B"/>
    <w:rsid w:val="00F422B1"/>
    <w:rsid w:val="00F426F6"/>
    <w:rsid w:val="00F42906"/>
    <w:rsid w:val="00F437EE"/>
    <w:rsid w:val="00F43923"/>
    <w:rsid w:val="00F4407B"/>
    <w:rsid w:val="00F4479D"/>
    <w:rsid w:val="00F450F2"/>
    <w:rsid w:val="00F455BC"/>
    <w:rsid w:val="00F457CB"/>
    <w:rsid w:val="00F4584A"/>
    <w:rsid w:val="00F45C01"/>
    <w:rsid w:val="00F463FE"/>
    <w:rsid w:val="00F465C3"/>
    <w:rsid w:val="00F46707"/>
    <w:rsid w:val="00F46E54"/>
    <w:rsid w:val="00F47AEE"/>
    <w:rsid w:val="00F47E8F"/>
    <w:rsid w:val="00F50398"/>
    <w:rsid w:val="00F50AAC"/>
    <w:rsid w:val="00F50C48"/>
    <w:rsid w:val="00F513D3"/>
    <w:rsid w:val="00F51B06"/>
    <w:rsid w:val="00F52999"/>
    <w:rsid w:val="00F52BC0"/>
    <w:rsid w:val="00F5301A"/>
    <w:rsid w:val="00F5304E"/>
    <w:rsid w:val="00F532A0"/>
    <w:rsid w:val="00F53336"/>
    <w:rsid w:val="00F534B1"/>
    <w:rsid w:val="00F542C1"/>
    <w:rsid w:val="00F54CB4"/>
    <w:rsid w:val="00F551D6"/>
    <w:rsid w:val="00F5561A"/>
    <w:rsid w:val="00F55AC9"/>
    <w:rsid w:val="00F56865"/>
    <w:rsid w:val="00F5709F"/>
    <w:rsid w:val="00F573F2"/>
    <w:rsid w:val="00F5740F"/>
    <w:rsid w:val="00F57FEC"/>
    <w:rsid w:val="00F60118"/>
    <w:rsid w:val="00F60614"/>
    <w:rsid w:val="00F6068B"/>
    <w:rsid w:val="00F60D74"/>
    <w:rsid w:val="00F61075"/>
    <w:rsid w:val="00F610F6"/>
    <w:rsid w:val="00F61728"/>
    <w:rsid w:val="00F62698"/>
    <w:rsid w:val="00F626BD"/>
    <w:rsid w:val="00F63897"/>
    <w:rsid w:val="00F64D6D"/>
    <w:rsid w:val="00F651EB"/>
    <w:rsid w:val="00F66F21"/>
    <w:rsid w:val="00F6713E"/>
    <w:rsid w:val="00F70EC7"/>
    <w:rsid w:val="00F72163"/>
    <w:rsid w:val="00F72796"/>
    <w:rsid w:val="00F72D9A"/>
    <w:rsid w:val="00F72DF1"/>
    <w:rsid w:val="00F738AC"/>
    <w:rsid w:val="00F73C0F"/>
    <w:rsid w:val="00F73C9E"/>
    <w:rsid w:val="00F73D89"/>
    <w:rsid w:val="00F74A74"/>
    <w:rsid w:val="00F74E04"/>
    <w:rsid w:val="00F750E7"/>
    <w:rsid w:val="00F75389"/>
    <w:rsid w:val="00F75B5C"/>
    <w:rsid w:val="00F75ECF"/>
    <w:rsid w:val="00F75F56"/>
    <w:rsid w:val="00F76C58"/>
    <w:rsid w:val="00F77E2E"/>
    <w:rsid w:val="00F80618"/>
    <w:rsid w:val="00F8066A"/>
    <w:rsid w:val="00F80ABC"/>
    <w:rsid w:val="00F80C1D"/>
    <w:rsid w:val="00F813B5"/>
    <w:rsid w:val="00F81CB9"/>
    <w:rsid w:val="00F82CCD"/>
    <w:rsid w:val="00F83338"/>
    <w:rsid w:val="00F835A3"/>
    <w:rsid w:val="00F83687"/>
    <w:rsid w:val="00F83A1E"/>
    <w:rsid w:val="00F84E93"/>
    <w:rsid w:val="00F8541B"/>
    <w:rsid w:val="00F85C8E"/>
    <w:rsid w:val="00F86317"/>
    <w:rsid w:val="00F86384"/>
    <w:rsid w:val="00F86ECD"/>
    <w:rsid w:val="00F87A37"/>
    <w:rsid w:val="00F91AF9"/>
    <w:rsid w:val="00F91BFF"/>
    <w:rsid w:val="00F9247A"/>
    <w:rsid w:val="00F92C7C"/>
    <w:rsid w:val="00F92EF4"/>
    <w:rsid w:val="00F931C1"/>
    <w:rsid w:val="00F93332"/>
    <w:rsid w:val="00F9334F"/>
    <w:rsid w:val="00F93E40"/>
    <w:rsid w:val="00F93E5A"/>
    <w:rsid w:val="00F940B7"/>
    <w:rsid w:val="00F947EF"/>
    <w:rsid w:val="00F9510A"/>
    <w:rsid w:val="00F95719"/>
    <w:rsid w:val="00F95DBE"/>
    <w:rsid w:val="00F95EA1"/>
    <w:rsid w:val="00F96327"/>
    <w:rsid w:val="00F96898"/>
    <w:rsid w:val="00F96F0F"/>
    <w:rsid w:val="00F9737A"/>
    <w:rsid w:val="00F97A4F"/>
    <w:rsid w:val="00F97BE3"/>
    <w:rsid w:val="00FA1294"/>
    <w:rsid w:val="00FA181A"/>
    <w:rsid w:val="00FA24DE"/>
    <w:rsid w:val="00FA2592"/>
    <w:rsid w:val="00FA2B34"/>
    <w:rsid w:val="00FA2D9F"/>
    <w:rsid w:val="00FA42CA"/>
    <w:rsid w:val="00FA449D"/>
    <w:rsid w:val="00FA4799"/>
    <w:rsid w:val="00FA4C22"/>
    <w:rsid w:val="00FA5482"/>
    <w:rsid w:val="00FA5F13"/>
    <w:rsid w:val="00FA66ED"/>
    <w:rsid w:val="00FA67FE"/>
    <w:rsid w:val="00FA69E7"/>
    <w:rsid w:val="00FA6DAE"/>
    <w:rsid w:val="00FA71BA"/>
    <w:rsid w:val="00FA743B"/>
    <w:rsid w:val="00FA754D"/>
    <w:rsid w:val="00FA7EAC"/>
    <w:rsid w:val="00FB092B"/>
    <w:rsid w:val="00FB1541"/>
    <w:rsid w:val="00FB2427"/>
    <w:rsid w:val="00FB2B9B"/>
    <w:rsid w:val="00FB300D"/>
    <w:rsid w:val="00FB33CA"/>
    <w:rsid w:val="00FB346B"/>
    <w:rsid w:val="00FB3F2F"/>
    <w:rsid w:val="00FB429A"/>
    <w:rsid w:val="00FB4A69"/>
    <w:rsid w:val="00FB552E"/>
    <w:rsid w:val="00FB5ACC"/>
    <w:rsid w:val="00FB5FAA"/>
    <w:rsid w:val="00FB68A4"/>
    <w:rsid w:val="00FB69DC"/>
    <w:rsid w:val="00FB6E58"/>
    <w:rsid w:val="00FB7014"/>
    <w:rsid w:val="00FB71BB"/>
    <w:rsid w:val="00FB7D67"/>
    <w:rsid w:val="00FC0161"/>
    <w:rsid w:val="00FC076F"/>
    <w:rsid w:val="00FC095B"/>
    <w:rsid w:val="00FC1123"/>
    <w:rsid w:val="00FC11E7"/>
    <w:rsid w:val="00FC1358"/>
    <w:rsid w:val="00FC1698"/>
    <w:rsid w:val="00FC1773"/>
    <w:rsid w:val="00FC1A3C"/>
    <w:rsid w:val="00FC1C57"/>
    <w:rsid w:val="00FC1ED4"/>
    <w:rsid w:val="00FC2950"/>
    <w:rsid w:val="00FC350D"/>
    <w:rsid w:val="00FC3911"/>
    <w:rsid w:val="00FC3D01"/>
    <w:rsid w:val="00FC4196"/>
    <w:rsid w:val="00FC4C82"/>
    <w:rsid w:val="00FC5D1E"/>
    <w:rsid w:val="00FC60DF"/>
    <w:rsid w:val="00FC654E"/>
    <w:rsid w:val="00FC71EB"/>
    <w:rsid w:val="00FD01A1"/>
    <w:rsid w:val="00FD0722"/>
    <w:rsid w:val="00FD0D77"/>
    <w:rsid w:val="00FD1012"/>
    <w:rsid w:val="00FD21BA"/>
    <w:rsid w:val="00FD2336"/>
    <w:rsid w:val="00FD24CF"/>
    <w:rsid w:val="00FD25A0"/>
    <w:rsid w:val="00FD2DD7"/>
    <w:rsid w:val="00FD30F5"/>
    <w:rsid w:val="00FD359F"/>
    <w:rsid w:val="00FD3882"/>
    <w:rsid w:val="00FD4429"/>
    <w:rsid w:val="00FD4B9B"/>
    <w:rsid w:val="00FD4C96"/>
    <w:rsid w:val="00FD4E5E"/>
    <w:rsid w:val="00FD5259"/>
    <w:rsid w:val="00FD5EDA"/>
    <w:rsid w:val="00FD6627"/>
    <w:rsid w:val="00FD66A9"/>
    <w:rsid w:val="00FD6976"/>
    <w:rsid w:val="00FD6D80"/>
    <w:rsid w:val="00FD7B48"/>
    <w:rsid w:val="00FE05F4"/>
    <w:rsid w:val="00FE1685"/>
    <w:rsid w:val="00FE1A9F"/>
    <w:rsid w:val="00FE1F93"/>
    <w:rsid w:val="00FE20D1"/>
    <w:rsid w:val="00FE248A"/>
    <w:rsid w:val="00FE2602"/>
    <w:rsid w:val="00FE3C76"/>
    <w:rsid w:val="00FE3E93"/>
    <w:rsid w:val="00FE410B"/>
    <w:rsid w:val="00FE419A"/>
    <w:rsid w:val="00FE4D16"/>
    <w:rsid w:val="00FE5163"/>
    <w:rsid w:val="00FE5B20"/>
    <w:rsid w:val="00FE5E2C"/>
    <w:rsid w:val="00FE5F1D"/>
    <w:rsid w:val="00FE60D9"/>
    <w:rsid w:val="00FE6A7D"/>
    <w:rsid w:val="00FE6C41"/>
    <w:rsid w:val="00FE7495"/>
    <w:rsid w:val="00FE7866"/>
    <w:rsid w:val="00FE797D"/>
    <w:rsid w:val="00FE7BDE"/>
    <w:rsid w:val="00FE7D19"/>
    <w:rsid w:val="00FF07CD"/>
    <w:rsid w:val="00FF12A1"/>
    <w:rsid w:val="00FF1862"/>
    <w:rsid w:val="00FF26E3"/>
    <w:rsid w:val="00FF3283"/>
    <w:rsid w:val="00FF3A2C"/>
    <w:rsid w:val="00FF3D73"/>
    <w:rsid w:val="00FF3F29"/>
    <w:rsid w:val="00FF4A2F"/>
    <w:rsid w:val="00FF56E2"/>
    <w:rsid w:val="00FF617D"/>
    <w:rsid w:val="00FF655E"/>
    <w:rsid w:val="00FF67EF"/>
    <w:rsid w:val="00FF6FBA"/>
    <w:rsid w:val="00FF7D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4A5C66"/>
  <w15:docId w15:val="{D7A89306-9E00-F541-82B4-D9CD7FED8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pPr>
        <w:spacing w:after="240" w:line="480" w:lineRule="auto"/>
        <w:ind w:firstLine="3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62E5"/>
    <w:pPr>
      <w:ind w:firstLine="0"/>
    </w:pPr>
    <w:rPr>
      <w:rFonts w:ascii="Arial" w:hAnsi="Arial"/>
    </w:rPr>
  </w:style>
  <w:style w:type="paragraph" w:styleId="Heading1">
    <w:name w:val="heading 1"/>
    <w:basedOn w:val="Normal"/>
    <w:next w:val="Normal"/>
    <w:link w:val="Heading1Char"/>
    <w:autoRedefine/>
    <w:uiPriority w:val="9"/>
    <w:qFormat/>
    <w:rsid w:val="00460BC5"/>
    <w:pPr>
      <w:numPr>
        <w:numId w:val="20"/>
      </w:numPr>
      <w:spacing w:after="0"/>
      <w:outlineLvl w:val="0"/>
    </w:pPr>
    <w:rPr>
      <w:rFonts w:eastAsiaTheme="majorEastAsia" w:cstheme="majorBidi"/>
      <w:b/>
      <w:bCs/>
      <w:i/>
      <w:iCs/>
      <w:sz w:val="32"/>
      <w:szCs w:val="32"/>
    </w:rPr>
  </w:style>
  <w:style w:type="paragraph" w:styleId="Heading2">
    <w:name w:val="heading 2"/>
    <w:basedOn w:val="Normal"/>
    <w:next w:val="Normal"/>
    <w:link w:val="Heading2Char"/>
    <w:autoRedefine/>
    <w:uiPriority w:val="9"/>
    <w:unhideWhenUsed/>
    <w:qFormat/>
    <w:rsid w:val="006C3AB1"/>
    <w:pPr>
      <w:numPr>
        <w:ilvl w:val="1"/>
        <w:numId w:val="20"/>
      </w:numPr>
      <w:spacing w:after="0"/>
      <w:outlineLvl w:val="1"/>
    </w:pPr>
    <w:rPr>
      <w:rFonts w:eastAsiaTheme="majorEastAsia" w:cs="Times New Roman"/>
      <w:b/>
      <w:iCs/>
      <w:szCs w:val="28"/>
    </w:rPr>
  </w:style>
  <w:style w:type="paragraph" w:styleId="Heading3">
    <w:name w:val="heading 3"/>
    <w:basedOn w:val="Normal"/>
    <w:next w:val="Normal"/>
    <w:link w:val="Heading3Char"/>
    <w:autoRedefine/>
    <w:uiPriority w:val="9"/>
    <w:unhideWhenUsed/>
    <w:qFormat/>
    <w:rsid w:val="00460BC5"/>
    <w:pPr>
      <w:numPr>
        <w:ilvl w:val="2"/>
        <w:numId w:val="20"/>
      </w:numPr>
      <w:spacing w:before="320" w:after="0"/>
      <w:outlineLvl w:val="2"/>
    </w:pPr>
    <w:rPr>
      <w:rFonts w:eastAsiaTheme="majorEastAsia" w:cs="Times New Roman"/>
      <w:bCs/>
      <w:i/>
      <w:iCs/>
      <w:szCs w:val="26"/>
    </w:rPr>
  </w:style>
  <w:style w:type="paragraph" w:styleId="Heading4">
    <w:name w:val="heading 4"/>
    <w:basedOn w:val="Normal"/>
    <w:next w:val="Normal"/>
    <w:link w:val="Heading4Char"/>
    <w:autoRedefine/>
    <w:uiPriority w:val="9"/>
    <w:unhideWhenUsed/>
    <w:qFormat/>
    <w:rsid w:val="00882FFA"/>
    <w:pPr>
      <w:numPr>
        <w:ilvl w:val="3"/>
        <w:numId w:val="20"/>
      </w:numPr>
      <w:spacing w:before="280" w:after="0"/>
      <w:outlineLvl w:val="3"/>
    </w:pPr>
    <w:rPr>
      <w:rFonts w:eastAsiaTheme="majorEastAsia" w:cs="Times New Roman (Headings CS)"/>
      <w:bCs/>
      <w:i/>
      <w:iCs/>
    </w:rPr>
  </w:style>
  <w:style w:type="paragraph" w:styleId="Heading5">
    <w:name w:val="heading 5"/>
    <w:basedOn w:val="Normal"/>
    <w:next w:val="Normal"/>
    <w:link w:val="Heading5Char"/>
    <w:uiPriority w:val="9"/>
    <w:semiHidden/>
    <w:unhideWhenUsed/>
    <w:qFormat/>
    <w:rsid w:val="00882FFA"/>
    <w:pPr>
      <w:numPr>
        <w:ilvl w:val="4"/>
        <w:numId w:val="20"/>
      </w:numPr>
      <w:spacing w:before="280" w:after="0" w:line="360" w:lineRule="auto"/>
      <w:outlineLvl w:val="4"/>
    </w:pPr>
    <w:rPr>
      <w:rFonts w:asciiTheme="majorHAnsi" w:eastAsiaTheme="majorEastAsia" w:hAnsiTheme="majorHAnsi" w:cstheme="majorBidi"/>
      <w:b/>
      <w:bCs/>
      <w:i/>
      <w:iCs/>
    </w:rPr>
  </w:style>
  <w:style w:type="paragraph" w:styleId="Heading6">
    <w:name w:val="heading 6"/>
    <w:basedOn w:val="Normal"/>
    <w:next w:val="Normal"/>
    <w:link w:val="Heading6Char"/>
    <w:uiPriority w:val="9"/>
    <w:semiHidden/>
    <w:unhideWhenUsed/>
    <w:qFormat/>
    <w:rsid w:val="00882FFA"/>
    <w:pPr>
      <w:numPr>
        <w:ilvl w:val="5"/>
        <w:numId w:val="20"/>
      </w:numPr>
      <w:spacing w:before="280" w:after="80" w:line="360" w:lineRule="auto"/>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A488D"/>
    <w:pPr>
      <w:spacing w:before="280" w:after="0" w:line="360" w:lineRule="auto"/>
      <w:outlineLvl w:val="6"/>
    </w:pPr>
    <w:rPr>
      <w:rFonts w:asciiTheme="majorHAnsi" w:eastAsiaTheme="majorEastAsia" w:hAnsiTheme="majorHAnsi" w:cstheme="majorBidi"/>
      <w:b/>
      <w:bCs/>
      <w:i/>
      <w:iCs/>
      <w:sz w:val="20"/>
      <w:szCs w:val="20"/>
    </w:rPr>
  </w:style>
  <w:style w:type="paragraph" w:styleId="Heading8">
    <w:name w:val="heading 8"/>
    <w:basedOn w:val="Normal"/>
    <w:next w:val="Normal"/>
    <w:link w:val="Heading8Char"/>
    <w:uiPriority w:val="9"/>
    <w:semiHidden/>
    <w:unhideWhenUsed/>
    <w:qFormat/>
    <w:rsid w:val="007A488D"/>
    <w:p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7A488D"/>
    <w:p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0BC5"/>
    <w:rPr>
      <w:rFonts w:ascii="Arial" w:eastAsiaTheme="majorEastAsia" w:hAnsi="Arial" w:cstheme="majorBidi"/>
      <w:b/>
      <w:bCs/>
      <w:i/>
      <w:iCs/>
      <w:sz w:val="32"/>
      <w:szCs w:val="32"/>
    </w:rPr>
  </w:style>
  <w:style w:type="paragraph" w:styleId="TOCHeading">
    <w:name w:val="TOC Heading"/>
    <w:basedOn w:val="Heading1"/>
    <w:next w:val="Normal"/>
    <w:uiPriority w:val="39"/>
    <w:unhideWhenUsed/>
    <w:qFormat/>
    <w:rsid w:val="000440CE"/>
    <w:pPr>
      <w:outlineLvl w:val="9"/>
    </w:pPr>
    <w:rPr>
      <w:lang w:bidi="en-US"/>
    </w:rPr>
  </w:style>
  <w:style w:type="character" w:customStyle="1" w:styleId="Heading2Char">
    <w:name w:val="Heading 2 Char"/>
    <w:basedOn w:val="DefaultParagraphFont"/>
    <w:link w:val="Heading2"/>
    <w:uiPriority w:val="9"/>
    <w:rsid w:val="006C3AB1"/>
    <w:rPr>
      <w:rFonts w:ascii="Arial" w:eastAsiaTheme="majorEastAsia" w:hAnsi="Arial" w:cs="Times New Roman"/>
      <w:b/>
      <w:iCs/>
      <w:szCs w:val="28"/>
    </w:rPr>
  </w:style>
  <w:style w:type="character" w:customStyle="1" w:styleId="Heading3Char">
    <w:name w:val="Heading 3 Char"/>
    <w:basedOn w:val="DefaultParagraphFont"/>
    <w:link w:val="Heading3"/>
    <w:uiPriority w:val="9"/>
    <w:rsid w:val="00460BC5"/>
    <w:rPr>
      <w:rFonts w:ascii="Arial" w:eastAsiaTheme="majorEastAsia" w:hAnsi="Arial" w:cs="Times New Roman"/>
      <w:bCs/>
      <w:i/>
      <w:iCs/>
      <w:szCs w:val="26"/>
    </w:rPr>
  </w:style>
  <w:style w:type="character" w:customStyle="1" w:styleId="Heading4Char">
    <w:name w:val="Heading 4 Char"/>
    <w:basedOn w:val="DefaultParagraphFont"/>
    <w:link w:val="Heading4"/>
    <w:uiPriority w:val="9"/>
    <w:rsid w:val="00DC472D"/>
    <w:rPr>
      <w:rFonts w:ascii="Arial" w:eastAsiaTheme="majorEastAsia" w:hAnsi="Arial" w:cs="Times New Roman (Headings CS)"/>
      <w:bCs/>
      <w:i/>
      <w:iCs/>
    </w:rPr>
  </w:style>
  <w:style w:type="character" w:customStyle="1" w:styleId="Heading5Char">
    <w:name w:val="Heading 5 Char"/>
    <w:basedOn w:val="DefaultParagraphFont"/>
    <w:link w:val="Heading5"/>
    <w:uiPriority w:val="9"/>
    <w:semiHidden/>
    <w:rsid w:val="000440CE"/>
    <w:rPr>
      <w:rFonts w:asciiTheme="majorHAnsi" w:eastAsiaTheme="majorEastAsia" w:hAnsiTheme="majorHAnsi" w:cstheme="majorBidi"/>
      <w:b/>
      <w:bCs/>
      <w:i/>
      <w:iCs/>
    </w:rPr>
  </w:style>
  <w:style w:type="character" w:customStyle="1" w:styleId="Heading6Char">
    <w:name w:val="Heading 6 Char"/>
    <w:basedOn w:val="DefaultParagraphFont"/>
    <w:link w:val="Heading6"/>
    <w:uiPriority w:val="9"/>
    <w:semiHidden/>
    <w:rsid w:val="000440C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A488D"/>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7A488D"/>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7A488D"/>
    <w:rPr>
      <w:rFonts w:asciiTheme="majorHAnsi" w:eastAsiaTheme="majorEastAsia" w:hAnsiTheme="majorHAnsi" w:cstheme="majorBidi"/>
      <w:i/>
      <w:iCs/>
      <w:sz w:val="18"/>
      <w:szCs w:val="18"/>
    </w:rPr>
  </w:style>
  <w:style w:type="paragraph" w:styleId="Caption">
    <w:name w:val="caption"/>
    <w:basedOn w:val="Normal"/>
    <w:next w:val="Normal"/>
    <w:uiPriority w:val="35"/>
    <w:unhideWhenUsed/>
    <w:qFormat/>
    <w:rsid w:val="007A488D"/>
    <w:rPr>
      <w:b/>
      <w:bCs/>
      <w:noProof/>
      <w:sz w:val="18"/>
      <w:szCs w:val="18"/>
    </w:rPr>
  </w:style>
  <w:style w:type="paragraph" w:styleId="Title">
    <w:name w:val="Title"/>
    <w:basedOn w:val="Normal"/>
    <w:next w:val="Normal"/>
    <w:link w:val="TitleChar"/>
    <w:uiPriority w:val="10"/>
    <w:qFormat/>
    <w:rsid w:val="007A488D"/>
    <w:pPr>
      <w:spacing w:line="240" w:lineRule="auto"/>
    </w:pPr>
    <w:rPr>
      <w:rFonts w:asciiTheme="majorHAnsi" w:eastAsiaTheme="majorEastAsia" w:hAnsiTheme="majorHAnsi" w:cstheme="majorBidi"/>
      <w:b/>
      <w:bCs/>
      <w:i/>
      <w:iCs/>
      <w:spacing w:val="10"/>
      <w:sz w:val="60"/>
      <w:szCs w:val="60"/>
    </w:rPr>
  </w:style>
  <w:style w:type="character" w:customStyle="1" w:styleId="TitleChar">
    <w:name w:val="Title Char"/>
    <w:basedOn w:val="DefaultParagraphFont"/>
    <w:link w:val="Title"/>
    <w:uiPriority w:val="10"/>
    <w:rsid w:val="007A488D"/>
    <w:rPr>
      <w:rFonts w:asciiTheme="majorHAnsi" w:eastAsiaTheme="majorEastAsia" w:hAnsiTheme="majorHAnsi" w:cstheme="majorBidi"/>
      <w:b/>
      <w:bCs/>
      <w:i/>
      <w:iCs/>
      <w:spacing w:val="10"/>
      <w:sz w:val="60"/>
      <w:szCs w:val="60"/>
    </w:rPr>
  </w:style>
  <w:style w:type="paragraph" w:styleId="Subtitle">
    <w:name w:val="Subtitle"/>
    <w:basedOn w:val="Normal"/>
    <w:next w:val="Normal"/>
    <w:link w:val="SubtitleChar"/>
    <w:uiPriority w:val="11"/>
    <w:qFormat/>
    <w:rsid w:val="007A488D"/>
    <w:pPr>
      <w:spacing w:after="320"/>
      <w:jc w:val="right"/>
    </w:pPr>
    <w:rPr>
      <w:i/>
      <w:iCs/>
      <w:color w:val="808080" w:themeColor="text1" w:themeTint="7F"/>
      <w:spacing w:val="10"/>
    </w:rPr>
  </w:style>
  <w:style w:type="character" w:customStyle="1" w:styleId="SubtitleChar">
    <w:name w:val="Subtitle Char"/>
    <w:basedOn w:val="DefaultParagraphFont"/>
    <w:link w:val="Subtitle"/>
    <w:uiPriority w:val="11"/>
    <w:rsid w:val="007A488D"/>
    <w:rPr>
      <w:i/>
      <w:iCs/>
      <w:color w:val="808080" w:themeColor="text1" w:themeTint="7F"/>
      <w:spacing w:val="10"/>
    </w:rPr>
  </w:style>
  <w:style w:type="character" w:styleId="Strong">
    <w:name w:val="Strong"/>
    <w:basedOn w:val="DefaultParagraphFont"/>
    <w:uiPriority w:val="22"/>
    <w:qFormat/>
    <w:rsid w:val="007A488D"/>
    <w:rPr>
      <w:b/>
      <w:bCs/>
      <w:spacing w:val="0"/>
    </w:rPr>
  </w:style>
  <w:style w:type="character" w:styleId="Emphasis">
    <w:name w:val="Emphasis"/>
    <w:uiPriority w:val="20"/>
    <w:qFormat/>
    <w:rsid w:val="007A488D"/>
    <w:rPr>
      <w:b/>
      <w:bCs/>
      <w:i/>
      <w:iCs/>
      <w:color w:val="auto"/>
    </w:rPr>
  </w:style>
  <w:style w:type="paragraph" w:styleId="NoSpacing">
    <w:name w:val="No Spacing"/>
    <w:basedOn w:val="Normal"/>
    <w:link w:val="NoSpacingChar"/>
    <w:uiPriority w:val="1"/>
    <w:qFormat/>
    <w:rsid w:val="007A488D"/>
    <w:pPr>
      <w:spacing w:after="0" w:line="240" w:lineRule="auto"/>
    </w:pPr>
  </w:style>
  <w:style w:type="character" w:customStyle="1" w:styleId="NoSpacingChar">
    <w:name w:val="No Spacing Char"/>
    <w:basedOn w:val="DefaultParagraphFont"/>
    <w:link w:val="NoSpacing"/>
    <w:uiPriority w:val="1"/>
    <w:rsid w:val="007A488D"/>
  </w:style>
  <w:style w:type="paragraph" w:styleId="ListParagraph">
    <w:name w:val="List Paragraph"/>
    <w:basedOn w:val="Normal"/>
    <w:uiPriority w:val="34"/>
    <w:qFormat/>
    <w:rsid w:val="007A488D"/>
    <w:pPr>
      <w:ind w:left="720"/>
      <w:contextualSpacing/>
    </w:pPr>
  </w:style>
  <w:style w:type="paragraph" w:styleId="Quote">
    <w:name w:val="Quote"/>
    <w:basedOn w:val="Normal"/>
    <w:next w:val="Normal"/>
    <w:link w:val="QuoteChar"/>
    <w:uiPriority w:val="29"/>
    <w:qFormat/>
    <w:rsid w:val="007A488D"/>
    <w:rPr>
      <w:color w:val="5A5A5A" w:themeColor="text1" w:themeTint="A5"/>
    </w:rPr>
  </w:style>
  <w:style w:type="character" w:customStyle="1" w:styleId="QuoteChar">
    <w:name w:val="Quote Char"/>
    <w:basedOn w:val="DefaultParagraphFont"/>
    <w:link w:val="Quote"/>
    <w:uiPriority w:val="29"/>
    <w:rsid w:val="007A488D"/>
    <w:rPr>
      <w:color w:val="5A5A5A" w:themeColor="text1" w:themeTint="A5"/>
    </w:rPr>
  </w:style>
  <w:style w:type="paragraph" w:styleId="IntenseQuote">
    <w:name w:val="Intense Quote"/>
    <w:basedOn w:val="Normal"/>
    <w:next w:val="Normal"/>
    <w:link w:val="IntenseQuoteChar"/>
    <w:uiPriority w:val="30"/>
    <w:qFormat/>
    <w:rsid w:val="007A488D"/>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IntenseQuoteChar">
    <w:name w:val="Intense Quote Char"/>
    <w:basedOn w:val="DefaultParagraphFont"/>
    <w:link w:val="IntenseQuote"/>
    <w:uiPriority w:val="30"/>
    <w:rsid w:val="007A488D"/>
    <w:rPr>
      <w:rFonts w:asciiTheme="majorHAnsi" w:eastAsiaTheme="majorEastAsia" w:hAnsiTheme="majorHAnsi" w:cstheme="majorBidi"/>
      <w:i/>
      <w:iCs/>
      <w:sz w:val="20"/>
      <w:szCs w:val="20"/>
    </w:rPr>
  </w:style>
  <w:style w:type="character" w:styleId="SubtleEmphasis">
    <w:name w:val="Subtle Emphasis"/>
    <w:uiPriority w:val="19"/>
    <w:qFormat/>
    <w:rsid w:val="007A488D"/>
    <w:rPr>
      <w:i/>
      <w:iCs/>
      <w:color w:val="5A5A5A" w:themeColor="text1" w:themeTint="A5"/>
    </w:rPr>
  </w:style>
  <w:style w:type="character" w:styleId="IntenseEmphasis">
    <w:name w:val="Intense Emphasis"/>
    <w:uiPriority w:val="21"/>
    <w:qFormat/>
    <w:rsid w:val="007A488D"/>
    <w:rPr>
      <w:b/>
      <w:bCs/>
      <w:i/>
      <w:iCs/>
      <w:color w:val="auto"/>
      <w:u w:val="single"/>
    </w:rPr>
  </w:style>
  <w:style w:type="character" w:styleId="SubtleReference">
    <w:name w:val="Subtle Reference"/>
    <w:uiPriority w:val="31"/>
    <w:qFormat/>
    <w:rsid w:val="007A488D"/>
    <w:rPr>
      <w:smallCaps/>
    </w:rPr>
  </w:style>
  <w:style w:type="character" w:styleId="IntenseReference">
    <w:name w:val="Intense Reference"/>
    <w:uiPriority w:val="32"/>
    <w:qFormat/>
    <w:rsid w:val="007A488D"/>
    <w:rPr>
      <w:b/>
      <w:bCs/>
      <w:smallCaps/>
      <w:color w:val="auto"/>
    </w:rPr>
  </w:style>
  <w:style w:type="character" w:styleId="BookTitle">
    <w:name w:val="Book Title"/>
    <w:uiPriority w:val="33"/>
    <w:qFormat/>
    <w:rsid w:val="007A488D"/>
    <w:rPr>
      <w:rFonts w:asciiTheme="majorHAnsi" w:eastAsiaTheme="majorEastAsia" w:hAnsiTheme="majorHAnsi" w:cstheme="majorBidi"/>
      <w:b/>
      <w:bCs/>
      <w:smallCaps/>
      <w:color w:val="auto"/>
      <w:u w:val="single"/>
    </w:rPr>
  </w:style>
  <w:style w:type="paragraph" w:styleId="TOC1">
    <w:name w:val="toc 1"/>
    <w:basedOn w:val="Normal"/>
    <w:next w:val="Normal"/>
    <w:autoRedefine/>
    <w:uiPriority w:val="39"/>
    <w:unhideWhenUsed/>
    <w:rsid w:val="007A488D"/>
    <w:pPr>
      <w:spacing w:after="100"/>
    </w:pPr>
  </w:style>
  <w:style w:type="paragraph" w:styleId="TableofFigures">
    <w:name w:val="table of figures"/>
    <w:aliases w:val="Table of Tables"/>
    <w:basedOn w:val="Normal"/>
    <w:next w:val="Normal"/>
    <w:uiPriority w:val="99"/>
    <w:unhideWhenUsed/>
    <w:rsid w:val="007A488D"/>
    <w:pPr>
      <w:spacing w:after="0"/>
    </w:pPr>
  </w:style>
  <w:style w:type="character" w:styleId="Hyperlink">
    <w:name w:val="Hyperlink"/>
    <w:basedOn w:val="DefaultParagraphFont"/>
    <w:uiPriority w:val="99"/>
    <w:unhideWhenUsed/>
    <w:rsid w:val="007A488D"/>
    <w:rPr>
      <w:color w:val="0563C1" w:themeColor="hyperlink"/>
      <w:u w:val="single"/>
    </w:rPr>
  </w:style>
  <w:style w:type="paragraph" w:styleId="Header">
    <w:name w:val="header"/>
    <w:basedOn w:val="Normal"/>
    <w:link w:val="HeaderChar"/>
    <w:uiPriority w:val="99"/>
    <w:unhideWhenUsed/>
    <w:rsid w:val="005431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142"/>
  </w:style>
  <w:style w:type="paragraph" w:styleId="Footer">
    <w:name w:val="footer"/>
    <w:basedOn w:val="Normal"/>
    <w:link w:val="FooterChar"/>
    <w:uiPriority w:val="99"/>
    <w:unhideWhenUsed/>
    <w:rsid w:val="005431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142"/>
  </w:style>
  <w:style w:type="character" w:customStyle="1" w:styleId="apple-converted-space">
    <w:name w:val="apple-converted-space"/>
    <w:basedOn w:val="DefaultParagraphFont"/>
    <w:rsid w:val="00222B30"/>
  </w:style>
  <w:style w:type="paragraph" w:styleId="Bibliography">
    <w:name w:val="Bibliography"/>
    <w:basedOn w:val="Normal"/>
    <w:next w:val="Normal"/>
    <w:uiPriority w:val="37"/>
    <w:unhideWhenUsed/>
    <w:rsid w:val="005875A1"/>
    <w:pPr>
      <w:spacing w:after="0"/>
      <w:ind w:left="720" w:hanging="720"/>
    </w:pPr>
  </w:style>
  <w:style w:type="paragraph" w:styleId="TOC2">
    <w:name w:val="toc 2"/>
    <w:basedOn w:val="Normal"/>
    <w:next w:val="Normal"/>
    <w:autoRedefine/>
    <w:uiPriority w:val="39"/>
    <w:unhideWhenUsed/>
    <w:rsid w:val="006D096C"/>
    <w:pPr>
      <w:tabs>
        <w:tab w:val="left" w:pos="1320"/>
        <w:tab w:val="right" w:leader="dot" w:pos="9350"/>
      </w:tabs>
      <w:spacing w:after="100"/>
      <w:ind w:left="1325" w:hanging="749"/>
    </w:pPr>
  </w:style>
  <w:style w:type="character" w:styleId="CommentReference">
    <w:name w:val="annotation reference"/>
    <w:basedOn w:val="DefaultParagraphFont"/>
    <w:uiPriority w:val="99"/>
    <w:semiHidden/>
    <w:unhideWhenUsed/>
    <w:rsid w:val="00A9420A"/>
    <w:rPr>
      <w:sz w:val="16"/>
      <w:szCs w:val="16"/>
    </w:rPr>
  </w:style>
  <w:style w:type="paragraph" w:styleId="CommentText">
    <w:name w:val="annotation text"/>
    <w:basedOn w:val="Normal"/>
    <w:link w:val="CommentTextChar"/>
    <w:uiPriority w:val="99"/>
    <w:semiHidden/>
    <w:unhideWhenUsed/>
    <w:rsid w:val="00A9420A"/>
    <w:pPr>
      <w:spacing w:after="160"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uiPriority w:val="99"/>
    <w:semiHidden/>
    <w:rsid w:val="00A9420A"/>
    <w:rPr>
      <w:rFonts w:asciiTheme="minorHAnsi" w:eastAsiaTheme="minorHAnsi" w:hAnsiTheme="minorHAnsi"/>
      <w:sz w:val="20"/>
      <w:szCs w:val="20"/>
    </w:rPr>
  </w:style>
  <w:style w:type="paragraph" w:styleId="BalloonText">
    <w:name w:val="Balloon Text"/>
    <w:basedOn w:val="Normal"/>
    <w:link w:val="BalloonTextChar"/>
    <w:uiPriority w:val="99"/>
    <w:semiHidden/>
    <w:unhideWhenUsed/>
    <w:rsid w:val="00A942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20A"/>
    <w:rPr>
      <w:rFonts w:ascii="Segoe UI" w:hAnsi="Segoe UI" w:cs="Segoe UI"/>
      <w:sz w:val="18"/>
      <w:szCs w:val="18"/>
    </w:rPr>
  </w:style>
  <w:style w:type="paragraph" w:styleId="TOC3">
    <w:name w:val="toc 3"/>
    <w:basedOn w:val="Normal"/>
    <w:next w:val="Normal"/>
    <w:autoRedefine/>
    <w:uiPriority w:val="39"/>
    <w:unhideWhenUsed/>
    <w:rsid w:val="006D096C"/>
    <w:pPr>
      <w:tabs>
        <w:tab w:val="right" w:leader="dot" w:pos="9350"/>
      </w:tabs>
      <w:spacing w:after="100"/>
      <w:ind w:left="864"/>
    </w:pPr>
  </w:style>
  <w:style w:type="paragraph" w:styleId="CommentSubject">
    <w:name w:val="annotation subject"/>
    <w:basedOn w:val="CommentText"/>
    <w:next w:val="CommentText"/>
    <w:link w:val="CommentSubjectChar"/>
    <w:uiPriority w:val="99"/>
    <w:semiHidden/>
    <w:unhideWhenUsed/>
    <w:rsid w:val="008C60D8"/>
    <w:pPr>
      <w:spacing w:after="240"/>
      <w:ind w:firstLine="360"/>
    </w:pPr>
    <w:rPr>
      <w:rFonts w:ascii="Times New Roman" w:eastAsiaTheme="minorEastAsia" w:hAnsi="Times New Roman"/>
      <w:b/>
      <w:bCs/>
    </w:rPr>
  </w:style>
  <w:style w:type="character" w:customStyle="1" w:styleId="CommentSubjectChar">
    <w:name w:val="Comment Subject Char"/>
    <w:basedOn w:val="CommentTextChar"/>
    <w:link w:val="CommentSubject"/>
    <w:uiPriority w:val="99"/>
    <w:semiHidden/>
    <w:rsid w:val="008C60D8"/>
    <w:rPr>
      <w:rFonts w:asciiTheme="minorHAnsi" w:eastAsiaTheme="minorHAnsi" w:hAnsiTheme="minorHAnsi"/>
      <w:b/>
      <w:bCs/>
      <w:sz w:val="20"/>
      <w:szCs w:val="20"/>
    </w:rPr>
  </w:style>
  <w:style w:type="paragraph" w:styleId="Revision">
    <w:name w:val="Revision"/>
    <w:hidden/>
    <w:uiPriority w:val="99"/>
    <w:semiHidden/>
    <w:rsid w:val="000E3087"/>
    <w:pPr>
      <w:spacing w:after="0" w:line="240" w:lineRule="auto"/>
      <w:ind w:firstLine="0"/>
    </w:pPr>
  </w:style>
  <w:style w:type="table" w:styleId="TableGrid">
    <w:name w:val="Table Grid"/>
    <w:basedOn w:val="TableNormal"/>
    <w:uiPriority w:val="59"/>
    <w:rsid w:val="002E1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73D7D"/>
    <w:pPr>
      <w:spacing w:before="100" w:beforeAutospacing="1" w:after="100" w:afterAutospacing="1" w:line="240" w:lineRule="auto"/>
    </w:pPr>
    <w:rPr>
      <w:rFonts w:cs="Times New Roman"/>
    </w:rPr>
  </w:style>
  <w:style w:type="character" w:styleId="PlaceholderText">
    <w:name w:val="Placeholder Text"/>
    <w:basedOn w:val="DefaultParagraphFont"/>
    <w:uiPriority w:val="99"/>
    <w:semiHidden/>
    <w:rsid w:val="00235763"/>
    <w:rPr>
      <w:color w:val="808080"/>
    </w:rPr>
  </w:style>
  <w:style w:type="table" w:customStyle="1" w:styleId="PlainTable21">
    <w:name w:val="Plain Table 21"/>
    <w:basedOn w:val="TableNormal"/>
    <w:uiPriority w:val="99"/>
    <w:rsid w:val="00B63C4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B63C4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neNumber">
    <w:name w:val="line number"/>
    <w:basedOn w:val="DefaultParagraphFont"/>
    <w:uiPriority w:val="99"/>
    <w:semiHidden/>
    <w:unhideWhenUsed/>
    <w:rsid w:val="000E0528"/>
  </w:style>
  <w:style w:type="paragraph" w:styleId="DocumentMap">
    <w:name w:val="Document Map"/>
    <w:basedOn w:val="Normal"/>
    <w:link w:val="DocumentMapChar"/>
    <w:uiPriority w:val="99"/>
    <w:semiHidden/>
    <w:unhideWhenUsed/>
    <w:rsid w:val="009E7625"/>
    <w:pPr>
      <w:spacing w:after="0" w:line="240" w:lineRule="auto"/>
    </w:pPr>
    <w:rPr>
      <w:rFonts w:eastAsiaTheme="minorHAnsi" w:cs="Times New Roman"/>
    </w:rPr>
  </w:style>
  <w:style w:type="character" w:customStyle="1" w:styleId="DocumentMapChar">
    <w:name w:val="Document Map Char"/>
    <w:basedOn w:val="DefaultParagraphFont"/>
    <w:link w:val="DocumentMap"/>
    <w:uiPriority w:val="99"/>
    <w:semiHidden/>
    <w:rsid w:val="009E7625"/>
    <w:rPr>
      <w:rFonts w:eastAsiaTheme="minorHAnsi" w:cs="Times New Roman"/>
    </w:rPr>
  </w:style>
  <w:style w:type="paragraph" w:customStyle="1" w:styleId="text">
    <w:name w:val="text"/>
    <w:aliases w:val="t"/>
    <w:basedOn w:val="Normal"/>
    <w:rsid w:val="00202B2A"/>
    <w:pPr>
      <w:widowControl w:val="0"/>
      <w:spacing w:after="0" w:line="480" w:lineRule="atLeast"/>
      <w:ind w:firstLine="720"/>
      <w:jc w:val="both"/>
    </w:pPr>
    <w:rPr>
      <w:rFonts w:ascii="Times New Roman" w:hAnsi="Times New Roman"/>
      <w:szCs w:val="22"/>
    </w:rPr>
  </w:style>
  <w:style w:type="numbering" w:styleId="111111">
    <w:name w:val="Outline List 2"/>
    <w:aliases w:val="1. / 1.1 / 1.1.1"/>
    <w:basedOn w:val="NoList"/>
    <w:uiPriority w:val="99"/>
    <w:semiHidden/>
    <w:unhideWhenUsed/>
    <w:rsid w:val="000440CE"/>
    <w:pPr>
      <w:numPr>
        <w:numId w:val="1"/>
      </w:numPr>
    </w:pPr>
  </w:style>
  <w:style w:type="paragraph" w:customStyle="1" w:styleId="p1">
    <w:name w:val="p1"/>
    <w:basedOn w:val="Normal"/>
    <w:rsid w:val="005F1A2C"/>
    <w:pPr>
      <w:spacing w:after="0" w:line="240" w:lineRule="auto"/>
    </w:pPr>
    <w:rPr>
      <w:rFonts w:ascii="Courier" w:hAnsi="Courier" w:cs="Times New Roman"/>
      <w:sz w:val="18"/>
      <w:szCs w:val="18"/>
    </w:rPr>
  </w:style>
  <w:style w:type="paragraph" w:customStyle="1" w:styleId="p2">
    <w:name w:val="p2"/>
    <w:basedOn w:val="Normal"/>
    <w:rsid w:val="005F1A2C"/>
    <w:pPr>
      <w:spacing w:after="0" w:line="240" w:lineRule="auto"/>
    </w:pPr>
    <w:rPr>
      <w:rFonts w:ascii="Helvetica" w:hAnsi="Helvetica" w:cs="Times New Roman"/>
      <w:sz w:val="18"/>
      <w:szCs w:val="18"/>
    </w:rPr>
  </w:style>
  <w:style w:type="character" w:customStyle="1" w:styleId="s1">
    <w:name w:val="s1"/>
    <w:basedOn w:val="DefaultParagraphFont"/>
    <w:rsid w:val="005F1A2C"/>
    <w:rPr>
      <w:rFonts w:ascii="Helvetica" w:hAnsi="Helvetica" w:hint="default"/>
      <w:sz w:val="18"/>
      <w:szCs w:val="18"/>
    </w:rPr>
  </w:style>
  <w:style w:type="character" w:customStyle="1" w:styleId="s2">
    <w:name w:val="s2"/>
    <w:basedOn w:val="DefaultParagraphFont"/>
    <w:rsid w:val="005F1A2C"/>
    <w:rPr>
      <w:rFonts w:ascii="Lucida Grande" w:hAnsi="Lucida Grande" w:cs="Lucida Grande" w:hint="default"/>
      <w:sz w:val="18"/>
      <w:szCs w:val="18"/>
    </w:rPr>
  </w:style>
  <w:style w:type="character" w:customStyle="1" w:styleId="apple-tab-span">
    <w:name w:val="apple-tab-span"/>
    <w:basedOn w:val="DefaultParagraphFont"/>
    <w:rsid w:val="005F1A2C"/>
  </w:style>
  <w:style w:type="table" w:customStyle="1" w:styleId="TableGrid1">
    <w:name w:val="Table Grid1"/>
    <w:basedOn w:val="TableNormal"/>
    <w:next w:val="TableGrid"/>
    <w:uiPriority w:val="59"/>
    <w:rsid w:val="00E911C4"/>
    <w:pPr>
      <w:spacing w:after="0" w:line="240" w:lineRule="auto"/>
      <w:ind w:firstLine="0"/>
    </w:pPr>
    <w:rPr>
      <w:rFonts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0440CE"/>
    <w:pPr>
      <w:numPr>
        <w:numId w:val="2"/>
      </w:numPr>
    </w:pPr>
  </w:style>
  <w:style w:type="character" w:styleId="PageNumber">
    <w:name w:val="page number"/>
    <w:basedOn w:val="DefaultParagraphFont"/>
    <w:uiPriority w:val="99"/>
    <w:semiHidden/>
    <w:unhideWhenUsed/>
    <w:rsid w:val="00842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264">
      <w:bodyDiv w:val="1"/>
      <w:marLeft w:val="0"/>
      <w:marRight w:val="0"/>
      <w:marTop w:val="0"/>
      <w:marBottom w:val="0"/>
      <w:divBdr>
        <w:top w:val="none" w:sz="0" w:space="0" w:color="auto"/>
        <w:left w:val="none" w:sz="0" w:space="0" w:color="auto"/>
        <w:bottom w:val="none" w:sz="0" w:space="0" w:color="auto"/>
        <w:right w:val="none" w:sz="0" w:space="0" w:color="auto"/>
      </w:divBdr>
    </w:div>
    <w:div w:id="3019042">
      <w:bodyDiv w:val="1"/>
      <w:marLeft w:val="0"/>
      <w:marRight w:val="0"/>
      <w:marTop w:val="0"/>
      <w:marBottom w:val="0"/>
      <w:divBdr>
        <w:top w:val="none" w:sz="0" w:space="0" w:color="auto"/>
        <w:left w:val="none" w:sz="0" w:space="0" w:color="auto"/>
        <w:bottom w:val="none" w:sz="0" w:space="0" w:color="auto"/>
        <w:right w:val="none" w:sz="0" w:space="0" w:color="auto"/>
      </w:divBdr>
    </w:div>
    <w:div w:id="18482073">
      <w:bodyDiv w:val="1"/>
      <w:marLeft w:val="0"/>
      <w:marRight w:val="0"/>
      <w:marTop w:val="0"/>
      <w:marBottom w:val="0"/>
      <w:divBdr>
        <w:top w:val="none" w:sz="0" w:space="0" w:color="auto"/>
        <w:left w:val="none" w:sz="0" w:space="0" w:color="auto"/>
        <w:bottom w:val="none" w:sz="0" w:space="0" w:color="auto"/>
        <w:right w:val="none" w:sz="0" w:space="0" w:color="auto"/>
      </w:divBdr>
    </w:div>
    <w:div w:id="34045051">
      <w:bodyDiv w:val="1"/>
      <w:marLeft w:val="0"/>
      <w:marRight w:val="0"/>
      <w:marTop w:val="0"/>
      <w:marBottom w:val="0"/>
      <w:divBdr>
        <w:top w:val="none" w:sz="0" w:space="0" w:color="auto"/>
        <w:left w:val="none" w:sz="0" w:space="0" w:color="auto"/>
        <w:bottom w:val="none" w:sz="0" w:space="0" w:color="auto"/>
        <w:right w:val="none" w:sz="0" w:space="0" w:color="auto"/>
      </w:divBdr>
    </w:div>
    <w:div w:id="47919326">
      <w:bodyDiv w:val="1"/>
      <w:marLeft w:val="0"/>
      <w:marRight w:val="0"/>
      <w:marTop w:val="0"/>
      <w:marBottom w:val="0"/>
      <w:divBdr>
        <w:top w:val="none" w:sz="0" w:space="0" w:color="auto"/>
        <w:left w:val="none" w:sz="0" w:space="0" w:color="auto"/>
        <w:bottom w:val="none" w:sz="0" w:space="0" w:color="auto"/>
        <w:right w:val="none" w:sz="0" w:space="0" w:color="auto"/>
      </w:divBdr>
    </w:div>
    <w:div w:id="50351082">
      <w:bodyDiv w:val="1"/>
      <w:marLeft w:val="0"/>
      <w:marRight w:val="0"/>
      <w:marTop w:val="0"/>
      <w:marBottom w:val="0"/>
      <w:divBdr>
        <w:top w:val="none" w:sz="0" w:space="0" w:color="auto"/>
        <w:left w:val="none" w:sz="0" w:space="0" w:color="auto"/>
        <w:bottom w:val="none" w:sz="0" w:space="0" w:color="auto"/>
        <w:right w:val="none" w:sz="0" w:space="0" w:color="auto"/>
      </w:divBdr>
    </w:div>
    <w:div w:id="54279208">
      <w:bodyDiv w:val="1"/>
      <w:marLeft w:val="0"/>
      <w:marRight w:val="0"/>
      <w:marTop w:val="0"/>
      <w:marBottom w:val="0"/>
      <w:divBdr>
        <w:top w:val="none" w:sz="0" w:space="0" w:color="auto"/>
        <w:left w:val="none" w:sz="0" w:space="0" w:color="auto"/>
        <w:bottom w:val="none" w:sz="0" w:space="0" w:color="auto"/>
        <w:right w:val="none" w:sz="0" w:space="0" w:color="auto"/>
      </w:divBdr>
    </w:div>
    <w:div w:id="64302018">
      <w:bodyDiv w:val="1"/>
      <w:marLeft w:val="0"/>
      <w:marRight w:val="0"/>
      <w:marTop w:val="0"/>
      <w:marBottom w:val="0"/>
      <w:divBdr>
        <w:top w:val="none" w:sz="0" w:space="0" w:color="auto"/>
        <w:left w:val="none" w:sz="0" w:space="0" w:color="auto"/>
        <w:bottom w:val="none" w:sz="0" w:space="0" w:color="auto"/>
        <w:right w:val="none" w:sz="0" w:space="0" w:color="auto"/>
      </w:divBdr>
    </w:div>
    <w:div w:id="74859278">
      <w:bodyDiv w:val="1"/>
      <w:marLeft w:val="0"/>
      <w:marRight w:val="0"/>
      <w:marTop w:val="0"/>
      <w:marBottom w:val="0"/>
      <w:divBdr>
        <w:top w:val="none" w:sz="0" w:space="0" w:color="auto"/>
        <w:left w:val="none" w:sz="0" w:space="0" w:color="auto"/>
        <w:bottom w:val="none" w:sz="0" w:space="0" w:color="auto"/>
        <w:right w:val="none" w:sz="0" w:space="0" w:color="auto"/>
      </w:divBdr>
    </w:div>
    <w:div w:id="89203518">
      <w:bodyDiv w:val="1"/>
      <w:marLeft w:val="0"/>
      <w:marRight w:val="0"/>
      <w:marTop w:val="0"/>
      <w:marBottom w:val="0"/>
      <w:divBdr>
        <w:top w:val="none" w:sz="0" w:space="0" w:color="auto"/>
        <w:left w:val="none" w:sz="0" w:space="0" w:color="auto"/>
        <w:bottom w:val="none" w:sz="0" w:space="0" w:color="auto"/>
        <w:right w:val="none" w:sz="0" w:space="0" w:color="auto"/>
      </w:divBdr>
    </w:div>
    <w:div w:id="132599133">
      <w:bodyDiv w:val="1"/>
      <w:marLeft w:val="0"/>
      <w:marRight w:val="0"/>
      <w:marTop w:val="0"/>
      <w:marBottom w:val="0"/>
      <w:divBdr>
        <w:top w:val="none" w:sz="0" w:space="0" w:color="auto"/>
        <w:left w:val="none" w:sz="0" w:space="0" w:color="auto"/>
        <w:bottom w:val="none" w:sz="0" w:space="0" w:color="auto"/>
        <w:right w:val="none" w:sz="0" w:space="0" w:color="auto"/>
      </w:divBdr>
    </w:div>
    <w:div w:id="134030161">
      <w:bodyDiv w:val="1"/>
      <w:marLeft w:val="0"/>
      <w:marRight w:val="0"/>
      <w:marTop w:val="0"/>
      <w:marBottom w:val="0"/>
      <w:divBdr>
        <w:top w:val="none" w:sz="0" w:space="0" w:color="auto"/>
        <w:left w:val="none" w:sz="0" w:space="0" w:color="auto"/>
        <w:bottom w:val="none" w:sz="0" w:space="0" w:color="auto"/>
        <w:right w:val="none" w:sz="0" w:space="0" w:color="auto"/>
      </w:divBdr>
    </w:div>
    <w:div w:id="149831513">
      <w:bodyDiv w:val="1"/>
      <w:marLeft w:val="0"/>
      <w:marRight w:val="0"/>
      <w:marTop w:val="0"/>
      <w:marBottom w:val="0"/>
      <w:divBdr>
        <w:top w:val="none" w:sz="0" w:space="0" w:color="auto"/>
        <w:left w:val="none" w:sz="0" w:space="0" w:color="auto"/>
        <w:bottom w:val="none" w:sz="0" w:space="0" w:color="auto"/>
        <w:right w:val="none" w:sz="0" w:space="0" w:color="auto"/>
      </w:divBdr>
    </w:div>
    <w:div w:id="154301186">
      <w:bodyDiv w:val="1"/>
      <w:marLeft w:val="0"/>
      <w:marRight w:val="0"/>
      <w:marTop w:val="0"/>
      <w:marBottom w:val="0"/>
      <w:divBdr>
        <w:top w:val="none" w:sz="0" w:space="0" w:color="auto"/>
        <w:left w:val="none" w:sz="0" w:space="0" w:color="auto"/>
        <w:bottom w:val="none" w:sz="0" w:space="0" w:color="auto"/>
        <w:right w:val="none" w:sz="0" w:space="0" w:color="auto"/>
      </w:divBdr>
    </w:div>
    <w:div w:id="164325052">
      <w:bodyDiv w:val="1"/>
      <w:marLeft w:val="0"/>
      <w:marRight w:val="0"/>
      <w:marTop w:val="0"/>
      <w:marBottom w:val="0"/>
      <w:divBdr>
        <w:top w:val="none" w:sz="0" w:space="0" w:color="auto"/>
        <w:left w:val="none" w:sz="0" w:space="0" w:color="auto"/>
        <w:bottom w:val="none" w:sz="0" w:space="0" w:color="auto"/>
        <w:right w:val="none" w:sz="0" w:space="0" w:color="auto"/>
      </w:divBdr>
    </w:div>
    <w:div w:id="178348824">
      <w:bodyDiv w:val="1"/>
      <w:marLeft w:val="0"/>
      <w:marRight w:val="0"/>
      <w:marTop w:val="0"/>
      <w:marBottom w:val="0"/>
      <w:divBdr>
        <w:top w:val="none" w:sz="0" w:space="0" w:color="auto"/>
        <w:left w:val="none" w:sz="0" w:space="0" w:color="auto"/>
        <w:bottom w:val="none" w:sz="0" w:space="0" w:color="auto"/>
        <w:right w:val="none" w:sz="0" w:space="0" w:color="auto"/>
      </w:divBdr>
    </w:div>
    <w:div w:id="215166182">
      <w:bodyDiv w:val="1"/>
      <w:marLeft w:val="0"/>
      <w:marRight w:val="0"/>
      <w:marTop w:val="0"/>
      <w:marBottom w:val="0"/>
      <w:divBdr>
        <w:top w:val="none" w:sz="0" w:space="0" w:color="auto"/>
        <w:left w:val="none" w:sz="0" w:space="0" w:color="auto"/>
        <w:bottom w:val="none" w:sz="0" w:space="0" w:color="auto"/>
        <w:right w:val="none" w:sz="0" w:space="0" w:color="auto"/>
      </w:divBdr>
    </w:div>
    <w:div w:id="234359147">
      <w:bodyDiv w:val="1"/>
      <w:marLeft w:val="0"/>
      <w:marRight w:val="0"/>
      <w:marTop w:val="0"/>
      <w:marBottom w:val="0"/>
      <w:divBdr>
        <w:top w:val="none" w:sz="0" w:space="0" w:color="auto"/>
        <w:left w:val="none" w:sz="0" w:space="0" w:color="auto"/>
        <w:bottom w:val="none" w:sz="0" w:space="0" w:color="auto"/>
        <w:right w:val="none" w:sz="0" w:space="0" w:color="auto"/>
      </w:divBdr>
    </w:div>
    <w:div w:id="237714681">
      <w:bodyDiv w:val="1"/>
      <w:marLeft w:val="0"/>
      <w:marRight w:val="0"/>
      <w:marTop w:val="0"/>
      <w:marBottom w:val="0"/>
      <w:divBdr>
        <w:top w:val="none" w:sz="0" w:space="0" w:color="auto"/>
        <w:left w:val="none" w:sz="0" w:space="0" w:color="auto"/>
        <w:bottom w:val="none" w:sz="0" w:space="0" w:color="auto"/>
        <w:right w:val="none" w:sz="0" w:space="0" w:color="auto"/>
      </w:divBdr>
    </w:div>
    <w:div w:id="245387173">
      <w:bodyDiv w:val="1"/>
      <w:marLeft w:val="0"/>
      <w:marRight w:val="0"/>
      <w:marTop w:val="0"/>
      <w:marBottom w:val="0"/>
      <w:divBdr>
        <w:top w:val="none" w:sz="0" w:space="0" w:color="auto"/>
        <w:left w:val="none" w:sz="0" w:space="0" w:color="auto"/>
        <w:bottom w:val="none" w:sz="0" w:space="0" w:color="auto"/>
        <w:right w:val="none" w:sz="0" w:space="0" w:color="auto"/>
      </w:divBdr>
    </w:div>
    <w:div w:id="253251075">
      <w:bodyDiv w:val="1"/>
      <w:marLeft w:val="0"/>
      <w:marRight w:val="0"/>
      <w:marTop w:val="0"/>
      <w:marBottom w:val="0"/>
      <w:divBdr>
        <w:top w:val="none" w:sz="0" w:space="0" w:color="auto"/>
        <w:left w:val="none" w:sz="0" w:space="0" w:color="auto"/>
        <w:bottom w:val="none" w:sz="0" w:space="0" w:color="auto"/>
        <w:right w:val="none" w:sz="0" w:space="0" w:color="auto"/>
      </w:divBdr>
    </w:div>
    <w:div w:id="277033633">
      <w:bodyDiv w:val="1"/>
      <w:marLeft w:val="0"/>
      <w:marRight w:val="0"/>
      <w:marTop w:val="0"/>
      <w:marBottom w:val="0"/>
      <w:divBdr>
        <w:top w:val="none" w:sz="0" w:space="0" w:color="auto"/>
        <w:left w:val="none" w:sz="0" w:space="0" w:color="auto"/>
        <w:bottom w:val="none" w:sz="0" w:space="0" w:color="auto"/>
        <w:right w:val="none" w:sz="0" w:space="0" w:color="auto"/>
      </w:divBdr>
    </w:div>
    <w:div w:id="291635384">
      <w:bodyDiv w:val="1"/>
      <w:marLeft w:val="0"/>
      <w:marRight w:val="0"/>
      <w:marTop w:val="0"/>
      <w:marBottom w:val="0"/>
      <w:divBdr>
        <w:top w:val="none" w:sz="0" w:space="0" w:color="auto"/>
        <w:left w:val="none" w:sz="0" w:space="0" w:color="auto"/>
        <w:bottom w:val="none" w:sz="0" w:space="0" w:color="auto"/>
        <w:right w:val="none" w:sz="0" w:space="0" w:color="auto"/>
      </w:divBdr>
    </w:div>
    <w:div w:id="294218319">
      <w:bodyDiv w:val="1"/>
      <w:marLeft w:val="0"/>
      <w:marRight w:val="0"/>
      <w:marTop w:val="0"/>
      <w:marBottom w:val="0"/>
      <w:divBdr>
        <w:top w:val="none" w:sz="0" w:space="0" w:color="auto"/>
        <w:left w:val="none" w:sz="0" w:space="0" w:color="auto"/>
        <w:bottom w:val="none" w:sz="0" w:space="0" w:color="auto"/>
        <w:right w:val="none" w:sz="0" w:space="0" w:color="auto"/>
      </w:divBdr>
    </w:div>
    <w:div w:id="328755456">
      <w:bodyDiv w:val="1"/>
      <w:marLeft w:val="0"/>
      <w:marRight w:val="0"/>
      <w:marTop w:val="0"/>
      <w:marBottom w:val="0"/>
      <w:divBdr>
        <w:top w:val="none" w:sz="0" w:space="0" w:color="auto"/>
        <w:left w:val="none" w:sz="0" w:space="0" w:color="auto"/>
        <w:bottom w:val="none" w:sz="0" w:space="0" w:color="auto"/>
        <w:right w:val="none" w:sz="0" w:space="0" w:color="auto"/>
      </w:divBdr>
    </w:div>
    <w:div w:id="333342765">
      <w:bodyDiv w:val="1"/>
      <w:marLeft w:val="0"/>
      <w:marRight w:val="0"/>
      <w:marTop w:val="0"/>
      <w:marBottom w:val="0"/>
      <w:divBdr>
        <w:top w:val="none" w:sz="0" w:space="0" w:color="auto"/>
        <w:left w:val="none" w:sz="0" w:space="0" w:color="auto"/>
        <w:bottom w:val="none" w:sz="0" w:space="0" w:color="auto"/>
        <w:right w:val="none" w:sz="0" w:space="0" w:color="auto"/>
      </w:divBdr>
    </w:div>
    <w:div w:id="348414767">
      <w:bodyDiv w:val="1"/>
      <w:marLeft w:val="0"/>
      <w:marRight w:val="0"/>
      <w:marTop w:val="0"/>
      <w:marBottom w:val="0"/>
      <w:divBdr>
        <w:top w:val="none" w:sz="0" w:space="0" w:color="auto"/>
        <w:left w:val="none" w:sz="0" w:space="0" w:color="auto"/>
        <w:bottom w:val="none" w:sz="0" w:space="0" w:color="auto"/>
        <w:right w:val="none" w:sz="0" w:space="0" w:color="auto"/>
      </w:divBdr>
      <w:divsChild>
        <w:div w:id="95442118">
          <w:marLeft w:val="1166"/>
          <w:marRight w:val="0"/>
          <w:marTop w:val="134"/>
          <w:marBottom w:val="0"/>
          <w:divBdr>
            <w:top w:val="none" w:sz="0" w:space="0" w:color="auto"/>
            <w:left w:val="none" w:sz="0" w:space="0" w:color="auto"/>
            <w:bottom w:val="none" w:sz="0" w:space="0" w:color="auto"/>
            <w:right w:val="none" w:sz="0" w:space="0" w:color="auto"/>
          </w:divBdr>
        </w:div>
        <w:div w:id="863633606">
          <w:marLeft w:val="547"/>
          <w:marRight w:val="0"/>
          <w:marTop w:val="154"/>
          <w:marBottom w:val="0"/>
          <w:divBdr>
            <w:top w:val="none" w:sz="0" w:space="0" w:color="auto"/>
            <w:left w:val="none" w:sz="0" w:space="0" w:color="auto"/>
            <w:bottom w:val="none" w:sz="0" w:space="0" w:color="auto"/>
            <w:right w:val="none" w:sz="0" w:space="0" w:color="auto"/>
          </w:divBdr>
        </w:div>
        <w:div w:id="1360813236">
          <w:marLeft w:val="1166"/>
          <w:marRight w:val="0"/>
          <w:marTop w:val="134"/>
          <w:marBottom w:val="0"/>
          <w:divBdr>
            <w:top w:val="none" w:sz="0" w:space="0" w:color="auto"/>
            <w:left w:val="none" w:sz="0" w:space="0" w:color="auto"/>
            <w:bottom w:val="none" w:sz="0" w:space="0" w:color="auto"/>
            <w:right w:val="none" w:sz="0" w:space="0" w:color="auto"/>
          </w:divBdr>
        </w:div>
        <w:div w:id="1886602741">
          <w:marLeft w:val="1166"/>
          <w:marRight w:val="0"/>
          <w:marTop w:val="134"/>
          <w:marBottom w:val="0"/>
          <w:divBdr>
            <w:top w:val="none" w:sz="0" w:space="0" w:color="auto"/>
            <w:left w:val="none" w:sz="0" w:space="0" w:color="auto"/>
            <w:bottom w:val="none" w:sz="0" w:space="0" w:color="auto"/>
            <w:right w:val="none" w:sz="0" w:space="0" w:color="auto"/>
          </w:divBdr>
        </w:div>
        <w:div w:id="2143158304">
          <w:marLeft w:val="1166"/>
          <w:marRight w:val="0"/>
          <w:marTop w:val="134"/>
          <w:marBottom w:val="0"/>
          <w:divBdr>
            <w:top w:val="none" w:sz="0" w:space="0" w:color="auto"/>
            <w:left w:val="none" w:sz="0" w:space="0" w:color="auto"/>
            <w:bottom w:val="none" w:sz="0" w:space="0" w:color="auto"/>
            <w:right w:val="none" w:sz="0" w:space="0" w:color="auto"/>
          </w:divBdr>
        </w:div>
      </w:divsChild>
    </w:div>
    <w:div w:id="349069672">
      <w:bodyDiv w:val="1"/>
      <w:marLeft w:val="0"/>
      <w:marRight w:val="0"/>
      <w:marTop w:val="0"/>
      <w:marBottom w:val="0"/>
      <w:divBdr>
        <w:top w:val="none" w:sz="0" w:space="0" w:color="auto"/>
        <w:left w:val="none" w:sz="0" w:space="0" w:color="auto"/>
        <w:bottom w:val="none" w:sz="0" w:space="0" w:color="auto"/>
        <w:right w:val="none" w:sz="0" w:space="0" w:color="auto"/>
      </w:divBdr>
    </w:div>
    <w:div w:id="373694388">
      <w:bodyDiv w:val="1"/>
      <w:marLeft w:val="0"/>
      <w:marRight w:val="0"/>
      <w:marTop w:val="0"/>
      <w:marBottom w:val="0"/>
      <w:divBdr>
        <w:top w:val="none" w:sz="0" w:space="0" w:color="auto"/>
        <w:left w:val="none" w:sz="0" w:space="0" w:color="auto"/>
        <w:bottom w:val="none" w:sz="0" w:space="0" w:color="auto"/>
        <w:right w:val="none" w:sz="0" w:space="0" w:color="auto"/>
      </w:divBdr>
    </w:div>
    <w:div w:id="374042645">
      <w:bodyDiv w:val="1"/>
      <w:marLeft w:val="0"/>
      <w:marRight w:val="0"/>
      <w:marTop w:val="0"/>
      <w:marBottom w:val="0"/>
      <w:divBdr>
        <w:top w:val="none" w:sz="0" w:space="0" w:color="auto"/>
        <w:left w:val="none" w:sz="0" w:space="0" w:color="auto"/>
        <w:bottom w:val="none" w:sz="0" w:space="0" w:color="auto"/>
        <w:right w:val="none" w:sz="0" w:space="0" w:color="auto"/>
      </w:divBdr>
    </w:div>
    <w:div w:id="422840881">
      <w:bodyDiv w:val="1"/>
      <w:marLeft w:val="0"/>
      <w:marRight w:val="0"/>
      <w:marTop w:val="0"/>
      <w:marBottom w:val="0"/>
      <w:divBdr>
        <w:top w:val="none" w:sz="0" w:space="0" w:color="auto"/>
        <w:left w:val="none" w:sz="0" w:space="0" w:color="auto"/>
        <w:bottom w:val="none" w:sz="0" w:space="0" w:color="auto"/>
        <w:right w:val="none" w:sz="0" w:space="0" w:color="auto"/>
      </w:divBdr>
    </w:div>
    <w:div w:id="442765747">
      <w:bodyDiv w:val="1"/>
      <w:marLeft w:val="0"/>
      <w:marRight w:val="0"/>
      <w:marTop w:val="0"/>
      <w:marBottom w:val="0"/>
      <w:divBdr>
        <w:top w:val="none" w:sz="0" w:space="0" w:color="auto"/>
        <w:left w:val="none" w:sz="0" w:space="0" w:color="auto"/>
        <w:bottom w:val="none" w:sz="0" w:space="0" w:color="auto"/>
        <w:right w:val="none" w:sz="0" w:space="0" w:color="auto"/>
      </w:divBdr>
    </w:div>
    <w:div w:id="444232636">
      <w:bodyDiv w:val="1"/>
      <w:marLeft w:val="0"/>
      <w:marRight w:val="0"/>
      <w:marTop w:val="0"/>
      <w:marBottom w:val="0"/>
      <w:divBdr>
        <w:top w:val="none" w:sz="0" w:space="0" w:color="auto"/>
        <w:left w:val="none" w:sz="0" w:space="0" w:color="auto"/>
        <w:bottom w:val="none" w:sz="0" w:space="0" w:color="auto"/>
        <w:right w:val="none" w:sz="0" w:space="0" w:color="auto"/>
      </w:divBdr>
    </w:div>
    <w:div w:id="447747976">
      <w:bodyDiv w:val="1"/>
      <w:marLeft w:val="0"/>
      <w:marRight w:val="0"/>
      <w:marTop w:val="0"/>
      <w:marBottom w:val="0"/>
      <w:divBdr>
        <w:top w:val="none" w:sz="0" w:space="0" w:color="auto"/>
        <w:left w:val="none" w:sz="0" w:space="0" w:color="auto"/>
        <w:bottom w:val="none" w:sz="0" w:space="0" w:color="auto"/>
        <w:right w:val="none" w:sz="0" w:space="0" w:color="auto"/>
      </w:divBdr>
    </w:div>
    <w:div w:id="458034159">
      <w:bodyDiv w:val="1"/>
      <w:marLeft w:val="0"/>
      <w:marRight w:val="0"/>
      <w:marTop w:val="0"/>
      <w:marBottom w:val="0"/>
      <w:divBdr>
        <w:top w:val="none" w:sz="0" w:space="0" w:color="auto"/>
        <w:left w:val="none" w:sz="0" w:space="0" w:color="auto"/>
        <w:bottom w:val="none" w:sz="0" w:space="0" w:color="auto"/>
        <w:right w:val="none" w:sz="0" w:space="0" w:color="auto"/>
      </w:divBdr>
    </w:div>
    <w:div w:id="484051534">
      <w:bodyDiv w:val="1"/>
      <w:marLeft w:val="0"/>
      <w:marRight w:val="0"/>
      <w:marTop w:val="0"/>
      <w:marBottom w:val="0"/>
      <w:divBdr>
        <w:top w:val="none" w:sz="0" w:space="0" w:color="auto"/>
        <w:left w:val="none" w:sz="0" w:space="0" w:color="auto"/>
        <w:bottom w:val="none" w:sz="0" w:space="0" w:color="auto"/>
        <w:right w:val="none" w:sz="0" w:space="0" w:color="auto"/>
      </w:divBdr>
    </w:div>
    <w:div w:id="484443664">
      <w:bodyDiv w:val="1"/>
      <w:marLeft w:val="0"/>
      <w:marRight w:val="0"/>
      <w:marTop w:val="0"/>
      <w:marBottom w:val="0"/>
      <w:divBdr>
        <w:top w:val="none" w:sz="0" w:space="0" w:color="auto"/>
        <w:left w:val="none" w:sz="0" w:space="0" w:color="auto"/>
        <w:bottom w:val="none" w:sz="0" w:space="0" w:color="auto"/>
        <w:right w:val="none" w:sz="0" w:space="0" w:color="auto"/>
      </w:divBdr>
    </w:div>
    <w:div w:id="495195600">
      <w:bodyDiv w:val="1"/>
      <w:marLeft w:val="0"/>
      <w:marRight w:val="0"/>
      <w:marTop w:val="0"/>
      <w:marBottom w:val="0"/>
      <w:divBdr>
        <w:top w:val="none" w:sz="0" w:space="0" w:color="auto"/>
        <w:left w:val="none" w:sz="0" w:space="0" w:color="auto"/>
        <w:bottom w:val="none" w:sz="0" w:space="0" w:color="auto"/>
        <w:right w:val="none" w:sz="0" w:space="0" w:color="auto"/>
      </w:divBdr>
    </w:div>
    <w:div w:id="524631740">
      <w:bodyDiv w:val="1"/>
      <w:marLeft w:val="0"/>
      <w:marRight w:val="0"/>
      <w:marTop w:val="0"/>
      <w:marBottom w:val="0"/>
      <w:divBdr>
        <w:top w:val="none" w:sz="0" w:space="0" w:color="auto"/>
        <w:left w:val="none" w:sz="0" w:space="0" w:color="auto"/>
        <w:bottom w:val="none" w:sz="0" w:space="0" w:color="auto"/>
        <w:right w:val="none" w:sz="0" w:space="0" w:color="auto"/>
      </w:divBdr>
    </w:div>
    <w:div w:id="559825601">
      <w:bodyDiv w:val="1"/>
      <w:marLeft w:val="0"/>
      <w:marRight w:val="0"/>
      <w:marTop w:val="0"/>
      <w:marBottom w:val="0"/>
      <w:divBdr>
        <w:top w:val="none" w:sz="0" w:space="0" w:color="auto"/>
        <w:left w:val="none" w:sz="0" w:space="0" w:color="auto"/>
        <w:bottom w:val="none" w:sz="0" w:space="0" w:color="auto"/>
        <w:right w:val="none" w:sz="0" w:space="0" w:color="auto"/>
      </w:divBdr>
    </w:div>
    <w:div w:id="568610693">
      <w:bodyDiv w:val="1"/>
      <w:marLeft w:val="0"/>
      <w:marRight w:val="0"/>
      <w:marTop w:val="0"/>
      <w:marBottom w:val="0"/>
      <w:divBdr>
        <w:top w:val="none" w:sz="0" w:space="0" w:color="auto"/>
        <w:left w:val="none" w:sz="0" w:space="0" w:color="auto"/>
        <w:bottom w:val="none" w:sz="0" w:space="0" w:color="auto"/>
        <w:right w:val="none" w:sz="0" w:space="0" w:color="auto"/>
      </w:divBdr>
    </w:div>
    <w:div w:id="574827700">
      <w:bodyDiv w:val="1"/>
      <w:marLeft w:val="0"/>
      <w:marRight w:val="0"/>
      <w:marTop w:val="0"/>
      <w:marBottom w:val="0"/>
      <w:divBdr>
        <w:top w:val="none" w:sz="0" w:space="0" w:color="auto"/>
        <w:left w:val="none" w:sz="0" w:space="0" w:color="auto"/>
        <w:bottom w:val="none" w:sz="0" w:space="0" w:color="auto"/>
        <w:right w:val="none" w:sz="0" w:space="0" w:color="auto"/>
      </w:divBdr>
    </w:div>
    <w:div w:id="576667086">
      <w:bodyDiv w:val="1"/>
      <w:marLeft w:val="0"/>
      <w:marRight w:val="0"/>
      <w:marTop w:val="0"/>
      <w:marBottom w:val="0"/>
      <w:divBdr>
        <w:top w:val="none" w:sz="0" w:space="0" w:color="auto"/>
        <w:left w:val="none" w:sz="0" w:space="0" w:color="auto"/>
        <w:bottom w:val="none" w:sz="0" w:space="0" w:color="auto"/>
        <w:right w:val="none" w:sz="0" w:space="0" w:color="auto"/>
      </w:divBdr>
    </w:div>
    <w:div w:id="581110387">
      <w:bodyDiv w:val="1"/>
      <w:marLeft w:val="0"/>
      <w:marRight w:val="0"/>
      <w:marTop w:val="0"/>
      <w:marBottom w:val="0"/>
      <w:divBdr>
        <w:top w:val="none" w:sz="0" w:space="0" w:color="auto"/>
        <w:left w:val="none" w:sz="0" w:space="0" w:color="auto"/>
        <w:bottom w:val="none" w:sz="0" w:space="0" w:color="auto"/>
        <w:right w:val="none" w:sz="0" w:space="0" w:color="auto"/>
      </w:divBdr>
    </w:div>
    <w:div w:id="584458108">
      <w:bodyDiv w:val="1"/>
      <w:marLeft w:val="0"/>
      <w:marRight w:val="0"/>
      <w:marTop w:val="0"/>
      <w:marBottom w:val="0"/>
      <w:divBdr>
        <w:top w:val="none" w:sz="0" w:space="0" w:color="auto"/>
        <w:left w:val="none" w:sz="0" w:space="0" w:color="auto"/>
        <w:bottom w:val="none" w:sz="0" w:space="0" w:color="auto"/>
        <w:right w:val="none" w:sz="0" w:space="0" w:color="auto"/>
      </w:divBdr>
    </w:div>
    <w:div w:id="586575578">
      <w:bodyDiv w:val="1"/>
      <w:marLeft w:val="0"/>
      <w:marRight w:val="0"/>
      <w:marTop w:val="0"/>
      <w:marBottom w:val="0"/>
      <w:divBdr>
        <w:top w:val="none" w:sz="0" w:space="0" w:color="auto"/>
        <w:left w:val="none" w:sz="0" w:space="0" w:color="auto"/>
        <w:bottom w:val="none" w:sz="0" w:space="0" w:color="auto"/>
        <w:right w:val="none" w:sz="0" w:space="0" w:color="auto"/>
      </w:divBdr>
    </w:div>
    <w:div w:id="606430789">
      <w:bodyDiv w:val="1"/>
      <w:marLeft w:val="0"/>
      <w:marRight w:val="0"/>
      <w:marTop w:val="0"/>
      <w:marBottom w:val="0"/>
      <w:divBdr>
        <w:top w:val="none" w:sz="0" w:space="0" w:color="auto"/>
        <w:left w:val="none" w:sz="0" w:space="0" w:color="auto"/>
        <w:bottom w:val="none" w:sz="0" w:space="0" w:color="auto"/>
        <w:right w:val="none" w:sz="0" w:space="0" w:color="auto"/>
      </w:divBdr>
    </w:div>
    <w:div w:id="613557880">
      <w:bodyDiv w:val="1"/>
      <w:marLeft w:val="0"/>
      <w:marRight w:val="0"/>
      <w:marTop w:val="0"/>
      <w:marBottom w:val="0"/>
      <w:divBdr>
        <w:top w:val="none" w:sz="0" w:space="0" w:color="auto"/>
        <w:left w:val="none" w:sz="0" w:space="0" w:color="auto"/>
        <w:bottom w:val="none" w:sz="0" w:space="0" w:color="auto"/>
        <w:right w:val="none" w:sz="0" w:space="0" w:color="auto"/>
      </w:divBdr>
    </w:div>
    <w:div w:id="613559862">
      <w:bodyDiv w:val="1"/>
      <w:marLeft w:val="0"/>
      <w:marRight w:val="0"/>
      <w:marTop w:val="0"/>
      <w:marBottom w:val="0"/>
      <w:divBdr>
        <w:top w:val="none" w:sz="0" w:space="0" w:color="auto"/>
        <w:left w:val="none" w:sz="0" w:space="0" w:color="auto"/>
        <w:bottom w:val="none" w:sz="0" w:space="0" w:color="auto"/>
        <w:right w:val="none" w:sz="0" w:space="0" w:color="auto"/>
      </w:divBdr>
    </w:div>
    <w:div w:id="614823227">
      <w:bodyDiv w:val="1"/>
      <w:marLeft w:val="0"/>
      <w:marRight w:val="0"/>
      <w:marTop w:val="0"/>
      <w:marBottom w:val="0"/>
      <w:divBdr>
        <w:top w:val="none" w:sz="0" w:space="0" w:color="auto"/>
        <w:left w:val="none" w:sz="0" w:space="0" w:color="auto"/>
        <w:bottom w:val="none" w:sz="0" w:space="0" w:color="auto"/>
        <w:right w:val="none" w:sz="0" w:space="0" w:color="auto"/>
      </w:divBdr>
    </w:div>
    <w:div w:id="627471733">
      <w:bodyDiv w:val="1"/>
      <w:marLeft w:val="0"/>
      <w:marRight w:val="0"/>
      <w:marTop w:val="0"/>
      <w:marBottom w:val="0"/>
      <w:divBdr>
        <w:top w:val="none" w:sz="0" w:space="0" w:color="auto"/>
        <w:left w:val="none" w:sz="0" w:space="0" w:color="auto"/>
        <w:bottom w:val="none" w:sz="0" w:space="0" w:color="auto"/>
        <w:right w:val="none" w:sz="0" w:space="0" w:color="auto"/>
      </w:divBdr>
    </w:div>
    <w:div w:id="630092634">
      <w:bodyDiv w:val="1"/>
      <w:marLeft w:val="0"/>
      <w:marRight w:val="0"/>
      <w:marTop w:val="0"/>
      <w:marBottom w:val="0"/>
      <w:divBdr>
        <w:top w:val="none" w:sz="0" w:space="0" w:color="auto"/>
        <w:left w:val="none" w:sz="0" w:space="0" w:color="auto"/>
        <w:bottom w:val="none" w:sz="0" w:space="0" w:color="auto"/>
        <w:right w:val="none" w:sz="0" w:space="0" w:color="auto"/>
      </w:divBdr>
    </w:div>
    <w:div w:id="656812066">
      <w:bodyDiv w:val="1"/>
      <w:marLeft w:val="0"/>
      <w:marRight w:val="0"/>
      <w:marTop w:val="0"/>
      <w:marBottom w:val="0"/>
      <w:divBdr>
        <w:top w:val="none" w:sz="0" w:space="0" w:color="auto"/>
        <w:left w:val="none" w:sz="0" w:space="0" w:color="auto"/>
        <w:bottom w:val="none" w:sz="0" w:space="0" w:color="auto"/>
        <w:right w:val="none" w:sz="0" w:space="0" w:color="auto"/>
      </w:divBdr>
    </w:div>
    <w:div w:id="677196711">
      <w:bodyDiv w:val="1"/>
      <w:marLeft w:val="0"/>
      <w:marRight w:val="0"/>
      <w:marTop w:val="0"/>
      <w:marBottom w:val="0"/>
      <w:divBdr>
        <w:top w:val="none" w:sz="0" w:space="0" w:color="auto"/>
        <w:left w:val="none" w:sz="0" w:space="0" w:color="auto"/>
        <w:bottom w:val="none" w:sz="0" w:space="0" w:color="auto"/>
        <w:right w:val="none" w:sz="0" w:space="0" w:color="auto"/>
      </w:divBdr>
    </w:div>
    <w:div w:id="680087440">
      <w:bodyDiv w:val="1"/>
      <w:marLeft w:val="0"/>
      <w:marRight w:val="0"/>
      <w:marTop w:val="0"/>
      <w:marBottom w:val="0"/>
      <w:divBdr>
        <w:top w:val="none" w:sz="0" w:space="0" w:color="auto"/>
        <w:left w:val="none" w:sz="0" w:space="0" w:color="auto"/>
        <w:bottom w:val="none" w:sz="0" w:space="0" w:color="auto"/>
        <w:right w:val="none" w:sz="0" w:space="0" w:color="auto"/>
      </w:divBdr>
    </w:div>
    <w:div w:id="691953792">
      <w:bodyDiv w:val="1"/>
      <w:marLeft w:val="0"/>
      <w:marRight w:val="0"/>
      <w:marTop w:val="0"/>
      <w:marBottom w:val="0"/>
      <w:divBdr>
        <w:top w:val="none" w:sz="0" w:space="0" w:color="auto"/>
        <w:left w:val="none" w:sz="0" w:space="0" w:color="auto"/>
        <w:bottom w:val="none" w:sz="0" w:space="0" w:color="auto"/>
        <w:right w:val="none" w:sz="0" w:space="0" w:color="auto"/>
      </w:divBdr>
    </w:div>
    <w:div w:id="705375212">
      <w:bodyDiv w:val="1"/>
      <w:marLeft w:val="0"/>
      <w:marRight w:val="0"/>
      <w:marTop w:val="0"/>
      <w:marBottom w:val="0"/>
      <w:divBdr>
        <w:top w:val="none" w:sz="0" w:space="0" w:color="auto"/>
        <w:left w:val="none" w:sz="0" w:space="0" w:color="auto"/>
        <w:bottom w:val="none" w:sz="0" w:space="0" w:color="auto"/>
        <w:right w:val="none" w:sz="0" w:space="0" w:color="auto"/>
      </w:divBdr>
      <w:divsChild>
        <w:div w:id="423844727">
          <w:marLeft w:val="1166"/>
          <w:marRight w:val="0"/>
          <w:marTop w:val="134"/>
          <w:marBottom w:val="0"/>
          <w:divBdr>
            <w:top w:val="none" w:sz="0" w:space="0" w:color="auto"/>
            <w:left w:val="none" w:sz="0" w:space="0" w:color="auto"/>
            <w:bottom w:val="none" w:sz="0" w:space="0" w:color="auto"/>
            <w:right w:val="none" w:sz="0" w:space="0" w:color="auto"/>
          </w:divBdr>
        </w:div>
        <w:div w:id="637417545">
          <w:marLeft w:val="1166"/>
          <w:marRight w:val="0"/>
          <w:marTop w:val="134"/>
          <w:marBottom w:val="0"/>
          <w:divBdr>
            <w:top w:val="none" w:sz="0" w:space="0" w:color="auto"/>
            <w:left w:val="none" w:sz="0" w:space="0" w:color="auto"/>
            <w:bottom w:val="none" w:sz="0" w:space="0" w:color="auto"/>
            <w:right w:val="none" w:sz="0" w:space="0" w:color="auto"/>
          </w:divBdr>
        </w:div>
        <w:div w:id="995914611">
          <w:marLeft w:val="1166"/>
          <w:marRight w:val="0"/>
          <w:marTop w:val="134"/>
          <w:marBottom w:val="0"/>
          <w:divBdr>
            <w:top w:val="none" w:sz="0" w:space="0" w:color="auto"/>
            <w:left w:val="none" w:sz="0" w:space="0" w:color="auto"/>
            <w:bottom w:val="none" w:sz="0" w:space="0" w:color="auto"/>
            <w:right w:val="none" w:sz="0" w:space="0" w:color="auto"/>
          </w:divBdr>
        </w:div>
        <w:div w:id="1593077678">
          <w:marLeft w:val="1166"/>
          <w:marRight w:val="0"/>
          <w:marTop w:val="134"/>
          <w:marBottom w:val="0"/>
          <w:divBdr>
            <w:top w:val="none" w:sz="0" w:space="0" w:color="auto"/>
            <w:left w:val="none" w:sz="0" w:space="0" w:color="auto"/>
            <w:bottom w:val="none" w:sz="0" w:space="0" w:color="auto"/>
            <w:right w:val="none" w:sz="0" w:space="0" w:color="auto"/>
          </w:divBdr>
        </w:div>
        <w:div w:id="1869218296">
          <w:marLeft w:val="547"/>
          <w:marRight w:val="0"/>
          <w:marTop w:val="154"/>
          <w:marBottom w:val="0"/>
          <w:divBdr>
            <w:top w:val="none" w:sz="0" w:space="0" w:color="auto"/>
            <w:left w:val="none" w:sz="0" w:space="0" w:color="auto"/>
            <w:bottom w:val="none" w:sz="0" w:space="0" w:color="auto"/>
            <w:right w:val="none" w:sz="0" w:space="0" w:color="auto"/>
          </w:divBdr>
        </w:div>
      </w:divsChild>
    </w:div>
    <w:div w:id="710303690">
      <w:bodyDiv w:val="1"/>
      <w:marLeft w:val="0"/>
      <w:marRight w:val="0"/>
      <w:marTop w:val="0"/>
      <w:marBottom w:val="0"/>
      <w:divBdr>
        <w:top w:val="none" w:sz="0" w:space="0" w:color="auto"/>
        <w:left w:val="none" w:sz="0" w:space="0" w:color="auto"/>
        <w:bottom w:val="none" w:sz="0" w:space="0" w:color="auto"/>
        <w:right w:val="none" w:sz="0" w:space="0" w:color="auto"/>
      </w:divBdr>
    </w:div>
    <w:div w:id="716586159">
      <w:bodyDiv w:val="1"/>
      <w:marLeft w:val="0"/>
      <w:marRight w:val="0"/>
      <w:marTop w:val="0"/>
      <w:marBottom w:val="0"/>
      <w:divBdr>
        <w:top w:val="none" w:sz="0" w:space="0" w:color="auto"/>
        <w:left w:val="none" w:sz="0" w:space="0" w:color="auto"/>
        <w:bottom w:val="none" w:sz="0" w:space="0" w:color="auto"/>
        <w:right w:val="none" w:sz="0" w:space="0" w:color="auto"/>
      </w:divBdr>
    </w:div>
    <w:div w:id="724185410">
      <w:bodyDiv w:val="1"/>
      <w:marLeft w:val="0"/>
      <w:marRight w:val="0"/>
      <w:marTop w:val="0"/>
      <w:marBottom w:val="0"/>
      <w:divBdr>
        <w:top w:val="none" w:sz="0" w:space="0" w:color="auto"/>
        <w:left w:val="none" w:sz="0" w:space="0" w:color="auto"/>
        <w:bottom w:val="none" w:sz="0" w:space="0" w:color="auto"/>
        <w:right w:val="none" w:sz="0" w:space="0" w:color="auto"/>
      </w:divBdr>
    </w:div>
    <w:div w:id="736821909">
      <w:bodyDiv w:val="1"/>
      <w:marLeft w:val="0"/>
      <w:marRight w:val="0"/>
      <w:marTop w:val="0"/>
      <w:marBottom w:val="0"/>
      <w:divBdr>
        <w:top w:val="none" w:sz="0" w:space="0" w:color="auto"/>
        <w:left w:val="none" w:sz="0" w:space="0" w:color="auto"/>
        <w:bottom w:val="none" w:sz="0" w:space="0" w:color="auto"/>
        <w:right w:val="none" w:sz="0" w:space="0" w:color="auto"/>
      </w:divBdr>
    </w:div>
    <w:div w:id="740904774">
      <w:bodyDiv w:val="1"/>
      <w:marLeft w:val="0"/>
      <w:marRight w:val="0"/>
      <w:marTop w:val="0"/>
      <w:marBottom w:val="0"/>
      <w:divBdr>
        <w:top w:val="none" w:sz="0" w:space="0" w:color="auto"/>
        <w:left w:val="none" w:sz="0" w:space="0" w:color="auto"/>
        <w:bottom w:val="none" w:sz="0" w:space="0" w:color="auto"/>
        <w:right w:val="none" w:sz="0" w:space="0" w:color="auto"/>
      </w:divBdr>
    </w:div>
    <w:div w:id="741023751">
      <w:bodyDiv w:val="1"/>
      <w:marLeft w:val="0"/>
      <w:marRight w:val="0"/>
      <w:marTop w:val="0"/>
      <w:marBottom w:val="0"/>
      <w:divBdr>
        <w:top w:val="none" w:sz="0" w:space="0" w:color="auto"/>
        <w:left w:val="none" w:sz="0" w:space="0" w:color="auto"/>
        <w:bottom w:val="none" w:sz="0" w:space="0" w:color="auto"/>
        <w:right w:val="none" w:sz="0" w:space="0" w:color="auto"/>
      </w:divBdr>
    </w:div>
    <w:div w:id="763646748">
      <w:bodyDiv w:val="1"/>
      <w:marLeft w:val="0"/>
      <w:marRight w:val="0"/>
      <w:marTop w:val="0"/>
      <w:marBottom w:val="0"/>
      <w:divBdr>
        <w:top w:val="none" w:sz="0" w:space="0" w:color="auto"/>
        <w:left w:val="none" w:sz="0" w:space="0" w:color="auto"/>
        <w:bottom w:val="none" w:sz="0" w:space="0" w:color="auto"/>
        <w:right w:val="none" w:sz="0" w:space="0" w:color="auto"/>
      </w:divBdr>
    </w:div>
    <w:div w:id="804275388">
      <w:bodyDiv w:val="1"/>
      <w:marLeft w:val="0"/>
      <w:marRight w:val="0"/>
      <w:marTop w:val="0"/>
      <w:marBottom w:val="0"/>
      <w:divBdr>
        <w:top w:val="none" w:sz="0" w:space="0" w:color="auto"/>
        <w:left w:val="none" w:sz="0" w:space="0" w:color="auto"/>
        <w:bottom w:val="none" w:sz="0" w:space="0" w:color="auto"/>
        <w:right w:val="none" w:sz="0" w:space="0" w:color="auto"/>
      </w:divBdr>
    </w:div>
    <w:div w:id="808666508">
      <w:bodyDiv w:val="1"/>
      <w:marLeft w:val="0"/>
      <w:marRight w:val="0"/>
      <w:marTop w:val="0"/>
      <w:marBottom w:val="0"/>
      <w:divBdr>
        <w:top w:val="none" w:sz="0" w:space="0" w:color="auto"/>
        <w:left w:val="none" w:sz="0" w:space="0" w:color="auto"/>
        <w:bottom w:val="none" w:sz="0" w:space="0" w:color="auto"/>
        <w:right w:val="none" w:sz="0" w:space="0" w:color="auto"/>
      </w:divBdr>
    </w:div>
    <w:div w:id="839614191">
      <w:bodyDiv w:val="1"/>
      <w:marLeft w:val="0"/>
      <w:marRight w:val="0"/>
      <w:marTop w:val="0"/>
      <w:marBottom w:val="0"/>
      <w:divBdr>
        <w:top w:val="none" w:sz="0" w:space="0" w:color="auto"/>
        <w:left w:val="none" w:sz="0" w:space="0" w:color="auto"/>
        <w:bottom w:val="none" w:sz="0" w:space="0" w:color="auto"/>
        <w:right w:val="none" w:sz="0" w:space="0" w:color="auto"/>
      </w:divBdr>
    </w:div>
    <w:div w:id="858392626">
      <w:bodyDiv w:val="1"/>
      <w:marLeft w:val="0"/>
      <w:marRight w:val="0"/>
      <w:marTop w:val="0"/>
      <w:marBottom w:val="0"/>
      <w:divBdr>
        <w:top w:val="none" w:sz="0" w:space="0" w:color="auto"/>
        <w:left w:val="none" w:sz="0" w:space="0" w:color="auto"/>
        <w:bottom w:val="none" w:sz="0" w:space="0" w:color="auto"/>
        <w:right w:val="none" w:sz="0" w:space="0" w:color="auto"/>
      </w:divBdr>
    </w:div>
    <w:div w:id="875506821">
      <w:bodyDiv w:val="1"/>
      <w:marLeft w:val="0"/>
      <w:marRight w:val="0"/>
      <w:marTop w:val="0"/>
      <w:marBottom w:val="0"/>
      <w:divBdr>
        <w:top w:val="none" w:sz="0" w:space="0" w:color="auto"/>
        <w:left w:val="none" w:sz="0" w:space="0" w:color="auto"/>
        <w:bottom w:val="none" w:sz="0" w:space="0" w:color="auto"/>
        <w:right w:val="none" w:sz="0" w:space="0" w:color="auto"/>
      </w:divBdr>
    </w:div>
    <w:div w:id="887574227">
      <w:bodyDiv w:val="1"/>
      <w:marLeft w:val="0"/>
      <w:marRight w:val="0"/>
      <w:marTop w:val="0"/>
      <w:marBottom w:val="0"/>
      <w:divBdr>
        <w:top w:val="none" w:sz="0" w:space="0" w:color="auto"/>
        <w:left w:val="none" w:sz="0" w:space="0" w:color="auto"/>
        <w:bottom w:val="none" w:sz="0" w:space="0" w:color="auto"/>
        <w:right w:val="none" w:sz="0" w:space="0" w:color="auto"/>
      </w:divBdr>
    </w:div>
    <w:div w:id="903223568">
      <w:bodyDiv w:val="1"/>
      <w:marLeft w:val="0"/>
      <w:marRight w:val="0"/>
      <w:marTop w:val="0"/>
      <w:marBottom w:val="0"/>
      <w:divBdr>
        <w:top w:val="none" w:sz="0" w:space="0" w:color="auto"/>
        <w:left w:val="none" w:sz="0" w:space="0" w:color="auto"/>
        <w:bottom w:val="none" w:sz="0" w:space="0" w:color="auto"/>
        <w:right w:val="none" w:sz="0" w:space="0" w:color="auto"/>
      </w:divBdr>
    </w:div>
    <w:div w:id="920262569">
      <w:bodyDiv w:val="1"/>
      <w:marLeft w:val="0"/>
      <w:marRight w:val="0"/>
      <w:marTop w:val="0"/>
      <w:marBottom w:val="0"/>
      <w:divBdr>
        <w:top w:val="none" w:sz="0" w:space="0" w:color="auto"/>
        <w:left w:val="none" w:sz="0" w:space="0" w:color="auto"/>
        <w:bottom w:val="none" w:sz="0" w:space="0" w:color="auto"/>
        <w:right w:val="none" w:sz="0" w:space="0" w:color="auto"/>
      </w:divBdr>
    </w:div>
    <w:div w:id="930965692">
      <w:bodyDiv w:val="1"/>
      <w:marLeft w:val="0"/>
      <w:marRight w:val="0"/>
      <w:marTop w:val="0"/>
      <w:marBottom w:val="0"/>
      <w:divBdr>
        <w:top w:val="none" w:sz="0" w:space="0" w:color="auto"/>
        <w:left w:val="none" w:sz="0" w:space="0" w:color="auto"/>
        <w:bottom w:val="none" w:sz="0" w:space="0" w:color="auto"/>
        <w:right w:val="none" w:sz="0" w:space="0" w:color="auto"/>
      </w:divBdr>
    </w:div>
    <w:div w:id="955255146">
      <w:bodyDiv w:val="1"/>
      <w:marLeft w:val="0"/>
      <w:marRight w:val="0"/>
      <w:marTop w:val="0"/>
      <w:marBottom w:val="0"/>
      <w:divBdr>
        <w:top w:val="none" w:sz="0" w:space="0" w:color="auto"/>
        <w:left w:val="none" w:sz="0" w:space="0" w:color="auto"/>
        <w:bottom w:val="none" w:sz="0" w:space="0" w:color="auto"/>
        <w:right w:val="none" w:sz="0" w:space="0" w:color="auto"/>
      </w:divBdr>
    </w:div>
    <w:div w:id="957103006">
      <w:bodyDiv w:val="1"/>
      <w:marLeft w:val="0"/>
      <w:marRight w:val="0"/>
      <w:marTop w:val="0"/>
      <w:marBottom w:val="0"/>
      <w:divBdr>
        <w:top w:val="none" w:sz="0" w:space="0" w:color="auto"/>
        <w:left w:val="none" w:sz="0" w:space="0" w:color="auto"/>
        <w:bottom w:val="none" w:sz="0" w:space="0" w:color="auto"/>
        <w:right w:val="none" w:sz="0" w:space="0" w:color="auto"/>
      </w:divBdr>
    </w:div>
    <w:div w:id="970550413">
      <w:bodyDiv w:val="1"/>
      <w:marLeft w:val="0"/>
      <w:marRight w:val="0"/>
      <w:marTop w:val="0"/>
      <w:marBottom w:val="0"/>
      <w:divBdr>
        <w:top w:val="none" w:sz="0" w:space="0" w:color="auto"/>
        <w:left w:val="none" w:sz="0" w:space="0" w:color="auto"/>
        <w:bottom w:val="none" w:sz="0" w:space="0" w:color="auto"/>
        <w:right w:val="none" w:sz="0" w:space="0" w:color="auto"/>
      </w:divBdr>
    </w:div>
    <w:div w:id="972248886">
      <w:bodyDiv w:val="1"/>
      <w:marLeft w:val="0"/>
      <w:marRight w:val="0"/>
      <w:marTop w:val="0"/>
      <w:marBottom w:val="0"/>
      <w:divBdr>
        <w:top w:val="none" w:sz="0" w:space="0" w:color="auto"/>
        <w:left w:val="none" w:sz="0" w:space="0" w:color="auto"/>
        <w:bottom w:val="none" w:sz="0" w:space="0" w:color="auto"/>
        <w:right w:val="none" w:sz="0" w:space="0" w:color="auto"/>
      </w:divBdr>
    </w:div>
    <w:div w:id="974027693">
      <w:bodyDiv w:val="1"/>
      <w:marLeft w:val="0"/>
      <w:marRight w:val="0"/>
      <w:marTop w:val="0"/>
      <w:marBottom w:val="0"/>
      <w:divBdr>
        <w:top w:val="none" w:sz="0" w:space="0" w:color="auto"/>
        <w:left w:val="none" w:sz="0" w:space="0" w:color="auto"/>
        <w:bottom w:val="none" w:sz="0" w:space="0" w:color="auto"/>
        <w:right w:val="none" w:sz="0" w:space="0" w:color="auto"/>
      </w:divBdr>
    </w:div>
    <w:div w:id="977026728">
      <w:bodyDiv w:val="1"/>
      <w:marLeft w:val="0"/>
      <w:marRight w:val="0"/>
      <w:marTop w:val="0"/>
      <w:marBottom w:val="0"/>
      <w:divBdr>
        <w:top w:val="none" w:sz="0" w:space="0" w:color="auto"/>
        <w:left w:val="none" w:sz="0" w:space="0" w:color="auto"/>
        <w:bottom w:val="none" w:sz="0" w:space="0" w:color="auto"/>
        <w:right w:val="none" w:sz="0" w:space="0" w:color="auto"/>
      </w:divBdr>
    </w:div>
    <w:div w:id="992415830">
      <w:bodyDiv w:val="1"/>
      <w:marLeft w:val="0"/>
      <w:marRight w:val="0"/>
      <w:marTop w:val="0"/>
      <w:marBottom w:val="0"/>
      <w:divBdr>
        <w:top w:val="none" w:sz="0" w:space="0" w:color="auto"/>
        <w:left w:val="none" w:sz="0" w:space="0" w:color="auto"/>
        <w:bottom w:val="none" w:sz="0" w:space="0" w:color="auto"/>
        <w:right w:val="none" w:sz="0" w:space="0" w:color="auto"/>
      </w:divBdr>
    </w:div>
    <w:div w:id="993408978">
      <w:bodyDiv w:val="1"/>
      <w:marLeft w:val="0"/>
      <w:marRight w:val="0"/>
      <w:marTop w:val="0"/>
      <w:marBottom w:val="0"/>
      <w:divBdr>
        <w:top w:val="none" w:sz="0" w:space="0" w:color="auto"/>
        <w:left w:val="none" w:sz="0" w:space="0" w:color="auto"/>
        <w:bottom w:val="none" w:sz="0" w:space="0" w:color="auto"/>
        <w:right w:val="none" w:sz="0" w:space="0" w:color="auto"/>
      </w:divBdr>
    </w:div>
    <w:div w:id="995037040">
      <w:bodyDiv w:val="1"/>
      <w:marLeft w:val="0"/>
      <w:marRight w:val="0"/>
      <w:marTop w:val="0"/>
      <w:marBottom w:val="0"/>
      <w:divBdr>
        <w:top w:val="none" w:sz="0" w:space="0" w:color="auto"/>
        <w:left w:val="none" w:sz="0" w:space="0" w:color="auto"/>
        <w:bottom w:val="none" w:sz="0" w:space="0" w:color="auto"/>
        <w:right w:val="none" w:sz="0" w:space="0" w:color="auto"/>
      </w:divBdr>
    </w:div>
    <w:div w:id="1018509911">
      <w:bodyDiv w:val="1"/>
      <w:marLeft w:val="0"/>
      <w:marRight w:val="0"/>
      <w:marTop w:val="0"/>
      <w:marBottom w:val="0"/>
      <w:divBdr>
        <w:top w:val="none" w:sz="0" w:space="0" w:color="auto"/>
        <w:left w:val="none" w:sz="0" w:space="0" w:color="auto"/>
        <w:bottom w:val="none" w:sz="0" w:space="0" w:color="auto"/>
        <w:right w:val="none" w:sz="0" w:space="0" w:color="auto"/>
      </w:divBdr>
    </w:div>
    <w:div w:id="1022364689">
      <w:bodyDiv w:val="1"/>
      <w:marLeft w:val="0"/>
      <w:marRight w:val="0"/>
      <w:marTop w:val="0"/>
      <w:marBottom w:val="0"/>
      <w:divBdr>
        <w:top w:val="none" w:sz="0" w:space="0" w:color="auto"/>
        <w:left w:val="none" w:sz="0" w:space="0" w:color="auto"/>
        <w:bottom w:val="none" w:sz="0" w:space="0" w:color="auto"/>
        <w:right w:val="none" w:sz="0" w:space="0" w:color="auto"/>
      </w:divBdr>
    </w:div>
    <w:div w:id="1042484542">
      <w:bodyDiv w:val="1"/>
      <w:marLeft w:val="0"/>
      <w:marRight w:val="0"/>
      <w:marTop w:val="0"/>
      <w:marBottom w:val="0"/>
      <w:divBdr>
        <w:top w:val="none" w:sz="0" w:space="0" w:color="auto"/>
        <w:left w:val="none" w:sz="0" w:space="0" w:color="auto"/>
        <w:bottom w:val="none" w:sz="0" w:space="0" w:color="auto"/>
        <w:right w:val="none" w:sz="0" w:space="0" w:color="auto"/>
      </w:divBdr>
    </w:div>
    <w:div w:id="1049190626">
      <w:bodyDiv w:val="1"/>
      <w:marLeft w:val="0"/>
      <w:marRight w:val="0"/>
      <w:marTop w:val="0"/>
      <w:marBottom w:val="0"/>
      <w:divBdr>
        <w:top w:val="none" w:sz="0" w:space="0" w:color="auto"/>
        <w:left w:val="none" w:sz="0" w:space="0" w:color="auto"/>
        <w:bottom w:val="none" w:sz="0" w:space="0" w:color="auto"/>
        <w:right w:val="none" w:sz="0" w:space="0" w:color="auto"/>
      </w:divBdr>
    </w:div>
    <w:div w:id="1049962852">
      <w:bodyDiv w:val="1"/>
      <w:marLeft w:val="0"/>
      <w:marRight w:val="0"/>
      <w:marTop w:val="0"/>
      <w:marBottom w:val="0"/>
      <w:divBdr>
        <w:top w:val="none" w:sz="0" w:space="0" w:color="auto"/>
        <w:left w:val="none" w:sz="0" w:space="0" w:color="auto"/>
        <w:bottom w:val="none" w:sz="0" w:space="0" w:color="auto"/>
        <w:right w:val="none" w:sz="0" w:space="0" w:color="auto"/>
      </w:divBdr>
    </w:div>
    <w:div w:id="1050959667">
      <w:bodyDiv w:val="1"/>
      <w:marLeft w:val="0"/>
      <w:marRight w:val="0"/>
      <w:marTop w:val="0"/>
      <w:marBottom w:val="0"/>
      <w:divBdr>
        <w:top w:val="none" w:sz="0" w:space="0" w:color="auto"/>
        <w:left w:val="none" w:sz="0" w:space="0" w:color="auto"/>
        <w:bottom w:val="none" w:sz="0" w:space="0" w:color="auto"/>
        <w:right w:val="none" w:sz="0" w:space="0" w:color="auto"/>
      </w:divBdr>
    </w:div>
    <w:div w:id="1053769051">
      <w:bodyDiv w:val="1"/>
      <w:marLeft w:val="0"/>
      <w:marRight w:val="0"/>
      <w:marTop w:val="0"/>
      <w:marBottom w:val="0"/>
      <w:divBdr>
        <w:top w:val="none" w:sz="0" w:space="0" w:color="auto"/>
        <w:left w:val="none" w:sz="0" w:space="0" w:color="auto"/>
        <w:bottom w:val="none" w:sz="0" w:space="0" w:color="auto"/>
        <w:right w:val="none" w:sz="0" w:space="0" w:color="auto"/>
      </w:divBdr>
    </w:div>
    <w:div w:id="1071192671">
      <w:bodyDiv w:val="1"/>
      <w:marLeft w:val="0"/>
      <w:marRight w:val="0"/>
      <w:marTop w:val="0"/>
      <w:marBottom w:val="0"/>
      <w:divBdr>
        <w:top w:val="none" w:sz="0" w:space="0" w:color="auto"/>
        <w:left w:val="none" w:sz="0" w:space="0" w:color="auto"/>
        <w:bottom w:val="none" w:sz="0" w:space="0" w:color="auto"/>
        <w:right w:val="none" w:sz="0" w:space="0" w:color="auto"/>
      </w:divBdr>
    </w:div>
    <w:div w:id="1080101596">
      <w:bodyDiv w:val="1"/>
      <w:marLeft w:val="0"/>
      <w:marRight w:val="0"/>
      <w:marTop w:val="0"/>
      <w:marBottom w:val="0"/>
      <w:divBdr>
        <w:top w:val="none" w:sz="0" w:space="0" w:color="auto"/>
        <w:left w:val="none" w:sz="0" w:space="0" w:color="auto"/>
        <w:bottom w:val="none" w:sz="0" w:space="0" w:color="auto"/>
        <w:right w:val="none" w:sz="0" w:space="0" w:color="auto"/>
      </w:divBdr>
    </w:div>
    <w:div w:id="1090275629">
      <w:bodyDiv w:val="1"/>
      <w:marLeft w:val="0"/>
      <w:marRight w:val="0"/>
      <w:marTop w:val="0"/>
      <w:marBottom w:val="0"/>
      <w:divBdr>
        <w:top w:val="none" w:sz="0" w:space="0" w:color="auto"/>
        <w:left w:val="none" w:sz="0" w:space="0" w:color="auto"/>
        <w:bottom w:val="none" w:sz="0" w:space="0" w:color="auto"/>
        <w:right w:val="none" w:sz="0" w:space="0" w:color="auto"/>
      </w:divBdr>
    </w:div>
    <w:div w:id="1111431679">
      <w:bodyDiv w:val="1"/>
      <w:marLeft w:val="0"/>
      <w:marRight w:val="0"/>
      <w:marTop w:val="0"/>
      <w:marBottom w:val="0"/>
      <w:divBdr>
        <w:top w:val="none" w:sz="0" w:space="0" w:color="auto"/>
        <w:left w:val="none" w:sz="0" w:space="0" w:color="auto"/>
        <w:bottom w:val="none" w:sz="0" w:space="0" w:color="auto"/>
        <w:right w:val="none" w:sz="0" w:space="0" w:color="auto"/>
      </w:divBdr>
    </w:div>
    <w:div w:id="1121799071">
      <w:bodyDiv w:val="1"/>
      <w:marLeft w:val="0"/>
      <w:marRight w:val="0"/>
      <w:marTop w:val="0"/>
      <w:marBottom w:val="0"/>
      <w:divBdr>
        <w:top w:val="none" w:sz="0" w:space="0" w:color="auto"/>
        <w:left w:val="none" w:sz="0" w:space="0" w:color="auto"/>
        <w:bottom w:val="none" w:sz="0" w:space="0" w:color="auto"/>
        <w:right w:val="none" w:sz="0" w:space="0" w:color="auto"/>
      </w:divBdr>
    </w:div>
    <w:div w:id="1127509627">
      <w:bodyDiv w:val="1"/>
      <w:marLeft w:val="0"/>
      <w:marRight w:val="0"/>
      <w:marTop w:val="0"/>
      <w:marBottom w:val="0"/>
      <w:divBdr>
        <w:top w:val="none" w:sz="0" w:space="0" w:color="auto"/>
        <w:left w:val="none" w:sz="0" w:space="0" w:color="auto"/>
        <w:bottom w:val="none" w:sz="0" w:space="0" w:color="auto"/>
        <w:right w:val="none" w:sz="0" w:space="0" w:color="auto"/>
      </w:divBdr>
    </w:div>
    <w:div w:id="1141650369">
      <w:bodyDiv w:val="1"/>
      <w:marLeft w:val="0"/>
      <w:marRight w:val="0"/>
      <w:marTop w:val="0"/>
      <w:marBottom w:val="0"/>
      <w:divBdr>
        <w:top w:val="none" w:sz="0" w:space="0" w:color="auto"/>
        <w:left w:val="none" w:sz="0" w:space="0" w:color="auto"/>
        <w:bottom w:val="none" w:sz="0" w:space="0" w:color="auto"/>
        <w:right w:val="none" w:sz="0" w:space="0" w:color="auto"/>
      </w:divBdr>
    </w:div>
    <w:div w:id="1165586418">
      <w:bodyDiv w:val="1"/>
      <w:marLeft w:val="0"/>
      <w:marRight w:val="0"/>
      <w:marTop w:val="0"/>
      <w:marBottom w:val="0"/>
      <w:divBdr>
        <w:top w:val="none" w:sz="0" w:space="0" w:color="auto"/>
        <w:left w:val="none" w:sz="0" w:space="0" w:color="auto"/>
        <w:bottom w:val="none" w:sz="0" w:space="0" w:color="auto"/>
        <w:right w:val="none" w:sz="0" w:space="0" w:color="auto"/>
      </w:divBdr>
    </w:div>
    <w:div w:id="1186871121">
      <w:bodyDiv w:val="1"/>
      <w:marLeft w:val="0"/>
      <w:marRight w:val="0"/>
      <w:marTop w:val="0"/>
      <w:marBottom w:val="0"/>
      <w:divBdr>
        <w:top w:val="none" w:sz="0" w:space="0" w:color="auto"/>
        <w:left w:val="none" w:sz="0" w:space="0" w:color="auto"/>
        <w:bottom w:val="none" w:sz="0" w:space="0" w:color="auto"/>
        <w:right w:val="none" w:sz="0" w:space="0" w:color="auto"/>
      </w:divBdr>
    </w:div>
    <w:div w:id="1192642657">
      <w:bodyDiv w:val="1"/>
      <w:marLeft w:val="0"/>
      <w:marRight w:val="0"/>
      <w:marTop w:val="0"/>
      <w:marBottom w:val="0"/>
      <w:divBdr>
        <w:top w:val="none" w:sz="0" w:space="0" w:color="auto"/>
        <w:left w:val="none" w:sz="0" w:space="0" w:color="auto"/>
        <w:bottom w:val="none" w:sz="0" w:space="0" w:color="auto"/>
        <w:right w:val="none" w:sz="0" w:space="0" w:color="auto"/>
      </w:divBdr>
    </w:div>
    <w:div w:id="1205870835">
      <w:bodyDiv w:val="1"/>
      <w:marLeft w:val="0"/>
      <w:marRight w:val="0"/>
      <w:marTop w:val="0"/>
      <w:marBottom w:val="0"/>
      <w:divBdr>
        <w:top w:val="none" w:sz="0" w:space="0" w:color="auto"/>
        <w:left w:val="none" w:sz="0" w:space="0" w:color="auto"/>
        <w:bottom w:val="none" w:sz="0" w:space="0" w:color="auto"/>
        <w:right w:val="none" w:sz="0" w:space="0" w:color="auto"/>
      </w:divBdr>
    </w:div>
    <w:div w:id="1251886738">
      <w:bodyDiv w:val="1"/>
      <w:marLeft w:val="0"/>
      <w:marRight w:val="0"/>
      <w:marTop w:val="0"/>
      <w:marBottom w:val="0"/>
      <w:divBdr>
        <w:top w:val="none" w:sz="0" w:space="0" w:color="auto"/>
        <w:left w:val="none" w:sz="0" w:space="0" w:color="auto"/>
        <w:bottom w:val="none" w:sz="0" w:space="0" w:color="auto"/>
        <w:right w:val="none" w:sz="0" w:space="0" w:color="auto"/>
      </w:divBdr>
    </w:div>
    <w:div w:id="1263756452">
      <w:bodyDiv w:val="1"/>
      <w:marLeft w:val="0"/>
      <w:marRight w:val="0"/>
      <w:marTop w:val="0"/>
      <w:marBottom w:val="0"/>
      <w:divBdr>
        <w:top w:val="none" w:sz="0" w:space="0" w:color="auto"/>
        <w:left w:val="none" w:sz="0" w:space="0" w:color="auto"/>
        <w:bottom w:val="none" w:sz="0" w:space="0" w:color="auto"/>
        <w:right w:val="none" w:sz="0" w:space="0" w:color="auto"/>
      </w:divBdr>
    </w:div>
    <w:div w:id="1267077019">
      <w:bodyDiv w:val="1"/>
      <w:marLeft w:val="0"/>
      <w:marRight w:val="0"/>
      <w:marTop w:val="0"/>
      <w:marBottom w:val="0"/>
      <w:divBdr>
        <w:top w:val="none" w:sz="0" w:space="0" w:color="auto"/>
        <w:left w:val="none" w:sz="0" w:space="0" w:color="auto"/>
        <w:bottom w:val="none" w:sz="0" w:space="0" w:color="auto"/>
        <w:right w:val="none" w:sz="0" w:space="0" w:color="auto"/>
      </w:divBdr>
    </w:div>
    <w:div w:id="1280919147">
      <w:bodyDiv w:val="1"/>
      <w:marLeft w:val="0"/>
      <w:marRight w:val="0"/>
      <w:marTop w:val="0"/>
      <w:marBottom w:val="0"/>
      <w:divBdr>
        <w:top w:val="none" w:sz="0" w:space="0" w:color="auto"/>
        <w:left w:val="none" w:sz="0" w:space="0" w:color="auto"/>
        <w:bottom w:val="none" w:sz="0" w:space="0" w:color="auto"/>
        <w:right w:val="none" w:sz="0" w:space="0" w:color="auto"/>
      </w:divBdr>
    </w:div>
    <w:div w:id="1283878882">
      <w:bodyDiv w:val="1"/>
      <w:marLeft w:val="0"/>
      <w:marRight w:val="0"/>
      <w:marTop w:val="0"/>
      <w:marBottom w:val="0"/>
      <w:divBdr>
        <w:top w:val="none" w:sz="0" w:space="0" w:color="auto"/>
        <w:left w:val="none" w:sz="0" w:space="0" w:color="auto"/>
        <w:bottom w:val="none" w:sz="0" w:space="0" w:color="auto"/>
        <w:right w:val="none" w:sz="0" w:space="0" w:color="auto"/>
      </w:divBdr>
    </w:div>
    <w:div w:id="1286044101">
      <w:bodyDiv w:val="1"/>
      <w:marLeft w:val="0"/>
      <w:marRight w:val="0"/>
      <w:marTop w:val="0"/>
      <w:marBottom w:val="0"/>
      <w:divBdr>
        <w:top w:val="none" w:sz="0" w:space="0" w:color="auto"/>
        <w:left w:val="none" w:sz="0" w:space="0" w:color="auto"/>
        <w:bottom w:val="none" w:sz="0" w:space="0" w:color="auto"/>
        <w:right w:val="none" w:sz="0" w:space="0" w:color="auto"/>
      </w:divBdr>
    </w:div>
    <w:div w:id="1315718160">
      <w:bodyDiv w:val="1"/>
      <w:marLeft w:val="0"/>
      <w:marRight w:val="0"/>
      <w:marTop w:val="0"/>
      <w:marBottom w:val="0"/>
      <w:divBdr>
        <w:top w:val="none" w:sz="0" w:space="0" w:color="auto"/>
        <w:left w:val="none" w:sz="0" w:space="0" w:color="auto"/>
        <w:bottom w:val="none" w:sz="0" w:space="0" w:color="auto"/>
        <w:right w:val="none" w:sz="0" w:space="0" w:color="auto"/>
      </w:divBdr>
    </w:div>
    <w:div w:id="1325353769">
      <w:bodyDiv w:val="1"/>
      <w:marLeft w:val="0"/>
      <w:marRight w:val="0"/>
      <w:marTop w:val="0"/>
      <w:marBottom w:val="0"/>
      <w:divBdr>
        <w:top w:val="none" w:sz="0" w:space="0" w:color="auto"/>
        <w:left w:val="none" w:sz="0" w:space="0" w:color="auto"/>
        <w:bottom w:val="none" w:sz="0" w:space="0" w:color="auto"/>
        <w:right w:val="none" w:sz="0" w:space="0" w:color="auto"/>
      </w:divBdr>
    </w:div>
    <w:div w:id="1354069268">
      <w:bodyDiv w:val="1"/>
      <w:marLeft w:val="0"/>
      <w:marRight w:val="0"/>
      <w:marTop w:val="0"/>
      <w:marBottom w:val="0"/>
      <w:divBdr>
        <w:top w:val="none" w:sz="0" w:space="0" w:color="auto"/>
        <w:left w:val="none" w:sz="0" w:space="0" w:color="auto"/>
        <w:bottom w:val="none" w:sz="0" w:space="0" w:color="auto"/>
        <w:right w:val="none" w:sz="0" w:space="0" w:color="auto"/>
      </w:divBdr>
    </w:div>
    <w:div w:id="1375882918">
      <w:bodyDiv w:val="1"/>
      <w:marLeft w:val="0"/>
      <w:marRight w:val="0"/>
      <w:marTop w:val="0"/>
      <w:marBottom w:val="0"/>
      <w:divBdr>
        <w:top w:val="none" w:sz="0" w:space="0" w:color="auto"/>
        <w:left w:val="none" w:sz="0" w:space="0" w:color="auto"/>
        <w:bottom w:val="none" w:sz="0" w:space="0" w:color="auto"/>
        <w:right w:val="none" w:sz="0" w:space="0" w:color="auto"/>
      </w:divBdr>
    </w:div>
    <w:div w:id="1399784130">
      <w:bodyDiv w:val="1"/>
      <w:marLeft w:val="0"/>
      <w:marRight w:val="0"/>
      <w:marTop w:val="0"/>
      <w:marBottom w:val="0"/>
      <w:divBdr>
        <w:top w:val="none" w:sz="0" w:space="0" w:color="auto"/>
        <w:left w:val="none" w:sz="0" w:space="0" w:color="auto"/>
        <w:bottom w:val="none" w:sz="0" w:space="0" w:color="auto"/>
        <w:right w:val="none" w:sz="0" w:space="0" w:color="auto"/>
      </w:divBdr>
    </w:div>
    <w:div w:id="1410229785">
      <w:bodyDiv w:val="1"/>
      <w:marLeft w:val="0"/>
      <w:marRight w:val="0"/>
      <w:marTop w:val="0"/>
      <w:marBottom w:val="0"/>
      <w:divBdr>
        <w:top w:val="none" w:sz="0" w:space="0" w:color="auto"/>
        <w:left w:val="none" w:sz="0" w:space="0" w:color="auto"/>
        <w:bottom w:val="none" w:sz="0" w:space="0" w:color="auto"/>
        <w:right w:val="none" w:sz="0" w:space="0" w:color="auto"/>
      </w:divBdr>
    </w:div>
    <w:div w:id="1428382567">
      <w:bodyDiv w:val="1"/>
      <w:marLeft w:val="0"/>
      <w:marRight w:val="0"/>
      <w:marTop w:val="0"/>
      <w:marBottom w:val="0"/>
      <w:divBdr>
        <w:top w:val="none" w:sz="0" w:space="0" w:color="auto"/>
        <w:left w:val="none" w:sz="0" w:space="0" w:color="auto"/>
        <w:bottom w:val="none" w:sz="0" w:space="0" w:color="auto"/>
        <w:right w:val="none" w:sz="0" w:space="0" w:color="auto"/>
      </w:divBdr>
    </w:div>
    <w:div w:id="1460418483">
      <w:bodyDiv w:val="1"/>
      <w:marLeft w:val="0"/>
      <w:marRight w:val="0"/>
      <w:marTop w:val="0"/>
      <w:marBottom w:val="0"/>
      <w:divBdr>
        <w:top w:val="none" w:sz="0" w:space="0" w:color="auto"/>
        <w:left w:val="none" w:sz="0" w:space="0" w:color="auto"/>
        <w:bottom w:val="none" w:sz="0" w:space="0" w:color="auto"/>
        <w:right w:val="none" w:sz="0" w:space="0" w:color="auto"/>
      </w:divBdr>
    </w:div>
    <w:div w:id="1470125292">
      <w:bodyDiv w:val="1"/>
      <w:marLeft w:val="0"/>
      <w:marRight w:val="0"/>
      <w:marTop w:val="0"/>
      <w:marBottom w:val="0"/>
      <w:divBdr>
        <w:top w:val="none" w:sz="0" w:space="0" w:color="auto"/>
        <w:left w:val="none" w:sz="0" w:space="0" w:color="auto"/>
        <w:bottom w:val="none" w:sz="0" w:space="0" w:color="auto"/>
        <w:right w:val="none" w:sz="0" w:space="0" w:color="auto"/>
      </w:divBdr>
    </w:div>
    <w:div w:id="1476608335">
      <w:bodyDiv w:val="1"/>
      <w:marLeft w:val="0"/>
      <w:marRight w:val="0"/>
      <w:marTop w:val="0"/>
      <w:marBottom w:val="0"/>
      <w:divBdr>
        <w:top w:val="none" w:sz="0" w:space="0" w:color="auto"/>
        <w:left w:val="none" w:sz="0" w:space="0" w:color="auto"/>
        <w:bottom w:val="none" w:sz="0" w:space="0" w:color="auto"/>
        <w:right w:val="none" w:sz="0" w:space="0" w:color="auto"/>
      </w:divBdr>
    </w:div>
    <w:div w:id="1493909341">
      <w:bodyDiv w:val="1"/>
      <w:marLeft w:val="0"/>
      <w:marRight w:val="0"/>
      <w:marTop w:val="0"/>
      <w:marBottom w:val="0"/>
      <w:divBdr>
        <w:top w:val="none" w:sz="0" w:space="0" w:color="auto"/>
        <w:left w:val="none" w:sz="0" w:space="0" w:color="auto"/>
        <w:bottom w:val="none" w:sz="0" w:space="0" w:color="auto"/>
        <w:right w:val="none" w:sz="0" w:space="0" w:color="auto"/>
      </w:divBdr>
    </w:div>
    <w:div w:id="1499882176">
      <w:bodyDiv w:val="1"/>
      <w:marLeft w:val="0"/>
      <w:marRight w:val="0"/>
      <w:marTop w:val="0"/>
      <w:marBottom w:val="0"/>
      <w:divBdr>
        <w:top w:val="none" w:sz="0" w:space="0" w:color="auto"/>
        <w:left w:val="none" w:sz="0" w:space="0" w:color="auto"/>
        <w:bottom w:val="none" w:sz="0" w:space="0" w:color="auto"/>
        <w:right w:val="none" w:sz="0" w:space="0" w:color="auto"/>
      </w:divBdr>
    </w:div>
    <w:div w:id="1504785011">
      <w:bodyDiv w:val="1"/>
      <w:marLeft w:val="0"/>
      <w:marRight w:val="0"/>
      <w:marTop w:val="0"/>
      <w:marBottom w:val="0"/>
      <w:divBdr>
        <w:top w:val="none" w:sz="0" w:space="0" w:color="auto"/>
        <w:left w:val="none" w:sz="0" w:space="0" w:color="auto"/>
        <w:bottom w:val="none" w:sz="0" w:space="0" w:color="auto"/>
        <w:right w:val="none" w:sz="0" w:space="0" w:color="auto"/>
      </w:divBdr>
    </w:div>
    <w:div w:id="1509322943">
      <w:bodyDiv w:val="1"/>
      <w:marLeft w:val="0"/>
      <w:marRight w:val="0"/>
      <w:marTop w:val="0"/>
      <w:marBottom w:val="0"/>
      <w:divBdr>
        <w:top w:val="none" w:sz="0" w:space="0" w:color="auto"/>
        <w:left w:val="none" w:sz="0" w:space="0" w:color="auto"/>
        <w:bottom w:val="none" w:sz="0" w:space="0" w:color="auto"/>
        <w:right w:val="none" w:sz="0" w:space="0" w:color="auto"/>
      </w:divBdr>
    </w:div>
    <w:div w:id="1513762085">
      <w:bodyDiv w:val="1"/>
      <w:marLeft w:val="0"/>
      <w:marRight w:val="0"/>
      <w:marTop w:val="0"/>
      <w:marBottom w:val="0"/>
      <w:divBdr>
        <w:top w:val="none" w:sz="0" w:space="0" w:color="auto"/>
        <w:left w:val="none" w:sz="0" w:space="0" w:color="auto"/>
        <w:bottom w:val="none" w:sz="0" w:space="0" w:color="auto"/>
        <w:right w:val="none" w:sz="0" w:space="0" w:color="auto"/>
      </w:divBdr>
    </w:div>
    <w:div w:id="1516076142">
      <w:bodyDiv w:val="1"/>
      <w:marLeft w:val="0"/>
      <w:marRight w:val="0"/>
      <w:marTop w:val="0"/>
      <w:marBottom w:val="0"/>
      <w:divBdr>
        <w:top w:val="none" w:sz="0" w:space="0" w:color="auto"/>
        <w:left w:val="none" w:sz="0" w:space="0" w:color="auto"/>
        <w:bottom w:val="none" w:sz="0" w:space="0" w:color="auto"/>
        <w:right w:val="none" w:sz="0" w:space="0" w:color="auto"/>
      </w:divBdr>
      <w:divsChild>
        <w:div w:id="897857562">
          <w:marLeft w:val="0"/>
          <w:marRight w:val="0"/>
          <w:marTop w:val="0"/>
          <w:marBottom w:val="0"/>
          <w:divBdr>
            <w:top w:val="none" w:sz="0" w:space="0" w:color="auto"/>
            <w:left w:val="none" w:sz="0" w:space="0" w:color="auto"/>
            <w:bottom w:val="none" w:sz="0" w:space="0" w:color="auto"/>
            <w:right w:val="none" w:sz="0" w:space="0" w:color="auto"/>
          </w:divBdr>
          <w:divsChild>
            <w:div w:id="1833639969">
              <w:marLeft w:val="0"/>
              <w:marRight w:val="0"/>
              <w:marTop w:val="0"/>
              <w:marBottom w:val="0"/>
              <w:divBdr>
                <w:top w:val="none" w:sz="0" w:space="0" w:color="auto"/>
                <w:left w:val="none" w:sz="0" w:space="0" w:color="auto"/>
                <w:bottom w:val="none" w:sz="0" w:space="0" w:color="auto"/>
                <w:right w:val="none" w:sz="0" w:space="0" w:color="auto"/>
              </w:divBdr>
              <w:divsChild>
                <w:div w:id="11292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737161">
      <w:bodyDiv w:val="1"/>
      <w:marLeft w:val="0"/>
      <w:marRight w:val="0"/>
      <w:marTop w:val="0"/>
      <w:marBottom w:val="0"/>
      <w:divBdr>
        <w:top w:val="none" w:sz="0" w:space="0" w:color="auto"/>
        <w:left w:val="none" w:sz="0" w:space="0" w:color="auto"/>
        <w:bottom w:val="none" w:sz="0" w:space="0" w:color="auto"/>
        <w:right w:val="none" w:sz="0" w:space="0" w:color="auto"/>
      </w:divBdr>
    </w:div>
    <w:div w:id="1520125397">
      <w:bodyDiv w:val="1"/>
      <w:marLeft w:val="0"/>
      <w:marRight w:val="0"/>
      <w:marTop w:val="0"/>
      <w:marBottom w:val="0"/>
      <w:divBdr>
        <w:top w:val="none" w:sz="0" w:space="0" w:color="auto"/>
        <w:left w:val="none" w:sz="0" w:space="0" w:color="auto"/>
        <w:bottom w:val="none" w:sz="0" w:space="0" w:color="auto"/>
        <w:right w:val="none" w:sz="0" w:space="0" w:color="auto"/>
      </w:divBdr>
    </w:div>
    <w:div w:id="1523587796">
      <w:bodyDiv w:val="1"/>
      <w:marLeft w:val="0"/>
      <w:marRight w:val="0"/>
      <w:marTop w:val="0"/>
      <w:marBottom w:val="0"/>
      <w:divBdr>
        <w:top w:val="none" w:sz="0" w:space="0" w:color="auto"/>
        <w:left w:val="none" w:sz="0" w:space="0" w:color="auto"/>
        <w:bottom w:val="none" w:sz="0" w:space="0" w:color="auto"/>
        <w:right w:val="none" w:sz="0" w:space="0" w:color="auto"/>
      </w:divBdr>
    </w:div>
    <w:div w:id="1527404995">
      <w:bodyDiv w:val="1"/>
      <w:marLeft w:val="0"/>
      <w:marRight w:val="0"/>
      <w:marTop w:val="0"/>
      <w:marBottom w:val="0"/>
      <w:divBdr>
        <w:top w:val="none" w:sz="0" w:space="0" w:color="auto"/>
        <w:left w:val="none" w:sz="0" w:space="0" w:color="auto"/>
        <w:bottom w:val="none" w:sz="0" w:space="0" w:color="auto"/>
        <w:right w:val="none" w:sz="0" w:space="0" w:color="auto"/>
      </w:divBdr>
    </w:div>
    <w:div w:id="1529760259">
      <w:bodyDiv w:val="1"/>
      <w:marLeft w:val="0"/>
      <w:marRight w:val="0"/>
      <w:marTop w:val="0"/>
      <w:marBottom w:val="0"/>
      <w:divBdr>
        <w:top w:val="none" w:sz="0" w:space="0" w:color="auto"/>
        <w:left w:val="none" w:sz="0" w:space="0" w:color="auto"/>
        <w:bottom w:val="none" w:sz="0" w:space="0" w:color="auto"/>
        <w:right w:val="none" w:sz="0" w:space="0" w:color="auto"/>
      </w:divBdr>
    </w:div>
    <w:div w:id="1531189277">
      <w:bodyDiv w:val="1"/>
      <w:marLeft w:val="0"/>
      <w:marRight w:val="0"/>
      <w:marTop w:val="0"/>
      <w:marBottom w:val="0"/>
      <w:divBdr>
        <w:top w:val="none" w:sz="0" w:space="0" w:color="auto"/>
        <w:left w:val="none" w:sz="0" w:space="0" w:color="auto"/>
        <w:bottom w:val="none" w:sz="0" w:space="0" w:color="auto"/>
        <w:right w:val="none" w:sz="0" w:space="0" w:color="auto"/>
      </w:divBdr>
    </w:div>
    <w:div w:id="1539707716">
      <w:bodyDiv w:val="1"/>
      <w:marLeft w:val="0"/>
      <w:marRight w:val="0"/>
      <w:marTop w:val="0"/>
      <w:marBottom w:val="0"/>
      <w:divBdr>
        <w:top w:val="none" w:sz="0" w:space="0" w:color="auto"/>
        <w:left w:val="none" w:sz="0" w:space="0" w:color="auto"/>
        <w:bottom w:val="none" w:sz="0" w:space="0" w:color="auto"/>
        <w:right w:val="none" w:sz="0" w:space="0" w:color="auto"/>
      </w:divBdr>
    </w:div>
    <w:div w:id="1546603426">
      <w:bodyDiv w:val="1"/>
      <w:marLeft w:val="0"/>
      <w:marRight w:val="0"/>
      <w:marTop w:val="0"/>
      <w:marBottom w:val="0"/>
      <w:divBdr>
        <w:top w:val="none" w:sz="0" w:space="0" w:color="auto"/>
        <w:left w:val="none" w:sz="0" w:space="0" w:color="auto"/>
        <w:bottom w:val="none" w:sz="0" w:space="0" w:color="auto"/>
        <w:right w:val="none" w:sz="0" w:space="0" w:color="auto"/>
      </w:divBdr>
    </w:div>
    <w:div w:id="1556237776">
      <w:bodyDiv w:val="1"/>
      <w:marLeft w:val="0"/>
      <w:marRight w:val="0"/>
      <w:marTop w:val="0"/>
      <w:marBottom w:val="0"/>
      <w:divBdr>
        <w:top w:val="none" w:sz="0" w:space="0" w:color="auto"/>
        <w:left w:val="none" w:sz="0" w:space="0" w:color="auto"/>
        <w:bottom w:val="none" w:sz="0" w:space="0" w:color="auto"/>
        <w:right w:val="none" w:sz="0" w:space="0" w:color="auto"/>
      </w:divBdr>
    </w:div>
    <w:div w:id="1578249552">
      <w:bodyDiv w:val="1"/>
      <w:marLeft w:val="0"/>
      <w:marRight w:val="0"/>
      <w:marTop w:val="0"/>
      <w:marBottom w:val="0"/>
      <w:divBdr>
        <w:top w:val="none" w:sz="0" w:space="0" w:color="auto"/>
        <w:left w:val="none" w:sz="0" w:space="0" w:color="auto"/>
        <w:bottom w:val="none" w:sz="0" w:space="0" w:color="auto"/>
        <w:right w:val="none" w:sz="0" w:space="0" w:color="auto"/>
      </w:divBdr>
    </w:div>
    <w:div w:id="1581865138">
      <w:bodyDiv w:val="1"/>
      <w:marLeft w:val="0"/>
      <w:marRight w:val="0"/>
      <w:marTop w:val="0"/>
      <w:marBottom w:val="0"/>
      <w:divBdr>
        <w:top w:val="none" w:sz="0" w:space="0" w:color="auto"/>
        <w:left w:val="none" w:sz="0" w:space="0" w:color="auto"/>
        <w:bottom w:val="none" w:sz="0" w:space="0" w:color="auto"/>
        <w:right w:val="none" w:sz="0" w:space="0" w:color="auto"/>
      </w:divBdr>
    </w:div>
    <w:div w:id="1598977707">
      <w:bodyDiv w:val="1"/>
      <w:marLeft w:val="0"/>
      <w:marRight w:val="0"/>
      <w:marTop w:val="0"/>
      <w:marBottom w:val="0"/>
      <w:divBdr>
        <w:top w:val="none" w:sz="0" w:space="0" w:color="auto"/>
        <w:left w:val="none" w:sz="0" w:space="0" w:color="auto"/>
        <w:bottom w:val="none" w:sz="0" w:space="0" w:color="auto"/>
        <w:right w:val="none" w:sz="0" w:space="0" w:color="auto"/>
      </w:divBdr>
    </w:div>
    <w:div w:id="1599217249">
      <w:bodyDiv w:val="1"/>
      <w:marLeft w:val="0"/>
      <w:marRight w:val="0"/>
      <w:marTop w:val="0"/>
      <w:marBottom w:val="0"/>
      <w:divBdr>
        <w:top w:val="none" w:sz="0" w:space="0" w:color="auto"/>
        <w:left w:val="none" w:sz="0" w:space="0" w:color="auto"/>
        <w:bottom w:val="none" w:sz="0" w:space="0" w:color="auto"/>
        <w:right w:val="none" w:sz="0" w:space="0" w:color="auto"/>
      </w:divBdr>
    </w:div>
    <w:div w:id="1606381447">
      <w:bodyDiv w:val="1"/>
      <w:marLeft w:val="0"/>
      <w:marRight w:val="0"/>
      <w:marTop w:val="0"/>
      <w:marBottom w:val="0"/>
      <w:divBdr>
        <w:top w:val="none" w:sz="0" w:space="0" w:color="auto"/>
        <w:left w:val="none" w:sz="0" w:space="0" w:color="auto"/>
        <w:bottom w:val="none" w:sz="0" w:space="0" w:color="auto"/>
        <w:right w:val="none" w:sz="0" w:space="0" w:color="auto"/>
      </w:divBdr>
    </w:div>
    <w:div w:id="1624534397">
      <w:bodyDiv w:val="1"/>
      <w:marLeft w:val="0"/>
      <w:marRight w:val="0"/>
      <w:marTop w:val="0"/>
      <w:marBottom w:val="0"/>
      <w:divBdr>
        <w:top w:val="none" w:sz="0" w:space="0" w:color="auto"/>
        <w:left w:val="none" w:sz="0" w:space="0" w:color="auto"/>
        <w:bottom w:val="none" w:sz="0" w:space="0" w:color="auto"/>
        <w:right w:val="none" w:sz="0" w:space="0" w:color="auto"/>
      </w:divBdr>
    </w:div>
    <w:div w:id="1624724957">
      <w:bodyDiv w:val="1"/>
      <w:marLeft w:val="0"/>
      <w:marRight w:val="0"/>
      <w:marTop w:val="0"/>
      <w:marBottom w:val="0"/>
      <w:divBdr>
        <w:top w:val="none" w:sz="0" w:space="0" w:color="auto"/>
        <w:left w:val="none" w:sz="0" w:space="0" w:color="auto"/>
        <w:bottom w:val="none" w:sz="0" w:space="0" w:color="auto"/>
        <w:right w:val="none" w:sz="0" w:space="0" w:color="auto"/>
      </w:divBdr>
    </w:div>
    <w:div w:id="1626813196">
      <w:bodyDiv w:val="1"/>
      <w:marLeft w:val="0"/>
      <w:marRight w:val="0"/>
      <w:marTop w:val="0"/>
      <w:marBottom w:val="0"/>
      <w:divBdr>
        <w:top w:val="none" w:sz="0" w:space="0" w:color="auto"/>
        <w:left w:val="none" w:sz="0" w:space="0" w:color="auto"/>
        <w:bottom w:val="none" w:sz="0" w:space="0" w:color="auto"/>
        <w:right w:val="none" w:sz="0" w:space="0" w:color="auto"/>
      </w:divBdr>
    </w:div>
    <w:div w:id="1635061699">
      <w:bodyDiv w:val="1"/>
      <w:marLeft w:val="0"/>
      <w:marRight w:val="0"/>
      <w:marTop w:val="0"/>
      <w:marBottom w:val="0"/>
      <w:divBdr>
        <w:top w:val="none" w:sz="0" w:space="0" w:color="auto"/>
        <w:left w:val="none" w:sz="0" w:space="0" w:color="auto"/>
        <w:bottom w:val="none" w:sz="0" w:space="0" w:color="auto"/>
        <w:right w:val="none" w:sz="0" w:space="0" w:color="auto"/>
      </w:divBdr>
    </w:div>
    <w:div w:id="1640500759">
      <w:bodyDiv w:val="1"/>
      <w:marLeft w:val="0"/>
      <w:marRight w:val="0"/>
      <w:marTop w:val="0"/>
      <w:marBottom w:val="0"/>
      <w:divBdr>
        <w:top w:val="none" w:sz="0" w:space="0" w:color="auto"/>
        <w:left w:val="none" w:sz="0" w:space="0" w:color="auto"/>
        <w:bottom w:val="none" w:sz="0" w:space="0" w:color="auto"/>
        <w:right w:val="none" w:sz="0" w:space="0" w:color="auto"/>
      </w:divBdr>
    </w:div>
    <w:div w:id="1642802954">
      <w:bodyDiv w:val="1"/>
      <w:marLeft w:val="0"/>
      <w:marRight w:val="0"/>
      <w:marTop w:val="0"/>
      <w:marBottom w:val="0"/>
      <w:divBdr>
        <w:top w:val="none" w:sz="0" w:space="0" w:color="auto"/>
        <w:left w:val="none" w:sz="0" w:space="0" w:color="auto"/>
        <w:bottom w:val="none" w:sz="0" w:space="0" w:color="auto"/>
        <w:right w:val="none" w:sz="0" w:space="0" w:color="auto"/>
      </w:divBdr>
    </w:div>
    <w:div w:id="1645700419">
      <w:bodyDiv w:val="1"/>
      <w:marLeft w:val="0"/>
      <w:marRight w:val="0"/>
      <w:marTop w:val="0"/>
      <w:marBottom w:val="0"/>
      <w:divBdr>
        <w:top w:val="none" w:sz="0" w:space="0" w:color="auto"/>
        <w:left w:val="none" w:sz="0" w:space="0" w:color="auto"/>
        <w:bottom w:val="none" w:sz="0" w:space="0" w:color="auto"/>
        <w:right w:val="none" w:sz="0" w:space="0" w:color="auto"/>
      </w:divBdr>
    </w:div>
    <w:div w:id="1664315905">
      <w:bodyDiv w:val="1"/>
      <w:marLeft w:val="0"/>
      <w:marRight w:val="0"/>
      <w:marTop w:val="0"/>
      <w:marBottom w:val="0"/>
      <w:divBdr>
        <w:top w:val="none" w:sz="0" w:space="0" w:color="auto"/>
        <w:left w:val="none" w:sz="0" w:space="0" w:color="auto"/>
        <w:bottom w:val="none" w:sz="0" w:space="0" w:color="auto"/>
        <w:right w:val="none" w:sz="0" w:space="0" w:color="auto"/>
      </w:divBdr>
    </w:div>
    <w:div w:id="1684818773">
      <w:bodyDiv w:val="1"/>
      <w:marLeft w:val="0"/>
      <w:marRight w:val="0"/>
      <w:marTop w:val="0"/>
      <w:marBottom w:val="0"/>
      <w:divBdr>
        <w:top w:val="none" w:sz="0" w:space="0" w:color="auto"/>
        <w:left w:val="none" w:sz="0" w:space="0" w:color="auto"/>
        <w:bottom w:val="none" w:sz="0" w:space="0" w:color="auto"/>
        <w:right w:val="none" w:sz="0" w:space="0" w:color="auto"/>
      </w:divBdr>
    </w:div>
    <w:div w:id="1699575567">
      <w:bodyDiv w:val="1"/>
      <w:marLeft w:val="0"/>
      <w:marRight w:val="0"/>
      <w:marTop w:val="0"/>
      <w:marBottom w:val="0"/>
      <w:divBdr>
        <w:top w:val="none" w:sz="0" w:space="0" w:color="auto"/>
        <w:left w:val="none" w:sz="0" w:space="0" w:color="auto"/>
        <w:bottom w:val="none" w:sz="0" w:space="0" w:color="auto"/>
        <w:right w:val="none" w:sz="0" w:space="0" w:color="auto"/>
      </w:divBdr>
    </w:div>
    <w:div w:id="1702167748">
      <w:bodyDiv w:val="1"/>
      <w:marLeft w:val="0"/>
      <w:marRight w:val="0"/>
      <w:marTop w:val="0"/>
      <w:marBottom w:val="0"/>
      <w:divBdr>
        <w:top w:val="none" w:sz="0" w:space="0" w:color="auto"/>
        <w:left w:val="none" w:sz="0" w:space="0" w:color="auto"/>
        <w:bottom w:val="none" w:sz="0" w:space="0" w:color="auto"/>
        <w:right w:val="none" w:sz="0" w:space="0" w:color="auto"/>
      </w:divBdr>
    </w:div>
    <w:div w:id="1720015827">
      <w:bodyDiv w:val="1"/>
      <w:marLeft w:val="0"/>
      <w:marRight w:val="0"/>
      <w:marTop w:val="0"/>
      <w:marBottom w:val="0"/>
      <w:divBdr>
        <w:top w:val="none" w:sz="0" w:space="0" w:color="auto"/>
        <w:left w:val="none" w:sz="0" w:space="0" w:color="auto"/>
        <w:bottom w:val="none" w:sz="0" w:space="0" w:color="auto"/>
        <w:right w:val="none" w:sz="0" w:space="0" w:color="auto"/>
      </w:divBdr>
    </w:div>
    <w:div w:id="1733770891">
      <w:bodyDiv w:val="1"/>
      <w:marLeft w:val="0"/>
      <w:marRight w:val="0"/>
      <w:marTop w:val="0"/>
      <w:marBottom w:val="0"/>
      <w:divBdr>
        <w:top w:val="none" w:sz="0" w:space="0" w:color="auto"/>
        <w:left w:val="none" w:sz="0" w:space="0" w:color="auto"/>
        <w:bottom w:val="none" w:sz="0" w:space="0" w:color="auto"/>
        <w:right w:val="none" w:sz="0" w:space="0" w:color="auto"/>
      </w:divBdr>
    </w:div>
    <w:div w:id="1735736860">
      <w:bodyDiv w:val="1"/>
      <w:marLeft w:val="0"/>
      <w:marRight w:val="0"/>
      <w:marTop w:val="0"/>
      <w:marBottom w:val="0"/>
      <w:divBdr>
        <w:top w:val="none" w:sz="0" w:space="0" w:color="auto"/>
        <w:left w:val="none" w:sz="0" w:space="0" w:color="auto"/>
        <w:bottom w:val="none" w:sz="0" w:space="0" w:color="auto"/>
        <w:right w:val="none" w:sz="0" w:space="0" w:color="auto"/>
      </w:divBdr>
    </w:div>
    <w:div w:id="1741251423">
      <w:bodyDiv w:val="1"/>
      <w:marLeft w:val="0"/>
      <w:marRight w:val="0"/>
      <w:marTop w:val="0"/>
      <w:marBottom w:val="0"/>
      <w:divBdr>
        <w:top w:val="none" w:sz="0" w:space="0" w:color="auto"/>
        <w:left w:val="none" w:sz="0" w:space="0" w:color="auto"/>
        <w:bottom w:val="none" w:sz="0" w:space="0" w:color="auto"/>
        <w:right w:val="none" w:sz="0" w:space="0" w:color="auto"/>
      </w:divBdr>
    </w:div>
    <w:div w:id="1753576128">
      <w:bodyDiv w:val="1"/>
      <w:marLeft w:val="0"/>
      <w:marRight w:val="0"/>
      <w:marTop w:val="0"/>
      <w:marBottom w:val="0"/>
      <w:divBdr>
        <w:top w:val="none" w:sz="0" w:space="0" w:color="auto"/>
        <w:left w:val="none" w:sz="0" w:space="0" w:color="auto"/>
        <w:bottom w:val="none" w:sz="0" w:space="0" w:color="auto"/>
        <w:right w:val="none" w:sz="0" w:space="0" w:color="auto"/>
      </w:divBdr>
    </w:div>
    <w:div w:id="1764569450">
      <w:bodyDiv w:val="1"/>
      <w:marLeft w:val="0"/>
      <w:marRight w:val="0"/>
      <w:marTop w:val="0"/>
      <w:marBottom w:val="0"/>
      <w:divBdr>
        <w:top w:val="none" w:sz="0" w:space="0" w:color="auto"/>
        <w:left w:val="none" w:sz="0" w:space="0" w:color="auto"/>
        <w:bottom w:val="none" w:sz="0" w:space="0" w:color="auto"/>
        <w:right w:val="none" w:sz="0" w:space="0" w:color="auto"/>
      </w:divBdr>
    </w:div>
    <w:div w:id="1765373639">
      <w:bodyDiv w:val="1"/>
      <w:marLeft w:val="0"/>
      <w:marRight w:val="0"/>
      <w:marTop w:val="0"/>
      <w:marBottom w:val="0"/>
      <w:divBdr>
        <w:top w:val="none" w:sz="0" w:space="0" w:color="auto"/>
        <w:left w:val="none" w:sz="0" w:space="0" w:color="auto"/>
        <w:bottom w:val="none" w:sz="0" w:space="0" w:color="auto"/>
        <w:right w:val="none" w:sz="0" w:space="0" w:color="auto"/>
      </w:divBdr>
    </w:div>
    <w:div w:id="1773548214">
      <w:bodyDiv w:val="1"/>
      <w:marLeft w:val="0"/>
      <w:marRight w:val="0"/>
      <w:marTop w:val="0"/>
      <w:marBottom w:val="0"/>
      <w:divBdr>
        <w:top w:val="none" w:sz="0" w:space="0" w:color="auto"/>
        <w:left w:val="none" w:sz="0" w:space="0" w:color="auto"/>
        <w:bottom w:val="none" w:sz="0" w:space="0" w:color="auto"/>
        <w:right w:val="none" w:sz="0" w:space="0" w:color="auto"/>
      </w:divBdr>
    </w:div>
    <w:div w:id="1773697113">
      <w:bodyDiv w:val="1"/>
      <w:marLeft w:val="0"/>
      <w:marRight w:val="0"/>
      <w:marTop w:val="0"/>
      <w:marBottom w:val="0"/>
      <w:divBdr>
        <w:top w:val="none" w:sz="0" w:space="0" w:color="auto"/>
        <w:left w:val="none" w:sz="0" w:space="0" w:color="auto"/>
        <w:bottom w:val="none" w:sz="0" w:space="0" w:color="auto"/>
        <w:right w:val="none" w:sz="0" w:space="0" w:color="auto"/>
      </w:divBdr>
    </w:div>
    <w:div w:id="1777601286">
      <w:bodyDiv w:val="1"/>
      <w:marLeft w:val="0"/>
      <w:marRight w:val="0"/>
      <w:marTop w:val="0"/>
      <w:marBottom w:val="0"/>
      <w:divBdr>
        <w:top w:val="none" w:sz="0" w:space="0" w:color="auto"/>
        <w:left w:val="none" w:sz="0" w:space="0" w:color="auto"/>
        <w:bottom w:val="none" w:sz="0" w:space="0" w:color="auto"/>
        <w:right w:val="none" w:sz="0" w:space="0" w:color="auto"/>
      </w:divBdr>
    </w:div>
    <w:div w:id="1778478683">
      <w:bodyDiv w:val="1"/>
      <w:marLeft w:val="0"/>
      <w:marRight w:val="0"/>
      <w:marTop w:val="0"/>
      <w:marBottom w:val="0"/>
      <w:divBdr>
        <w:top w:val="none" w:sz="0" w:space="0" w:color="auto"/>
        <w:left w:val="none" w:sz="0" w:space="0" w:color="auto"/>
        <w:bottom w:val="none" w:sz="0" w:space="0" w:color="auto"/>
        <w:right w:val="none" w:sz="0" w:space="0" w:color="auto"/>
      </w:divBdr>
    </w:div>
    <w:div w:id="1805344490">
      <w:bodyDiv w:val="1"/>
      <w:marLeft w:val="0"/>
      <w:marRight w:val="0"/>
      <w:marTop w:val="0"/>
      <w:marBottom w:val="0"/>
      <w:divBdr>
        <w:top w:val="none" w:sz="0" w:space="0" w:color="auto"/>
        <w:left w:val="none" w:sz="0" w:space="0" w:color="auto"/>
        <w:bottom w:val="none" w:sz="0" w:space="0" w:color="auto"/>
        <w:right w:val="none" w:sz="0" w:space="0" w:color="auto"/>
      </w:divBdr>
    </w:div>
    <w:div w:id="1825468515">
      <w:bodyDiv w:val="1"/>
      <w:marLeft w:val="0"/>
      <w:marRight w:val="0"/>
      <w:marTop w:val="0"/>
      <w:marBottom w:val="0"/>
      <w:divBdr>
        <w:top w:val="none" w:sz="0" w:space="0" w:color="auto"/>
        <w:left w:val="none" w:sz="0" w:space="0" w:color="auto"/>
        <w:bottom w:val="none" w:sz="0" w:space="0" w:color="auto"/>
        <w:right w:val="none" w:sz="0" w:space="0" w:color="auto"/>
      </w:divBdr>
    </w:div>
    <w:div w:id="1826164359">
      <w:bodyDiv w:val="1"/>
      <w:marLeft w:val="0"/>
      <w:marRight w:val="0"/>
      <w:marTop w:val="0"/>
      <w:marBottom w:val="0"/>
      <w:divBdr>
        <w:top w:val="none" w:sz="0" w:space="0" w:color="auto"/>
        <w:left w:val="none" w:sz="0" w:space="0" w:color="auto"/>
        <w:bottom w:val="none" w:sz="0" w:space="0" w:color="auto"/>
        <w:right w:val="none" w:sz="0" w:space="0" w:color="auto"/>
      </w:divBdr>
    </w:div>
    <w:div w:id="1840926054">
      <w:bodyDiv w:val="1"/>
      <w:marLeft w:val="0"/>
      <w:marRight w:val="0"/>
      <w:marTop w:val="0"/>
      <w:marBottom w:val="0"/>
      <w:divBdr>
        <w:top w:val="none" w:sz="0" w:space="0" w:color="auto"/>
        <w:left w:val="none" w:sz="0" w:space="0" w:color="auto"/>
        <w:bottom w:val="none" w:sz="0" w:space="0" w:color="auto"/>
        <w:right w:val="none" w:sz="0" w:space="0" w:color="auto"/>
      </w:divBdr>
    </w:div>
    <w:div w:id="1847017964">
      <w:bodyDiv w:val="1"/>
      <w:marLeft w:val="0"/>
      <w:marRight w:val="0"/>
      <w:marTop w:val="0"/>
      <w:marBottom w:val="0"/>
      <w:divBdr>
        <w:top w:val="none" w:sz="0" w:space="0" w:color="auto"/>
        <w:left w:val="none" w:sz="0" w:space="0" w:color="auto"/>
        <w:bottom w:val="none" w:sz="0" w:space="0" w:color="auto"/>
        <w:right w:val="none" w:sz="0" w:space="0" w:color="auto"/>
      </w:divBdr>
    </w:div>
    <w:div w:id="1869297335">
      <w:bodyDiv w:val="1"/>
      <w:marLeft w:val="0"/>
      <w:marRight w:val="0"/>
      <w:marTop w:val="0"/>
      <w:marBottom w:val="0"/>
      <w:divBdr>
        <w:top w:val="none" w:sz="0" w:space="0" w:color="auto"/>
        <w:left w:val="none" w:sz="0" w:space="0" w:color="auto"/>
        <w:bottom w:val="none" w:sz="0" w:space="0" w:color="auto"/>
        <w:right w:val="none" w:sz="0" w:space="0" w:color="auto"/>
      </w:divBdr>
    </w:div>
    <w:div w:id="1883521796">
      <w:bodyDiv w:val="1"/>
      <w:marLeft w:val="0"/>
      <w:marRight w:val="0"/>
      <w:marTop w:val="0"/>
      <w:marBottom w:val="0"/>
      <w:divBdr>
        <w:top w:val="none" w:sz="0" w:space="0" w:color="auto"/>
        <w:left w:val="none" w:sz="0" w:space="0" w:color="auto"/>
        <w:bottom w:val="none" w:sz="0" w:space="0" w:color="auto"/>
        <w:right w:val="none" w:sz="0" w:space="0" w:color="auto"/>
      </w:divBdr>
    </w:div>
    <w:div w:id="1889492810">
      <w:bodyDiv w:val="1"/>
      <w:marLeft w:val="0"/>
      <w:marRight w:val="0"/>
      <w:marTop w:val="0"/>
      <w:marBottom w:val="0"/>
      <w:divBdr>
        <w:top w:val="none" w:sz="0" w:space="0" w:color="auto"/>
        <w:left w:val="none" w:sz="0" w:space="0" w:color="auto"/>
        <w:bottom w:val="none" w:sz="0" w:space="0" w:color="auto"/>
        <w:right w:val="none" w:sz="0" w:space="0" w:color="auto"/>
      </w:divBdr>
    </w:div>
    <w:div w:id="1908954784">
      <w:bodyDiv w:val="1"/>
      <w:marLeft w:val="0"/>
      <w:marRight w:val="0"/>
      <w:marTop w:val="0"/>
      <w:marBottom w:val="0"/>
      <w:divBdr>
        <w:top w:val="none" w:sz="0" w:space="0" w:color="auto"/>
        <w:left w:val="none" w:sz="0" w:space="0" w:color="auto"/>
        <w:bottom w:val="none" w:sz="0" w:space="0" w:color="auto"/>
        <w:right w:val="none" w:sz="0" w:space="0" w:color="auto"/>
      </w:divBdr>
    </w:div>
    <w:div w:id="1920477890">
      <w:bodyDiv w:val="1"/>
      <w:marLeft w:val="0"/>
      <w:marRight w:val="0"/>
      <w:marTop w:val="0"/>
      <w:marBottom w:val="0"/>
      <w:divBdr>
        <w:top w:val="none" w:sz="0" w:space="0" w:color="auto"/>
        <w:left w:val="none" w:sz="0" w:space="0" w:color="auto"/>
        <w:bottom w:val="none" w:sz="0" w:space="0" w:color="auto"/>
        <w:right w:val="none" w:sz="0" w:space="0" w:color="auto"/>
      </w:divBdr>
    </w:div>
    <w:div w:id="1931572878">
      <w:bodyDiv w:val="1"/>
      <w:marLeft w:val="0"/>
      <w:marRight w:val="0"/>
      <w:marTop w:val="0"/>
      <w:marBottom w:val="0"/>
      <w:divBdr>
        <w:top w:val="none" w:sz="0" w:space="0" w:color="auto"/>
        <w:left w:val="none" w:sz="0" w:space="0" w:color="auto"/>
        <w:bottom w:val="none" w:sz="0" w:space="0" w:color="auto"/>
        <w:right w:val="none" w:sz="0" w:space="0" w:color="auto"/>
      </w:divBdr>
    </w:div>
    <w:div w:id="1941180734">
      <w:bodyDiv w:val="1"/>
      <w:marLeft w:val="0"/>
      <w:marRight w:val="0"/>
      <w:marTop w:val="0"/>
      <w:marBottom w:val="0"/>
      <w:divBdr>
        <w:top w:val="none" w:sz="0" w:space="0" w:color="auto"/>
        <w:left w:val="none" w:sz="0" w:space="0" w:color="auto"/>
        <w:bottom w:val="none" w:sz="0" w:space="0" w:color="auto"/>
        <w:right w:val="none" w:sz="0" w:space="0" w:color="auto"/>
      </w:divBdr>
    </w:div>
    <w:div w:id="1944724179">
      <w:bodyDiv w:val="1"/>
      <w:marLeft w:val="0"/>
      <w:marRight w:val="0"/>
      <w:marTop w:val="0"/>
      <w:marBottom w:val="0"/>
      <w:divBdr>
        <w:top w:val="none" w:sz="0" w:space="0" w:color="auto"/>
        <w:left w:val="none" w:sz="0" w:space="0" w:color="auto"/>
        <w:bottom w:val="none" w:sz="0" w:space="0" w:color="auto"/>
        <w:right w:val="none" w:sz="0" w:space="0" w:color="auto"/>
      </w:divBdr>
    </w:div>
    <w:div w:id="1948003210">
      <w:bodyDiv w:val="1"/>
      <w:marLeft w:val="0"/>
      <w:marRight w:val="0"/>
      <w:marTop w:val="0"/>
      <w:marBottom w:val="0"/>
      <w:divBdr>
        <w:top w:val="none" w:sz="0" w:space="0" w:color="auto"/>
        <w:left w:val="none" w:sz="0" w:space="0" w:color="auto"/>
        <w:bottom w:val="none" w:sz="0" w:space="0" w:color="auto"/>
        <w:right w:val="none" w:sz="0" w:space="0" w:color="auto"/>
      </w:divBdr>
    </w:div>
    <w:div w:id="1948584047">
      <w:bodyDiv w:val="1"/>
      <w:marLeft w:val="0"/>
      <w:marRight w:val="0"/>
      <w:marTop w:val="0"/>
      <w:marBottom w:val="0"/>
      <w:divBdr>
        <w:top w:val="none" w:sz="0" w:space="0" w:color="auto"/>
        <w:left w:val="none" w:sz="0" w:space="0" w:color="auto"/>
        <w:bottom w:val="none" w:sz="0" w:space="0" w:color="auto"/>
        <w:right w:val="none" w:sz="0" w:space="0" w:color="auto"/>
      </w:divBdr>
    </w:div>
    <w:div w:id="1966889408">
      <w:bodyDiv w:val="1"/>
      <w:marLeft w:val="0"/>
      <w:marRight w:val="0"/>
      <w:marTop w:val="0"/>
      <w:marBottom w:val="0"/>
      <w:divBdr>
        <w:top w:val="none" w:sz="0" w:space="0" w:color="auto"/>
        <w:left w:val="none" w:sz="0" w:space="0" w:color="auto"/>
        <w:bottom w:val="none" w:sz="0" w:space="0" w:color="auto"/>
        <w:right w:val="none" w:sz="0" w:space="0" w:color="auto"/>
      </w:divBdr>
    </w:div>
    <w:div w:id="1974209133">
      <w:bodyDiv w:val="1"/>
      <w:marLeft w:val="0"/>
      <w:marRight w:val="0"/>
      <w:marTop w:val="0"/>
      <w:marBottom w:val="0"/>
      <w:divBdr>
        <w:top w:val="none" w:sz="0" w:space="0" w:color="auto"/>
        <w:left w:val="none" w:sz="0" w:space="0" w:color="auto"/>
        <w:bottom w:val="none" w:sz="0" w:space="0" w:color="auto"/>
        <w:right w:val="none" w:sz="0" w:space="0" w:color="auto"/>
      </w:divBdr>
    </w:div>
    <w:div w:id="1990596550">
      <w:bodyDiv w:val="1"/>
      <w:marLeft w:val="0"/>
      <w:marRight w:val="0"/>
      <w:marTop w:val="0"/>
      <w:marBottom w:val="0"/>
      <w:divBdr>
        <w:top w:val="none" w:sz="0" w:space="0" w:color="auto"/>
        <w:left w:val="none" w:sz="0" w:space="0" w:color="auto"/>
        <w:bottom w:val="none" w:sz="0" w:space="0" w:color="auto"/>
        <w:right w:val="none" w:sz="0" w:space="0" w:color="auto"/>
      </w:divBdr>
    </w:div>
    <w:div w:id="2000963215">
      <w:bodyDiv w:val="1"/>
      <w:marLeft w:val="0"/>
      <w:marRight w:val="0"/>
      <w:marTop w:val="0"/>
      <w:marBottom w:val="0"/>
      <w:divBdr>
        <w:top w:val="none" w:sz="0" w:space="0" w:color="auto"/>
        <w:left w:val="none" w:sz="0" w:space="0" w:color="auto"/>
        <w:bottom w:val="none" w:sz="0" w:space="0" w:color="auto"/>
        <w:right w:val="none" w:sz="0" w:space="0" w:color="auto"/>
      </w:divBdr>
    </w:div>
    <w:div w:id="2014381816">
      <w:bodyDiv w:val="1"/>
      <w:marLeft w:val="0"/>
      <w:marRight w:val="0"/>
      <w:marTop w:val="0"/>
      <w:marBottom w:val="0"/>
      <w:divBdr>
        <w:top w:val="none" w:sz="0" w:space="0" w:color="auto"/>
        <w:left w:val="none" w:sz="0" w:space="0" w:color="auto"/>
        <w:bottom w:val="none" w:sz="0" w:space="0" w:color="auto"/>
        <w:right w:val="none" w:sz="0" w:space="0" w:color="auto"/>
      </w:divBdr>
    </w:div>
    <w:div w:id="2016303437">
      <w:bodyDiv w:val="1"/>
      <w:marLeft w:val="0"/>
      <w:marRight w:val="0"/>
      <w:marTop w:val="0"/>
      <w:marBottom w:val="0"/>
      <w:divBdr>
        <w:top w:val="none" w:sz="0" w:space="0" w:color="auto"/>
        <w:left w:val="none" w:sz="0" w:space="0" w:color="auto"/>
        <w:bottom w:val="none" w:sz="0" w:space="0" w:color="auto"/>
        <w:right w:val="none" w:sz="0" w:space="0" w:color="auto"/>
      </w:divBdr>
    </w:div>
    <w:div w:id="2025203208">
      <w:bodyDiv w:val="1"/>
      <w:marLeft w:val="0"/>
      <w:marRight w:val="0"/>
      <w:marTop w:val="0"/>
      <w:marBottom w:val="0"/>
      <w:divBdr>
        <w:top w:val="none" w:sz="0" w:space="0" w:color="auto"/>
        <w:left w:val="none" w:sz="0" w:space="0" w:color="auto"/>
        <w:bottom w:val="none" w:sz="0" w:space="0" w:color="auto"/>
        <w:right w:val="none" w:sz="0" w:space="0" w:color="auto"/>
      </w:divBdr>
    </w:div>
    <w:div w:id="2041008497">
      <w:bodyDiv w:val="1"/>
      <w:marLeft w:val="0"/>
      <w:marRight w:val="0"/>
      <w:marTop w:val="0"/>
      <w:marBottom w:val="0"/>
      <w:divBdr>
        <w:top w:val="none" w:sz="0" w:space="0" w:color="auto"/>
        <w:left w:val="none" w:sz="0" w:space="0" w:color="auto"/>
        <w:bottom w:val="none" w:sz="0" w:space="0" w:color="auto"/>
        <w:right w:val="none" w:sz="0" w:space="0" w:color="auto"/>
      </w:divBdr>
    </w:div>
    <w:div w:id="2041859955">
      <w:bodyDiv w:val="1"/>
      <w:marLeft w:val="0"/>
      <w:marRight w:val="0"/>
      <w:marTop w:val="0"/>
      <w:marBottom w:val="0"/>
      <w:divBdr>
        <w:top w:val="none" w:sz="0" w:space="0" w:color="auto"/>
        <w:left w:val="none" w:sz="0" w:space="0" w:color="auto"/>
        <w:bottom w:val="none" w:sz="0" w:space="0" w:color="auto"/>
        <w:right w:val="none" w:sz="0" w:space="0" w:color="auto"/>
      </w:divBdr>
    </w:div>
    <w:div w:id="2042433408">
      <w:bodyDiv w:val="1"/>
      <w:marLeft w:val="0"/>
      <w:marRight w:val="0"/>
      <w:marTop w:val="0"/>
      <w:marBottom w:val="0"/>
      <w:divBdr>
        <w:top w:val="none" w:sz="0" w:space="0" w:color="auto"/>
        <w:left w:val="none" w:sz="0" w:space="0" w:color="auto"/>
        <w:bottom w:val="none" w:sz="0" w:space="0" w:color="auto"/>
        <w:right w:val="none" w:sz="0" w:space="0" w:color="auto"/>
      </w:divBdr>
    </w:div>
    <w:div w:id="2060858479">
      <w:bodyDiv w:val="1"/>
      <w:marLeft w:val="0"/>
      <w:marRight w:val="0"/>
      <w:marTop w:val="0"/>
      <w:marBottom w:val="0"/>
      <w:divBdr>
        <w:top w:val="none" w:sz="0" w:space="0" w:color="auto"/>
        <w:left w:val="none" w:sz="0" w:space="0" w:color="auto"/>
        <w:bottom w:val="none" w:sz="0" w:space="0" w:color="auto"/>
        <w:right w:val="none" w:sz="0" w:space="0" w:color="auto"/>
      </w:divBdr>
    </w:div>
    <w:div w:id="2062166774">
      <w:bodyDiv w:val="1"/>
      <w:marLeft w:val="0"/>
      <w:marRight w:val="0"/>
      <w:marTop w:val="0"/>
      <w:marBottom w:val="0"/>
      <w:divBdr>
        <w:top w:val="none" w:sz="0" w:space="0" w:color="auto"/>
        <w:left w:val="none" w:sz="0" w:space="0" w:color="auto"/>
        <w:bottom w:val="none" w:sz="0" w:space="0" w:color="auto"/>
        <w:right w:val="none" w:sz="0" w:space="0" w:color="auto"/>
      </w:divBdr>
    </w:div>
    <w:div w:id="2063092013">
      <w:bodyDiv w:val="1"/>
      <w:marLeft w:val="0"/>
      <w:marRight w:val="0"/>
      <w:marTop w:val="0"/>
      <w:marBottom w:val="0"/>
      <w:divBdr>
        <w:top w:val="none" w:sz="0" w:space="0" w:color="auto"/>
        <w:left w:val="none" w:sz="0" w:space="0" w:color="auto"/>
        <w:bottom w:val="none" w:sz="0" w:space="0" w:color="auto"/>
        <w:right w:val="none" w:sz="0" w:space="0" w:color="auto"/>
      </w:divBdr>
    </w:div>
    <w:div w:id="2070421903">
      <w:bodyDiv w:val="1"/>
      <w:marLeft w:val="0"/>
      <w:marRight w:val="0"/>
      <w:marTop w:val="0"/>
      <w:marBottom w:val="0"/>
      <w:divBdr>
        <w:top w:val="none" w:sz="0" w:space="0" w:color="auto"/>
        <w:left w:val="none" w:sz="0" w:space="0" w:color="auto"/>
        <w:bottom w:val="none" w:sz="0" w:space="0" w:color="auto"/>
        <w:right w:val="none" w:sz="0" w:space="0" w:color="auto"/>
      </w:divBdr>
    </w:div>
    <w:div w:id="2071804953">
      <w:bodyDiv w:val="1"/>
      <w:marLeft w:val="0"/>
      <w:marRight w:val="0"/>
      <w:marTop w:val="0"/>
      <w:marBottom w:val="0"/>
      <w:divBdr>
        <w:top w:val="none" w:sz="0" w:space="0" w:color="auto"/>
        <w:left w:val="none" w:sz="0" w:space="0" w:color="auto"/>
        <w:bottom w:val="none" w:sz="0" w:space="0" w:color="auto"/>
        <w:right w:val="none" w:sz="0" w:space="0" w:color="auto"/>
      </w:divBdr>
    </w:div>
    <w:div w:id="2080442162">
      <w:bodyDiv w:val="1"/>
      <w:marLeft w:val="0"/>
      <w:marRight w:val="0"/>
      <w:marTop w:val="0"/>
      <w:marBottom w:val="0"/>
      <w:divBdr>
        <w:top w:val="none" w:sz="0" w:space="0" w:color="auto"/>
        <w:left w:val="none" w:sz="0" w:space="0" w:color="auto"/>
        <w:bottom w:val="none" w:sz="0" w:space="0" w:color="auto"/>
        <w:right w:val="none" w:sz="0" w:space="0" w:color="auto"/>
      </w:divBdr>
    </w:div>
    <w:div w:id="2082292098">
      <w:bodyDiv w:val="1"/>
      <w:marLeft w:val="0"/>
      <w:marRight w:val="0"/>
      <w:marTop w:val="0"/>
      <w:marBottom w:val="0"/>
      <w:divBdr>
        <w:top w:val="none" w:sz="0" w:space="0" w:color="auto"/>
        <w:left w:val="none" w:sz="0" w:space="0" w:color="auto"/>
        <w:bottom w:val="none" w:sz="0" w:space="0" w:color="auto"/>
        <w:right w:val="none" w:sz="0" w:space="0" w:color="auto"/>
      </w:divBdr>
    </w:div>
    <w:div w:id="2085060321">
      <w:bodyDiv w:val="1"/>
      <w:marLeft w:val="0"/>
      <w:marRight w:val="0"/>
      <w:marTop w:val="0"/>
      <w:marBottom w:val="0"/>
      <w:divBdr>
        <w:top w:val="none" w:sz="0" w:space="0" w:color="auto"/>
        <w:left w:val="none" w:sz="0" w:space="0" w:color="auto"/>
        <w:bottom w:val="none" w:sz="0" w:space="0" w:color="auto"/>
        <w:right w:val="none" w:sz="0" w:space="0" w:color="auto"/>
      </w:divBdr>
    </w:div>
    <w:div w:id="2103213949">
      <w:bodyDiv w:val="1"/>
      <w:marLeft w:val="0"/>
      <w:marRight w:val="0"/>
      <w:marTop w:val="0"/>
      <w:marBottom w:val="0"/>
      <w:divBdr>
        <w:top w:val="none" w:sz="0" w:space="0" w:color="auto"/>
        <w:left w:val="none" w:sz="0" w:space="0" w:color="auto"/>
        <w:bottom w:val="none" w:sz="0" w:space="0" w:color="auto"/>
        <w:right w:val="none" w:sz="0" w:space="0" w:color="auto"/>
      </w:divBdr>
    </w:div>
    <w:div w:id="2117096043">
      <w:bodyDiv w:val="1"/>
      <w:marLeft w:val="0"/>
      <w:marRight w:val="0"/>
      <w:marTop w:val="0"/>
      <w:marBottom w:val="0"/>
      <w:divBdr>
        <w:top w:val="none" w:sz="0" w:space="0" w:color="auto"/>
        <w:left w:val="none" w:sz="0" w:space="0" w:color="auto"/>
        <w:bottom w:val="none" w:sz="0" w:space="0" w:color="auto"/>
        <w:right w:val="none" w:sz="0" w:space="0" w:color="auto"/>
      </w:divBdr>
    </w:div>
    <w:div w:id="2118016660">
      <w:bodyDiv w:val="1"/>
      <w:marLeft w:val="0"/>
      <w:marRight w:val="0"/>
      <w:marTop w:val="0"/>
      <w:marBottom w:val="0"/>
      <w:divBdr>
        <w:top w:val="none" w:sz="0" w:space="0" w:color="auto"/>
        <w:left w:val="none" w:sz="0" w:space="0" w:color="auto"/>
        <w:bottom w:val="none" w:sz="0" w:space="0" w:color="auto"/>
        <w:right w:val="none" w:sz="0" w:space="0" w:color="auto"/>
      </w:divBdr>
    </w:div>
    <w:div w:id="2118671563">
      <w:bodyDiv w:val="1"/>
      <w:marLeft w:val="0"/>
      <w:marRight w:val="0"/>
      <w:marTop w:val="0"/>
      <w:marBottom w:val="0"/>
      <w:divBdr>
        <w:top w:val="none" w:sz="0" w:space="0" w:color="auto"/>
        <w:left w:val="none" w:sz="0" w:space="0" w:color="auto"/>
        <w:bottom w:val="none" w:sz="0" w:space="0" w:color="auto"/>
        <w:right w:val="none" w:sz="0" w:space="0" w:color="auto"/>
      </w:divBdr>
    </w:div>
    <w:div w:id="2135830326">
      <w:bodyDiv w:val="1"/>
      <w:marLeft w:val="0"/>
      <w:marRight w:val="0"/>
      <w:marTop w:val="0"/>
      <w:marBottom w:val="0"/>
      <w:divBdr>
        <w:top w:val="none" w:sz="0" w:space="0" w:color="auto"/>
        <w:left w:val="none" w:sz="0" w:space="0" w:color="auto"/>
        <w:bottom w:val="none" w:sz="0" w:space="0" w:color="auto"/>
        <w:right w:val="none" w:sz="0" w:space="0" w:color="auto"/>
      </w:divBdr>
    </w:div>
    <w:div w:id="2143381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7.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1.ti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6.xml"/><Relationship Id="rId25" Type="http://schemas.openxmlformats.org/officeDocument/2006/relationships/image" Target="media/image4.emf"/><Relationship Id="rId33"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9.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10.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eader" Target="header6.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image" Target="media/image2.(null)"/><Relationship Id="rId27" Type="http://schemas.openxmlformats.org/officeDocument/2006/relationships/header" Target="header5.xml"/><Relationship Id="rId30" Type="http://schemas.openxmlformats.org/officeDocument/2006/relationships/image" Target="media/image7.emf"/><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FC8A2-CAA9-F14C-9BED-099F99E34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94</Pages>
  <Words>71123</Words>
  <Characters>405404</Characters>
  <Application>Microsoft Office Word</Application>
  <DocSecurity>0</DocSecurity>
  <Lines>3378</Lines>
  <Paragraphs>951</Paragraphs>
  <ScaleCrop>false</ScaleCrop>
  <HeadingPairs>
    <vt:vector size="2" baseType="variant">
      <vt:variant>
        <vt:lpstr>Title</vt:lpstr>
      </vt:variant>
      <vt:variant>
        <vt:i4>1</vt:i4>
      </vt:variant>
    </vt:vector>
  </HeadingPairs>
  <TitlesOfParts>
    <vt:vector size="1" baseType="lpstr">
      <vt:lpstr/>
    </vt:vector>
  </TitlesOfParts>
  <Company>Veteran Affairs</Company>
  <LinksUpToDate>false</LinksUpToDate>
  <CharactersWithSpaces>475576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Madansingh</dc:creator>
  <cp:lastModifiedBy>Craig D. Workman</cp:lastModifiedBy>
  <cp:revision>192</cp:revision>
  <cp:lastPrinted>2018-10-15T14:53:00Z</cp:lastPrinted>
  <dcterms:created xsi:type="dcterms:W3CDTF">2018-09-18T17:09:00Z</dcterms:created>
  <dcterms:modified xsi:type="dcterms:W3CDTF">2018-10-15T15:16:00Z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id="K3s6wHcW"/&gt;&lt;style id="http://www.zotero.org/styles/apa" locale="en-US" hasBibliography="1" bibliographyStyleHasBeenSet="1"/&gt;&lt;prefs&gt;&lt;pref name="fieldType" value="Field"/&gt;&lt;pref name="storeRefere</vt:lpwstr>
  </property>
  <property fmtid="{D5CDD505-2E9C-101B-9397-08002B2CF9AE}" pid="3" name="ZOTERO_PREF_2">
    <vt:lpwstr>nces" value="true"/&gt;&lt;pref name="automaticJournalAbbreviations" value="true"/&gt;&lt;pref name="noteType" value=""/&gt;&lt;/prefs&gt;&lt;/data&gt;</vt:lpwstr>
  </property>
  <property fmtid="{D5CDD505-2E9C-101B-9397-08002B2CF9AE}" pid="4" name="Mendeley Document_1">
    <vt:lpwstr>True</vt:lpwstr>
  </property>
  <property fmtid="{D5CDD505-2E9C-101B-9397-08002B2CF9AE}" pid="5" name="Mendeley Unique User Id_1">
    <vt:lpwstr>b1a65595-c904-3e51-872f-04db1a4ae921</vt:lpwstr>
  </property>
  <property fmtid="{D5CDD505-2E9C-101B-9397-08002B2CF9AE}" pid="6" name="Mendeley Citation Style_1">
    <vt:lpwstr>http://www.zotero.org/styles/gait-and-posture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http://www.zotero.org/styles/american-sociological-association</vt:lpwstr>
  </property>
  <property fmtid="{D5CDD505-2E9C-101B-9397-08002B2CF9AE}" pid="10" name="Mendeley Recent Style Name 1_1">
    <vt:lpwstr>American Sociological Association</vt:lpwstr>
  </property>
  <property fmtid="{D5CDD505-2E9C-101B-9397-08002B2CF9AE}" pid="11" name="Mendeley Recent Style Id 2_1">
    <vt:lpwstr>http://www.zotero.org/styles/chicago-author-date</vt:lpwstr>
  </property>
  <property fmtid="{D5CDD505-2E9C-101B-9397-08002B2CF9AE}" pid="12" name="Mendeley Recent Style Name 2_1">
    <vt:lpwstr>Chicago Manual of Style 16th edition (author-date)</vt:lpwstr>
  </property>
  <property fmtid="{D5CDD505-2E9C-101B-9397-08002B2CF9AE}" pid="13" name="Mendeley Recent Style Id 3_1">
    <vt:lpwstr>http://www.zotero.org/styles/gait-and-posture</vt:lpwstr>
  </property>
  <property fmtid="{D5CDD505-2E9C-101B-9397-08002B2CF9AE}" pid="14" name="Mendeley Recent Style Name 3_1">
    <vt:lpwstr>Gait &amp; Posture</vt:lpwstr>
  </property>
  <property fmtid="{D5CDD505-2E9C-101B-9397-08002B2CF9AE}" pid="15" name="Mendeley Recent Style Id 4_1">
    <vt:lpwstr>http://www.zotero.org/styles/ieee</vt:lpwstr>
  </property>
  <property fmtid="{D5CDD505-2E9C-101B-9397-08002B2CF9AE}" pid="16" name="Mendeley Recent Style Name 4_1">
    <vt:lpwstr>IEEE</vt:lpwstr>
  </property>
  <property fmtid="{D5CDD505-2E9C-101B-9397-08002B2CF9AE}" pid="17" name="Mendeley Recent Style Id 5_1">
    <vt:lpwstr>http://csl.mendeley.com/styles/6742093/ieee-PMID</vt:lpwstr>
  </property>
  <property fmtid="{D5CDD505-2E9C-101B-9397-08002B2CF9AE}" pid="18" name="Mendeley Recent Style Name 5_1">
    <vt:lpwstr>IEEE - Craig workman</vt:lpwstr>
  </property>
  <property fmtid="{D5CDD505-2E9C-101B-9397-08002B2CF9AE}" pid="19" name="Mendeley Recent Style Id 6_1">
    <vt:lpwstr>http://www.zotero.org/styles/modern-humanities-research-association</vt:lpwstr>
  </property>
  <property fmtid="{D5CDD505-2E9C-101B-9397-08002B2CF9AE}" pid="20" name="Mendeley Recent Style Name 6_1">
    <vt:lpwstr>Modern Humanities Research Association 3rd edition (note with bibliography)</vt:lpwstr>
  </property>
  <property fmtid="{D5CDD505-2E9C-101B-9397-08002B2CF9AE}" pid="21" name="Mendeley Recent Style Id 7_1">
    <vt:lpwstr>http://www.zotero.org/styles/nature</vt:lpwstr>
  </property>
  <property fmtid="{D5CDD505-2E9C-101B-9397-08002B2CF9AE}" pid="22" name="Mendeley Recent Style Name 7_1">
    <vt:lpwstr>Nature</vt:lpwstr>
  </property>
  <property fmtid="{D5CDD505-2E9C-101B-9397-08002B2CF9AE}" pid="23" name="Mendeley Recent Style Id 8_1">
    <vt:lpwstr>http://www.zotero.org/styles/neuroscience-letters</vt:lpwstr>
  </property>
  <property fmtid="{D5CDD505-2E9C-101B-9397-08002B2CF9AE}" pid="24" name="Mendeley Recent Style Name 8_1">
    <vt:lpwstr>Neuroscience Letters</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